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How would a security team benefit from implementing a SOAR solution?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By leveraging the automation, orchestration, and workflow capabilities of a SOAR solution, security teams can optimize their incident response processes, minimize manual efforts, and enhance their overall cybersecurity posture.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Explain how a SOAR solution fits into the Incident Response process.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By seamlessly integrating into the incident response lifecycle, a SOAR solution enhances the speed, efficiency, and consistency of the response process, enabling organizations to more effectively manage and mitigate security incidents.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