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 401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 3 - Security Operations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center"/>
        <w:rPr>
          <w:b w:val="1"/>
          <w:color w:val="333333"/>
          <w:sz w:val="42"/>
          <w:szCs w:val="42"/>
        </w:rPr>
      </w:pPr>
      <w:bookmarkStart w:colFirst="0" w:colLast="0" w:name="_l6c9hy4yb8" w:id="0"/>
      <w:bookmarkEnd w:id="0"/>
      <w:r w:rsidDel="00000000" w:rsidR="00000000" w:rsidRPr="00000000">
        <w:rPr>
          <w:b w:val="1"/>
          <w:rtl w:val="0"/>
        </w:rPr>
        <w:t xml:space="preserve">Read 16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Cloud Identity and Access Management (IAM) with AWS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center"/>
        <w:rPr/>
      </w:pPr>
      <w:bookmarkStart w:colFirst="0" w:colLast="0" w:name="_jig5671zasul" w:id="1"/>
      <w:bookmarkEnd w:id="1"/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 Rodrigo Brasil</w:t>
        <w:tab/>
        <w:tab/>
        <w:tab/>
        <w:tab/>
        <w:tab/>
        <w:tab/>
        <w:tab/>
        <w:tab/>
        <w:tab/>
        <w:t xml:space="preserve">   12/2023 |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were the three commands used for the attack?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three commands used were: Get Credentials, List Buckets and Download 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misconfiguration of AWS components allowed the attacker to access sensitive data?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The IAM roles had excessive permissions so after getting temporary credentials to one, the attacker was able to see the s3 buckets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b2b2b"/>
          <w:sz w:val="21"/>
          <w:szCs w:val="21"/>
          <w:rtl w:val="0"/>
        </w:rPr>
        <w:t xml:space="preserve">What are two of the AWS Governance practices that could have prevented such attack?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Ensure each application, EC2 instance, or autoscaling group has its own IAM role.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300" w:line="360" w:lineRule="auto"/>
        <w:ind w:left="1440" w:hanging="360"/>
        <w:rPr>
          <w:color w:val="2b2b2b"/>
          <w:sz w:val="21"/>
          <w:szCs w:val="21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Use CloudTrail, CloudWatch, and/or AWS lambda services to review and automate specific actions taken on S3 resources.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