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BB8C" w14:textId="0D029190" w:rsidR="00A8299E" w:rsidRPr="000A6A12" w:rsidRDefault="00691D88" w:rsidP="000A6A12">
      <w:pPr>
        <w:jc w:val="both"/>
        <w:rPr>
          <w:b/>
          <w:bCs/>
          <w:sz w:val="22"/>
          <w:szCs w:val="22"/>
          <w:u w:val="single"/>
        </w:rPr>
      </w:pPr>
      <w:r w:rsidRPr="000A6A12">
        <w:rPr>
          <w:b/>
          <w:bCs/>
          <w:sz w:val="22"/>
          <w:szCs w:val="22"/>
          <w:u w:val="single"/>
        </w:rPr>
        <w:t>Entregable 1: Definición del Proyecto y Adquisición de Datos</w:t>
      </w:r>
    </w:p>
    <w:p w14:paraId="0751DC11" w14:textId="77777777" w:rsidR="000A6A12" w:rsidRPr="000A6A12" w:rsidRDefault="000A6A12" w:rsidP="000A6A12">
      <w:pPr>
        <w:jc w:val="both"/>
        <w:rPr>
          <w:b/>
          <w:bCs/>
          <w:sz w:val="22"/>
          <w:szCs w:val="22"/>
        </w:rPr>
      </w:pPr>
    </w:p>
    <w:p w14:paraId="0F9A4920" w14:textId="03C3BDB8" w:rsidR="00691D88" w:rsidRPr="000A6A12" w:rsidRDefault="00691D88" w:rsidP="000A6A12">
      <w:pPr>
        <w:pStyle w:val="Prrafodelista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A6A12">
        <w:rPr>
          <w:b/>
          <w:bCs/>
          <w:sz w:val="22"/>
          <w:szCs w:val="22"/>
        </w:rPr>
        <w:t>Descripción del proyecto</w:t>
      </w:r>
    </w:p>
    <w:p w14:paraId="7309BCE4" w14:textId="77777777" w:rsidR="00360611" w:rsidRPr="000A6A12" w:rsidRDefault="00360611" w:rsidP="000A6A12">
      <w:pPr>
        <w:jc w:val="both"/>
        <w:rPr>
          <w:sz w:val="22"/>
          <w:szCs w:val="22"/>
        </w:rPr>
      </w:pPr>
    </w:p>
    <w:p w14:paraId="5094E96D" w14:textId="5C70EB8F" w:rsidR="007A6290" w:rsidRPr="000A6A12" w:rsidRDefault="00691D88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El proyecto, titulado “Análisis de rendimiento educativo en España y factores que influyen en el mismo”</w:t>
      </w:r>
      <w:r w:rsidR="000500F5" w:rsidRPr="000A6A12">
        <w:rPr>
          <w:sz w:val="22"/>
          <w:szCs w:val="22"/>
        </w:rPr>
        <w:t xml:space="preserve">, consiste en poner en práctica los conocimientos adquiridos durante el Bootcamp de Data Science para realiza un análisis a nivel, nacional, autonómico, provincial y municipal de desempeño educativo, y los factores económicos y demográficos que </w:t>
      </w:r>
      <w:r w:rsidR="00DD3A6E" w:rsidRPr="000A6A12">
        <w:rPr>
          <w:sz w:val="22"/>
          <w:szCs w:val="22"/>
        </w:rPr>
        <w:t>expli</w:t>
      </w:r>
      <w:r w:rsidR="007A6290" w:rsidRPr="000A6A12">
        <w:rPr>
          <w:sz w:val="22"/>
          <w:szCs w:val="22"/>
        </w:rPr>
        <w:t>c</w:t>
      </w:r>
      <w:r w:rsidR="00DD3A6E" w:rsidRPr="000A6A12">
        <w:rPr>
          <w:sz w:val="22"/>
          <w:szCs w:val="22"/>
        </w:rPr>
        <w:t>an dicho desempeño.</w:t>
      </w:r>
    </w:p>
    <w:p w14:paraId="01EFE36A" w14:textId="6A88779B" w:rsidR="000A6A12" w:rsidRDefault="000A6A12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360611" w:rsidRPr="000A6A12">
        <w:rPr>
          <w:sz w:val="22"/>
          <w:szCs w:val="22"/>
        </w:rPr>
        <w:t>ste</w:t>
      </w:r>
      <w:r w:rsidR="007A6290" w:rsidRPr="000A6A12">
        <w:rPr>
          <w:sz w:val="22"/>
          <w:szCs w:val="22"/>
        </w:rPr>
        <w:t xml:space="preserve"> proyecto se llevará a cabo de la siguiente manera, se extraerán datos educativos, económicos y demográficos de una serie de fuentes que se detalla</w:t>
      </w:r>
      <w:r w:rsidR="00494077">
        <w:rPr>
          <w:sz w:val="22"/>
          <w:szCs w:val="22"/>
        </w:rPr>
        <w:t>n</w:t>
      </w:r>
      <w:r w:rsidR="007A6290" w:rsidRPr="000A6A12">
        <w:rPr>
          <w:sz w:val="22"/>
          <w:szCs w:val="22"/>
        </w:rPr>
        <w:t xml:space="preserve"> más adelante. Se hará un proceso ETL en Python usando la librería Pandas con los mismos y se cargarán en una base de datos de SQL. Se realizará un EDA y modelos de clasificación en clusters de localidades que compartan características semejantes en los aspectos a analizar.</w:t>
      </w:r>
      <w:r w:rsidR="00CB3118">
        <w:rPr>
          <w:sz w:val="22"/>
          <w:szCs w:val="22"/>
        </w:rPr>
        <w:t xml:space="preserve"> </w:t>
      </w:r>
      <w:r w:rsidR="00EF16A1" w:rsidRPr="000A6A12">
        <w:rPr>
          <w:sz w:val="22"/>
          <w:szCs w:val="22"/>
        </w:rPr>
        <w:t>Como tecnología no explicada en el aula y que se investiga se usará Power Bi para presentar resultados.</w:t>
      </w:r>
    </w:p>
    <w:p w14:paraId="43D29C8E" w14:textId="6ADEE142" w:rsidR="004E3640" w:rsidRDefault="004E3640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Para dar un contexto temporal unitario al análisis, los datos se extraen del año 2022, eligiendo este año por ser el más cercano a la actualidad del que se disponen de datos completos.</w:t>
      </w:r>
    </w:p>
    <w:p w14:paraId="13ADC535" w14:textId="2D612B38" w:rsidR="00691D88" w:rsidRDefault="00DD3A6E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Como medidores del desempeño educativo se usan las puntuaciones del informe PISA de 2022</w:t>
      </w:r>
      <w:r w:rsidR="007A6290" w:rsidRPr="000A6A12">
        <w:rPr>
          <w:sz w:val="22"/>
          <w:szCs w:val="22"/>
        </w:rPr>
        <w:t>, la tasa de repetidores por curso, comunidad autónoma y provincia y el porcentaje de aprobados en la EBAU.</w:t>
      </w:r>
    </w:p>
    <w:p w14:paraId="22AD89D0" w14:textId="151F73DE" w:rsidR="00F71162" w:rsidRPr="000A6A12" w:rsidRDefault="007A6290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Los datos educativos, demográficos y económicos</w:t>
      </w:r>
      <w:r w:rsidR="00F71162" w:rsidRPr="000A6A12">
        <w:rPr>
          <w:sz w:val="22"/>
          <w:szCs w:val="22"/>
        </w:rPr>
        <w:t xml:space="preserve"> que se usan para el proyecto se obtienen mediante web scrapping, y son los siguientes</w:t>
      </w:r>
      <w:r w:rsidR="00EF16A1" w:rsidRPr="000A6A12">
        <w:rPr>
          <w:sz w:val="22"/>
          <w:szCs w:val="22"/>
        </w:rPr>
        <w:t>:</w:t>
      </w:r>
    </w:p>
    <w:p w14:paraId="04CFF8DB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Ministerio de educación y ciencia: </w:t>
      </w:r>
    </w:p>
    <w:p w14:paraId="16EAC61B" w14:textId="63147FDE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Nota E</w:t>
      </w:r>
      <w:r w:rsidR="00845A87">
        <w:rPr>
          <w:sz w:val="22"/>
          <w:szCs w:val="22"/>
        </w:rPr>
        <w:t>B</w:t>
      </w:r>
      <w:r w:rsidRPr="000A6A12">
        <w:rPr>
          <w:sz w:val="22"/>
          <w:szCs w:val="22"/>
        </w:rPr>
        <w:t>AU por comunidad autónoma</w:t>
      </w:r>
    </w:p>
    <w:p w14:paraId="47BEC03E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>Ministerio de Ciencia, Innovación y Universidades</w:t>
      </w:r>
    </w:p>
    <w:p w14:paraId="7BE1DA78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Universidades por provincia</w:t>
      </w:r>
    </w:p>
    <w:p w14:paraId="7F6387EF" w14:textId="77777777" w:rsidR="00EF16A1" w:rsidRPr="000A6A12" w:rsidRDefault="00EF16A1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INE: </w:t>
      </w:r>
    </w:p>
    <w:p w14:paraId="2862E6F8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Censo nacional, autonómico, provincial y municipal</w:t>
      </w:r>
    </w:p>
    <w:p w14:paraId="098B455A" w14:textId="1730D23B" w:rsidR="00BA0038" w:rsidRDefault="00BA0038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BA0038">
        <w:rPr>
          <w:sz w:val="22"/>
          <w:szCs w:val="22"/>
        </w:rPr>
        <w:t>Nivel de estudios completados: Población de 15 y más años por sexo y nivel de estudios (agrupado) (Municipios entre 50 y 500 habitantes)</w:t>
      </w:r>
    </w:p>
    <w:p w14:paraId="3A03695D" w14:textId="6CA30AC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Nivel de estudios completados: Población de 15 y más años por sexo, lugar de nacimiento (España/extranjero) y nivel de estudios (detalle) (Municipios de 500 habitantes o más)</w:t>
      </w:r>
      <w:r w:rsidR="00BA0038">
        <w:rPr>
          <w:sz w:val="22"/>
          <w:szCs w:val="22"/>
        </w:rPr>
        <w:t>. Estos datos también se obtienen para</w:t>
      </w:r>
      <w:r w:rsidRPr="000A6A12">
        <w:rPr>
          <w:sz w:val="22"/>
          <w:szCs w:val="22"/>
        </w:rPr>
        <w:t xml:space="preserve"> Comunidades Autónomas.</w:t>
      </w:r>
    </w:p>
    <w:p w14:paraId="2FEDDA8B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lastRenderedPageBreak/>
        <w:t>Estudios en curso: Población de 15 y más años por sexo, nacionalidad (española/extranjera), nivel más alto de estudios en curso (agrupado) y relación entre lugar de residencia y lugar de estudios (Capitales de provincia y principales ciudades)</w:t>
      </w:r>
    </w:p>
    <w:p w14:paraId="52E5E475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Personas entre 18 y 69 años de edad según máximo nivel educativo alcanzado por sexo e ingresos mensuales netos del hogar</w:t>
      </w:r>
    </w:p>
    <w:p w14:paraId="587A2DCD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Gasto educativo por persona por comunidad autónoma</w:t>
      </w:r>
    </w:p>
    <w:p w14:paraId="623BEE62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Tasa repetidores por curso, comunidad autónoma, provincia</w:t>
      </w:r>
    </w:p>
    <w:p w14:paraId="3035086F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Tasa de paro por provincia, comunidad y nacional</w:t>
      </w:r>
    </w:p>
    <w:p w14:paraId="4B582C7A" w14:textId="77777777" w:rsidR="00EF16A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Renta media por comunidad, provincia y municipio.</w:t>
      </w:r>
    </w:p>
    <w:p w14:paraId="39DB6800" w14:textId="77777777" w:rsidR="006A3486" w:rsidRPr="000A6A12" w:rsidRDefault="006A3486" w:rsidP="000A6A12">
      <w:pPr>
        <w:ind w:left="1440"/>
        <w:jc w:val="both"/>
        <w:rPr>
          <w:sz w:val="22"/>
          <w:szCs w:val="22"/>
        </w:rPr>
      </w:pPr>
    </w:p>
    <w:p w14:paraId="444A538E" w14:textId="7CE1CF01" w:rsidR="00EF16A1" w:rsidRPr="000A6A12" w:rsidRDefault="00F71162" w:rsidP="000A6A12">
      <w:pPr>
        <w:numPr>
          <w:ilvl w:val="0"/>
          <w:numId w:val="5"/>
        </w:numPr>
        <w:jc w:val="both"/>
        <w:rPr>
          <w:sz w:val="22"/>
          <w:szCs w:val="22"/>
        </w:rPr>
      </w:pPr>
      <w:r w:rsidRPr="000A6A12">
        <w:rPr>
          <w:b/>
          <w:bCs/>
          <w:sz w:val="22"/>
          <w:szCs w:val="22"/>
        </w:rPr>
        <w:t xml:space="preserve">Wikipedia (El informe PISA lo publica la </w:t>
      </w:r>
      <w:r w:rsidR="00EF16A1" w:rsidRPr="000A6A12">
        <w:rPr>
          <w:b/>
          <w:bCs/>
          <w:sz w:val="22"/>
          <w:szCs w:val="22"/>
        </w:rPr>
        <w:t>O.E.C.D</w:t>
      </w:r>
      <w:r w:rsidRPr="000A6A12">
        <w:rPr>
          <w:b/>
          <w:bCs/>
          <w:sz w:val="22"/>
          <w:szCs w:val="22"/>
        </w:rPr>
        <w:t xml:space="preserve"> y está disponible en su web, pero en la Wikipedia se encuentra la tabla que resume las puntuaciones que nos interesan, por lo que se escrapea desde ahí)</w:t>
      </w:r>
    </w:p>
    <w:p w14:paraId="2CDBF0E8" w14:textId="201D304C" w:rsidR="00360611" w:rsidRPr="000A6A12" w:rsidRDefault="00EF16A1" w:rsidP="000A6A12">
      <w:pPr>
        <w:numPr>
          <w:ilvl w:val="1"/>
          <w:numId w:val="5"/>
        </w:num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Puntuación en informe PISA de Matemáticas, ciencias y comprensión lectora, a nivel nacional y autonómico</w:t>
      </w:r>
    </w:p>
    <w:p w14:paraId="56BEC4F4" w14:textId="77777777" w:rsidR="000A6A12" w:rsidRDefault="000A6A12" w:rsidP="000A6A12">
      <w:pPr>
        <w:pStyle w:val="Prrafodelista"/>
        <w:ind w:left="360"/>
        <w:jc w:val="both"/>
        <w:rPr>
          <w:b/>
          <w:bCs/>
          <w:sz w:val="22"/>
          <w:szCs w:val="22"/>
        </w:rPr>
      </w:pPr>
    </w:p>
    <w:p w14:paraId="2B2EA87E" w14:textId="2CC683E5" w:rsidR="00360611" w:rsidRPr="000A6A12" w:rsidRDefault="00360611" w:rsidP="000A6A12">
      <w:pPr>
        <w:pStyle w:val="Prrafodelista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 w:rsidRPr="000A6A12">
        <w:rPr>
          <w:b/>
          <w:bCs/>
          <w:sz w:val="22"/>
          <w:szCs w:val="22"/>
        </w:rPr>
        <w:t>Contexto de negocio</w:t>
      </w:r>
    </w:p>
    <w:p w14:paraId="76B9E848" w14:textId="77777777" w:rsidR="000A6A12" w:rsidRPr="000A6A12" w:rsidRDefault="000A6A12" w:rsidP="000A6A12">
      <w:pPr>
        <w:jc w:val="both"/>
        <w:rPr>
          <w:sz w:val="22"/>
          <w:szCs w:val="22"/>
        </w:rPr>
      </w:pPr>
    </w:p>
    <w:p w14:paraId="30F9063C" w14:textId="77B84D22" w:rsidR="00360611" w:rsidRPr="000A6A12" w:rsidRDefault="00360611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 xml:space="preserve">Desde el punto de vista de la utilidad empresarial o de negocio, este proyecto se contextualiza en el marco de las administraciones públicas, para mejorar la situación de la educación en España. Concretamente, el Gobierno de la Nación nos pide un </w:t>
      </w:r>
      <w:r w:rsidR="000A6A12" w:rsidRPr="000A6A12">
        <w:rPr>
          <w:sz w:val="22"/>
          <w:szCs w:val="22"/>
        </w:rPr>
        <w:t>análisis sobre el estado de la educación en España sobre el estado de la educación a nivel nacional, autonómico, provincial y municipal. El objetivo es encontrar los factores demográficos y educativos que causan desigualdad en el desempeño educativo.</w:t>
      </w:r>
      <w:r w:rsidR="00AD641A">
        <w:rPr>
          <w:sz w:val="22"/>
          <w:szCs w:val="22"/>
        </w:rPr>
        <w:t xml:space="preserve"> El objetivo es encontrar medidas que favorezcan la </w:t>
      </w:r>
      <w:r w:rsidR="00845A87">
        <w:rPr>
          <w:sz w:val="22"/>
          <w:szCs w:val="22"/>
        </w:rPr>
        <w:t>igualdad</w:t>
      </w:r>
      <w:r w:rsidR="00AD641A">
        <w:rPr>
          <w:sz w:val="22"/>
          <w:szCs w:val="22"/>
        </w:rPr>
        <w:t xml:space="preserve"> de oportunidades en el acceso y desempeño en la educación pública.</w:t>
      </w:r>
    </w:p>
    <w:p w14:paraId="2EBFF056" w14:textId="7DDD222C" w:rsidR="007A6290" w:rsidRP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Pretendemos responder a preguntas como:</w:t>
      </w:r>
    </w:p>
    <w:p w14:paraId="68B0CD0C" w14:textId="096E4106" w:rsidR="000A6A12" w:rsidRP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“¿Influye el nivel de ingresos del hogar en el nivel educativo máximo alcanzado?</w:t>
      </w:r>
      <w:r w:rsidR="00845A87">
        <w:rPr>
          <w:sz w:val="22"/>
          <w:szCs w:val="22"/>
        </w:rPr>
        <w:t>”</w:t>
      </w:r>
    </w:p>
    <w:p w14:paraId="4CF787B3" w14:textId="61B73BF8" w:rsidR="000A6A12" w:rsidRDefault="000A6A12" w:rsidP="000A6A12">
      <w:pPr>
        <w:jc w:val="both"/>
        <w:rPr>
          <w:sz w:val="22"/>
          <w:szCs w:val="22"/>
        </w:rPr>
      </w:pPr>
      <w:r w:rsidRPr="000A6A12">
        <w:rPr>
          <w:sz w:val="22"/>
          <w:szCs w:val="22"/>
        </w:rPr>
        <w:t>“¿Qué relación hay entre gasto medio educativo por alumno y el desempeño educativo?”</w:t>
      </w:r>
    </w:p>
    <w:p w14:paraId="157002B4" w14:textId="6A878DB7" w:rsidR="00BA0038" w:rsidRDefault="00BA0038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>¿Hay diferencias significativas en el nivel máximo educativo alcanzado</w:t>
      </w:r>
      <w:r w:rsidR="00845A87">
        <w:rPr>
          <w:sz w:val="22"/>
          <w:szCs w:val="22"/>
        </w:rPr>
        <w:t xml:space="preserve"> respecto al</w:t>
      </w:r>
      <w:r>
        <w:rPr>
          <w:sz w:val="22"/>
          <w:szCs w:val="22"/>
        </w:rPr>
        <w:t xml:space="preserve"> sexo</w:t>
      </w:r>
      <w:r w:rsidR="00845A87">
        <w:rPr>
          <w:sz w:val="22"/>
          <w:szCs w:val="22"/>
        </w:rPr>
        <w:t xml:space="preserve"> y</w:t>
      </w:r>
      <w:r>
        <w:rPr>
          <w:sz w:val="22"/>
          <w:szCs w:val="22"/>
        </w:rPr>
        <w:t xml:space="preserve"> el lugar de nacimiento?</w:t>
      </w:r>
    </w:p>
    <w:p w14:paraId="0D79904F" w14:textId="081A4E2D" w:rsidR="00BA0038" w:rsidRPr="000A6A12" w:rsidRDefault="00BA0038" w:rsidP="000A6A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las conclusiones del análisis </w:t>
      </w:r>
      <w:r w:rsidR="00AD641A">
        <w:rPr>
          <w:sz w:val="22"/>
          <w:szCs w:val="22"/>
        </w:rPr>
        <w:t>trataremos de dar algún insight que sirva para favorecer la igualdad de oportunidades en el derecho a la educación pública. Por ejemplo</w:t>
      </w:r>
      <w:r w:rsidR="009A03DB">
        <w:rPr>
          <w:sz w:val="22"/>
          <w:szCs w:val="22"/>
        </w:rPr>
        <w:t>,</w:t>
      </w:r>
      <w:r w:rsidR="00AD641A">
        <w:rPr>
          <w:sz w:val="22"/>
          <w:szCs w:val="22"/>
        </w:rPr>
        <w:t xml:space="preserve"> encontrar donde hace falta mayor inversión, o que grupos de población necesitan mayor integración e igualdad educativa.</w:t>
      </w:r>
    </w:p>
    <w:sectPr w:rsidR="00BA0038" w:rsidRPr="000A6A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E024F" w14:textId="77777777" w:rsidR="000A6A12" w:rsidRDefault="000A6A12" w:rsidP="000A6A12">
      <w:pPr>
        <w:spacing w:after="0" w:line="240" w:lineRule="auto"/>
      </w:pPr>
      <w:r>
        <w:separator/>
      </w:r>
    </w:p>
  </w:endnote>
  <w:endnote w:type="continuationSeparator" w:id="0">
    <w:p w14:paraId="0366656C" w14:textId="77777777" w:rsidR="000A6A12" w:rsidRDefault="000A6A12" w:rsidP="000A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FDBD5" w14:textId="77777777" w:rsidR="000A6A12" w:rsidRDefault="000A6A12" w:rsidP="000A6A12">
      <w:pPr>
        <w:spacing w:after="0" w:line="240" w:lineRule="auto"/>
      </w:pPr>
      <w:r>
        <w:separator/>
      </w:r>
    </w:p>
  </w:footnote>
  <w:footnote w:type="continuationSeparator" w:id="0">
    <w:p w14:paraId="3C1697CB" w14:textId="77777777" w:rsidR="000A6A12" w:rsidRDefault="000A6A12" w:rsidP="000A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F6B4" w14:textId="77777777" w:rsidR="000A6A12" w:rsidRDefault="000A6A12" w:rsidP="000A6A12">
    <w:pPr>
      <w:pStyle w:val="Encabezado"/>
      <w:ind w:left="4252" w:hanging="425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16C0"/>
    <w:multiLevelType w:val="hybridMultilevel"/>
    <w:tmpl w:val="0B867A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04790"/>
    <w:multiLevelType w:val="hybridMultilevel"/>
    <w:tmpl w:val="3A369CE2"/>
    <w:lvl w:ilvl="0" w:tplc="C4A44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8470B"/>
    <w:multiLevelType w:val="hybridMultilevel"/>
    <w:tmpl w:val="5AEA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689C"/>
    <w:multiLevelType w:val="hybridMultilevel"/>
    <w:tmpl w:val="E0DAC45A"/>
    <w:lvl w:ilvl="0" w:tplc="50380D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DA83B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A23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DE28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C08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809B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AC53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9444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21D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EC4193"/>
    <w:multiLevelType w:val="hybridMultilevel"/>
    <w:tmpl w:val="7FECE0E8"/>
    <w:lvl w:ilvl="0" w:tplc="BFF0142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7A3D6D"/>
    <w:multiLevelType w:val="hybridMultilevel"/>
    <w:tmpl w:val="8BB08056"/>
    <w:lvl w:ilvl="0" w:tplc="FC281C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883CD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8A5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6632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6F2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44F7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2EEC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A6FD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B2A7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7022335">
    <w:abstractNumId w:val="1"/>
  </w:num>
  <w:num w:numId="2" w16cid:durableId="944461500">
    <w:abstractNumId w:val="2"/>
  </w:num>
  <w:num w:numId="3" w16cid:durableId="1138575711">
    <w:abstractNumId w:val="0"/>
  </w:num>
  <w:num w:numId="4" w16cid:durableId="1634679283">
    <w:abstractNumId w:val="4"/>
  </w:num>
  <w:num w:numId="5" w16cid:durableId="97413584">
    <w:abstractNumId w:val="5"/>
  </w:num>
  <w:num w:numId="6" w16cid:durableId="1421175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1E"/>
    <w:rsid w:val="0001280C"/>
    <w:rsid w:val="000500F5"/>
    <w:rsid w:val="000A6A12"/>
    <w:rsid w:val="0019641D"/>
    <w:rsid w:val="001D3E03"/>
    <w:rsid w:val="002D2282"/>
    <w:rsid w:val="00360611"/>
    <w:rsid w:val="00412A7D"/>
    <w:rsid w:val="0047131E"/>
    <w:rsid w:val="00494077"/>
    <w:rsid w:val="004E3640"/>
    <w:rsid w:val="00553DE8"/>
    <w:rsid w:val="00691D88"/>
    <w:rsid w:val="006A3486"/>
    <w:rsid w:val="0070035F"/>
    <w:rsid w:val="00766633"/>
    <w:rsid w:val="00767DA4"/>
    <w:rsid w:val="007A6290"/>
    <w:rsid w:val="007C7062"/>
    <w:rsid w:val="00845A87"/>
    <w:rsid w:val="009A03DB"/>
    <w:rsid w:val="00A8299E"/>
    <w:rsid w:val="00AD641A"/>
    <w:rsid w:val="00BA0038"/>
    <w:rsid w:val="00CB3118"/>
    <w:rsid w:val="00D218F1"/>
    <w:rsid w:val="00DD3A6E"/>
    <w:rsid w:val="00EF16A1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16AC"/>
  <w15:chartTrackingRefBased/>
  <w15:docId w15:val="{B16C06F6-5B29-4942-A602-575752CC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3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3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3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3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3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A12"/>
  </w:style>
  <w:style w:type="paragraph" w:styleId="Piedepgina">
    <w:name w:val="footer"/>
    <w:basedOn w:val="Normal"/>
    <w:link w:val="PiedepginaCar"/>
    <w:uiPriority w:val="99"/>
    <w:unhideWhenUsed/>
    <w:rsid w:val="000A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A12"/>
  </w:style>
  <w:style w:type="character" w:styleId="Hipervnculo">
    <w:name w:val="Hyperlink"/>
    <w:basedOn w:val="Fuentedeprrafopredeter"/>
    <w:uiPriority w:val="99"/>
    <w:unhideWhenUsed/>
    <w:rsid w:val="00BA00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4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37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79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29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3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3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0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8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1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4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0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8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2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Castellot De Miguel</dc:creator>
  <cp:keywords/>
  <dc:description/>
  <cp:lastModifiedBy>Rafael Castellot De Miguel</cp:lastModifiedBy>
  <cp:revision>11</cp:revision>
  <dcterms:created xsi:type="dcterms:W3CDTF">2025-01-08T11:58:00Z</dcterms:created>
  <dcterms:modified xsi:type="dcterms:W3CDTF">2025-01-13T16:15:00Z</dcterms:modified>
</cp:coreProperties>
</file>