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9FBC8" w14:textId="77777777" w:rsidR="00F0140C" w:rsidRDefault="00F0140C" w:rsidP="002174C1"/>
    <w:p w14:paraId="5C4E277F" w14:textId="77777777" w:rsidR="00F0140C" w:rsidRDefault="00F0140C" w:rsidP="002174C1"/>
    <w:p w14:paraId="75ED2925" w14:textId="77777777" w:rsidR="00F0140C" w:rsidRDefault="00F0140C" w:rsidP="002174C1"/>
    <w:p w14:paraId="76298541" w14:textId="77777777" w:rsidR="00F0140C" w:rsidRDefault="00F0140C" w:rsidP="002174C1"/>
    <w:p w14:paraId="7BF691B5" w14:textId="77777777" w:rsidR="00F0140C" w:rsidRDefault="00F0140C" w:rsidP="002174C1"/>
    <w:p w14:paraId="76C4EA33" w14:textId="77777777" w:rsidR="00F0140C" w:rsidRDefault="00F0140C" w:rsidP="002174C1"/>
    <w:p w14:paraId="35E5EDB8" w14:textId="77777777" w:rsidR="00F0140C" w:rsidRDefault="00F0140C" w:rsidP="002174C1"/>
    <w:p w14:paraId="5AC37A40" w14:textId="77777777" w:rsidR="00F0140C" w:rsidRDefault="00F0140C" w:rsidP="002174C1"/>
    <w:p w14:paraId="2B3C34D5" w14:textId="77777777" w:rsidR="00F0140C" w:rsidRPr="00F0140C" w:rsidRDefault="00F0140C" w:rsidP="00EE76BA">
      <w:pPr>
        <w:spacing w:line="480" w:lineRule="auto"/>
        <w:rPr>
          <w:rFonts w:ascii="Times New Roman" w:hAnsi="Times New Roman" w:cs="Times New Roman"/>
        </w:rPr>
      </w:pPr>
    </w:p>
    <w:p w14:paraId="6BAC545D" w14:textId="03EDED52" w:rsidR="002174C1" w:rsidRPr="00F0140C" w:rsidRDefault="00FE0A26" w:rsidP="00F0140C">
      <w:pPr>
        <w:spacing w:line="480" w:lineRule="auto"/>
        <w:jc w:val="center"/>
        <w:rPr>
          <w:rFonts w:ascii="Times New Roman" w:hAnsi="Times New Roman" w:cs="Times New Roman"/>
        </w:rPr>
      </w:pPr>
      <w:r w:rsidRPr="00F0140C">
        <w:rPr>
          <w:rFonts w:ascii="Times New Roman" w:hAnsi="Times New Roman" w:cs="Times New Roman"/>
        </w:rPr>
        <w:t>Rebekah Cheyenn</w:t>
      </w:r>
      <w:r w:rsidR="00EE76BA">
        <w:rPr>
          <w:rFonts w:ascii="Times New Roman" w:hAnsi="Times New Roman" w:cs="Times New Roman"/>
        </w:rPr>
        <w:t>e</w:t>
      </w:r>
      <w:r w:rsidRPr="00F0140C">
        <w:rPr>
          <w:rFonts w:ascii="Times New Roman" w:hAnsi="Times New Roman" w:cs="Times New Roman"/>
        </w:rPr>
        <w:t xml:space="preserve"> Conner</w:t>
      </w:r>
    </w:p>
    <w:p w14:paraId="11C0C20E" w14:textId="7F931900" w:rsidR="002174C1" w:rsidRPr="00F0140C" w:rsidRDefault="005C7675" w:rsidP="00F0140C">
      <w:pPr>
        <w:spacing w:line="480" w:lineRule="auto"/>
        <w:jc w:val="center"/>
        <w:rPr>
          <w:rFonts w:ascii="Times New Roman" w:hAnsi="Times New Roman" w:cs="Times New Roman"/>
        </w:rPr>
      </w:pPr>
      <w:r w:rsidRPr="00F0140C">
        <w:rPr>
          <w:rFonts w:ascii="Times New Roman" w:hAnsi="Times New Roman" w:cs="Times New Roman"/>
        </w:rPr>
        <w:t>ITI-</w:t>
      </w:r>
      <w:r w:rsidR="00EE6A6F" w:rsidRPr="00F0140C">
        <w:rPr>
          <w:rFonts w:ascii="Times New Roman" w:hAnsi="Times New Roman" w:cs="Times New Roman"/>
        </w:rPr>
        <w:t>4070-WB01</w:t>
      </w:r>
      <w:r w:rsidR="00F0140C" w:rsidRPr="00F0140C">
        <w:rPr>
          <w:rFonts w:ascii="Times New Roman" w:hAnsi="Times New Roman" w:cs="Times New Roman"/>
        </w:rPr>
        <w:t xml:space="preserve"> Network Security/ Cryptography</w:t>
      </w:r>
    </w:p>
    <w:p w14:paraId="2150FD7C" w14:textId="2645399A" w:rsidR="002174C1" w:rsidRPr="00F5180B" w:rsidRDefault="002174C1" w:rsidP="00F0140C">
      <w:pPr>
        <w:spacing w:line="480" w:lineRule="auto"/>
        <w:jc w:val="center"/>
        <w:rPr>
          <w:rFonts w:ascii="Times New Roman" w:hAnsi="Times New Roman" w:cs="Times New Roman"/>
        </w:rPr>
      </w:pPr>
      <w:r w:rsidRPr="00F5180B">
        <w:rPr>
          <w:rFonts w:ascii="Times New Roman" w:hAnsi="Times New Roman" w:cs="Times New Roman"/>
        </w:rPr>
        <w:t>Final Assignment</w:t>
      </w:r>
      <w:r w:rsidR="00F5180B">
        <w:rPr>
          <w:rFonts w:ascii="Times New Roman" w:hAnsi="Times New Roman" w:cs="Times New Roman"/>
        </w:rPr>
        <w:t>:</w:t>
      </w:r>
      <w:r w:rsidRPr="00F5180B">
        <w:rPr>
          <w:rFonts w:ascii="Times New Roman" w:hAnsi="Times New Roman" w:cs="Times New Roman"/>
        </w:rPr>
        <w:t xml:space="preserve"> Developing a Holistic Information Security Strategy</w:t>
      </w:r>
    </w:p>
    <w:p w14:paraId="3B1D820A" w14:textId="0D870E78" w:rsidR="002174C1" w:rsidRPr="00F0140C" w:rsidRDefault="00F0140C" w:rsidP="00F0140C">
      <w:pPr>
        <w:spacing w:line="480" w:lineRule="auto"/>
        <w:jc w:val="center"/>
        <w:rPr>
          <w:rFonts w:ascii="Times New Roman" w:hAnsi="Times New Roman" w:cs="Times New Roman"/>
        </w:rPr>
      </w:pPr>
      <w:r w:rsidRPr="00F0140C">
        <w:rPr>
          <w:rFonts w:ascii="Times New Roman" w:hAnsi="Times New Roman" w:cs="Times New Roman"/>
        </w:rPr>
        <w:t>11-20-2025</w:t>
      </w:r>
    </w:p>
    <w:p w14:paraId="3FD8EFD7" w14:textId="4A79B87E" w:rsidR="002174C1" w:rsidRPr="00F0140C" w:rsidRDefault="002174C1" w:rsidP="00F0140C">
      <w:pPr>
        <w:spacing w:line="480" w:lineRule="auto"/>
        <w:jc w:val="center"/>
        <w:rPr>
          <w:rFonts w:ascii="Times New Roman" w:hAnsi="Times New Roman" w:cs="Times New Roman"/>
        </w:rPr>
      </w:pPr>
    </w:p>
    <w:p w14:paraId="49C5807C" w14:textId="77777777" w:rsidR="00FE0A26" w:rsidRPr="00F0140C" w:rsidRDefault="00FE0A26" w:rsidP="00F0140C">
      <w:pPr>
        <w:spacing w:line="480" w:lineRule="auto"/>
        <w:jc w:val="center"/>
        <w:rPr>
          <w:rFonts w:ascii="Times New Roman" w:hAnsi="Times New Roman" w:cs="Times New Roman"/>
        </w:rPr>
      </w:pPr>
    </w:p>
    <w:p w14:paraId="5962E473" w14:textId="77777777" w:rsidR="00FE0A26" w:rsidRPr="00F0140C" w:rsidRDefault="00FE0A26" w:rsidP="00F0140C">
      <w:pPr>
        <w:spacing w:line="480" w:lineRule="auto"/>
        <w:jc w:val="center"/>
        <w:rPr>
          <w:rFonts w:ascii="Times New Roman" w:hAnsi="Times New Roman" w:cs="Times New Roman"/>
        </w:rPr>
      </w:pPr>
    </w:p>
    <w:p w14:paraId="3A3757EA" w14:textId="77777777" w:rsidR="00FE0A26" w:rsidRPr="00F0140C" w:rsidRDefault="00FE0A26" w:rsidP="00F0140C">
      <w:pPr>
        <w:spacing w:line="480" w:lineRule="auto"/>
        <w:jc w:val="center"/>
        <w:rPr>
          <w:rFonts w:ascii="Times New Roman" w:hAnsi="Times New Roman" w:cs="Times New Roman"/>
        </w:rPr>
      </w:pPr>
    </w:p>
    <w:p w14:paraId="2896DC77" w14:textId="77777777" w:rsidR="00F0140C" w:rsidRDefault="00F0140C" w:rsidP="00F0140C">
      <w:pPr>
        <w:spacing w:line="480" w:lineRule="auto"/>
        <w:jc w:val="center"/>
        <w:rPr>
          <w:rFonts w:ascii="Times New Roman" w:hAnsi="Times New Roman" w:cs="Times New Roman"/>
        </w:rPr>
      </w:pPr>
    </w:p>
    <w:p w14:paraId="58FCCCB3" w14:textId="77777777" w:rsidR="00F0140C" w:rsidRDefault="00F0140C" w:rsidP="00F0140C">
      <w:pPr>
        <w:spacing w:line="480" w:lineRule="auto"/>
        <w:jc w:val="center"/>
        <w:rPr>
          <w:rFonts w:ascii="Times New Roman" w:hAnsi="Times New Roman" w:cs="Times New Roman"/>
          <w:b/>
          <w:bCs/>
        </w:rPr>
      </w:pPr>
    </w:p>
    <w:p w14:paraId="259041EA" w14:textId="77777777" w:rsidR="00EE76BA" w:rsidRDefault="00EE76BA" w:rsidP="00F0140C">
      <w:pPr>
        <w:spacing w:line="480" w:lineRule="auto"/>
        <w:jc w:val="center"/>
        <w:rPr>
          <w:rFonts w:ascii="Times New Roman" w:hAnsi="Times New Roman" w:cs="Times New Roman"/>
          <w:b/>
          <w:bCs/>
        </w:rPr>
      </w:pPr>
    </w:p>
    <w:p w14:paraId="10CE9857" w14:textId="77777777" w:rsidR="00EE76BA" w:rsidRPr="00F0140C" w:rsidRDefault="00EE76BA" w:rsidP="00F0140C">
      <w:pPr>
        <w:spacing w:line="480" w:lineRule="auto"/>
        <w:jc w:val="center"/>
        <w:rPr>
          <w:rFonts w:ascii="Times New Roman" w:hAnsi="Times New Roman" w:cs="Times New Roman"/>
          <w:b/>
          <w:bCs/>
        </w:rPr>
      </w:pPr>
    </w:p>
    <w:p w14:paraId="439E0374" w14:textId="38C99646" w:rsidR="002174C1" w:rsidRPr="00F0140C" w:rsidRDefault="002174C1" w:rsidP="00F0140C">
      <w:pPr>
        <w:spacing w:line="480" w:lineRule="auto"/>
        <w:jc w:val="center"/>
        <w:rPr>
          <w:rFonts w:ascii="Times New Roman" w:hAnsi="Times New Roman" w:cs="Times New Roman"/>
          <w:b/>
          <w:bCs/>
        </w:rPr>
      </w:pPr>
      <w:r w:rsidRPr="00F0140C">
        <w:rPr>
          <w:rFonts w:ascii="Times New Roman" w:hAnsi="Times New Roman" w:cs="Times New Roman"/>
          <w:b/>
          <w:bCs/>
        </w:rPr>
        <w:lastRenderedPageBreak/>
        <w:t>Developing a Holistic Information Security Strategy</w:t>
      </w:r>
    </w:p>
    <w:p w14:paraId="1FF73EC1" w14:textId="4A489595" w:rsidR="002174C1" w:rsidRPr="00F0140C" w:rsidRDefault="002174C1" w:rsidP="00F0140C">
      <w:pPr>
        <w:spacing w:line="480" w:lineRule="auto"/>
        <w:jc w:val="center"/>
        <w:rPr>
          <w:rFonts w:ascii="Times New Roman" w:hAnsi="Times New Roman" w:cs="Times New Roman"/>
          <w:b/>
          <w:bCs/>
        </w:rPr>
      </w:pPr>
      <w:r w:rsidRPr="00F0140C">
        <w:rPr>
          <w:rFonts w:ascii="Times New Roman" w:hAnsi="Times New Roman" w:cs="Times New Roman"/>
          <w:b/>
          <w:bCs/>
        </w:rPr>
        <w:t>Foundation and Risk Awareness</w:t>
      </w:r>
    </w:p>
    <w:p w14:paraId="7206D903" w14:textId="77777777" w:rsidR="005C7B84" w:rsidRPr="005C7B84" w:rsidRDefault="005C7B84" w:rsidP="005C7B84">
      <w:pPr>
        <w:spacing w:line="480" w:lineRule="auto"/>
        <w:jc w:val="center"/>
        <w:rPr>
          <w:rFonts w:ascii="Times New Roman" w:hAnsi="Times New Roman" w:cs="Times New Roman"/>
        </w:rPr>
      </w:pPr>
      <w:r w:rsidRPr="005C7B84">
        <w:rPr>
          <w:rFonts w:ascii="Times New Roman" w:hAnsi="Times New Roman" w:cs="Times New Roman"/>
        </w:rPr>
        <w:t>The main objective of information security is to ensure organizational information maintains confidentiality, integrity, and availability. To achieve these objectives, an organization must understand the various attack surfaces adversaries can potentially leverage. These include human interaction points, physical devices, networks, applications, cloud interfaces, mobile devices, and third-party systems. Common threats include social engineering, malware, ransomware, insider misuse, credential theft, and attacks on misconfigured cloud services. Attackers target these surfaces to gain unauthorized access or disrupt business operations.</w:t>
      </w:r>
    </w:p>
    <w:p w14:paraId="0BC02B86" w14:textId="77777777" w:rsidR="005C7B84" w:rsidRPr="005C7B84" w:rsidRDefault="005C7B84" w:rsidP="005C7B84">
      <w:pPr>
        <w:spacing w:line="480" w:lineRule="auto"/>
        <w:jc w:val="center"/>
        <w:rPr>
          <w:rFonts w:ascii="Times New Roman" w:hAnsi="Times New Roman" w:cs="Times New Roman"/>
        </w:rPr>
      </w:pPr>
      <w:r w:rsidRPr="005C7B84">
        <w:rPr>
          <w:rFonts w:ascii="Times New Roman" w:hAnsi="Times New Roman" w:cs="Times New Roman"/>
        </w:rPr>
        <w:t>A strong information security program begins with complete visibility of organizational assets. In order to protect the assets, it is necessary to maintain inventories that are accurate regarding hardware, software, data stores, cloud resources, and user identities. Once the assets have been cataloged, they can then be classified based on their level of sensitivity and business impact. The organization must perform risk management activities that involve threat identification, vulnerability assessment, analysis of the likelihood of exploitation, and determination of potential impacts. A structured risk management framework, such as the NIST Risk Management Framework or ISO 27005, will guide the organization in the selection of proper controls for each risk level.</w:t>
      </w:r>
    </w:p>
    <w:p w14:paraId="7BC7A883" w14:textId="665268A7" w:rsidR="00F07CD9" w:rsidRDefault="005C7B84" w:rsidP="005C7B84">
      <w:pPr>
        <w:spacing w:line="480" w:lineRule="auto"/>
        <w:jc w:val="center"/>
        <w:rPr>
          <w:rFonts w:ascii="Times New Roman" w:hAnsi="Times New Roman" w:cs="Times New Roman"/>
        </w:rPr>
      </w:pPr>
      <w:r w:rsidRPr="005C7B84">
        <w:rPr>
          <w:rFonts w:ascii="Times New Roman" w:hAnsi="Times New Roman" w:cs="Times New Roman"/>
        </w:rPr>
        <w:t xml:space="preserve">Third-party vendors introduce more risks because they could be handling sensitive data or connecting to internal systems. It is necessary to put in place a third-party risk evaluation process that evaluates the security posture of every vendor before granting access. The assessment should include review of service level agreements, security certifications, data handling practices, and </w:t>
      </w:r>
      <w:r w:rsidRPr="005C7B84">
        <w:rPr>
          <w:rFonts w:ascii="Times New Roman" w:hAnsi="Times New Roman" w:cs="Times New Roman"/>
        </w:rPr>
        <w:lastRenderedPageBreak/>
        <w:t>incident response procedures. Continuous monitoring will ensure that vendors adhere to security standards that are acceptable during the term of the business relationship.</w:t>
      </w:r>
    </w:p>
    <w:p w14:paraId="10E38FF2" w14:textId="429F7E93" w:rsidR="002174C1" w:rsidRDefault="002174C1" w:rsidP="00F0140C">
      <w:pPr>
        <w:spacing w:line="480" w:lineRule="auto"/>
        <w:jc w:val="center"/>
        <w:rPr>
          <w:rFonts w:ascii="Times New Roman" w:hAnsi="Times New Roman" w:cs="Times New Roman"/>
          <w:b/>
          <w:bCs/>
        </w:rPr>
      </w:pPr>
      <w:r w:rsidRPr="00F0140C">
        <w:rPr>
          <w:rFonts w:ascii="Times New Roman" w:hAnsi="Times New Roman" w:cs="Times New Roman"/>
          <w:b/>
          <w:bCs/>
        </w:rPr>
        <w:t>Technical Security Measures</w:t>
      </w:r>
    </w:p>
    <w:p w14:paraId="1A603326" w14:textId="77777777" w:rsidR="00F565FF" w:rsidRPr="00F565FF" w:rsidRDefault="00F565FF" w:rsidP="00F565FF">
      <w:pPr>
        <w:spacing w:line="480" w:lineRule="auto"/>
        <w:jc w:val="center"/>
        <w:rPr>
          <w:rFonts w:ascii="Times New Roman" w:hAnsi="Times New Roman" w:cs="Times New Roman"/>
        </w:rPr>
      </w:pPr>
      <w:r w:rsidRPr="00F565FF">
        <w:rPr>
          <w:rFonts w:ascii="Times New Roman" w:hAnsi="Times New Roman" w:cs="Times New Roman"/>
        </w:rPr>
        <w:t>Cryptography is one of the cornerstones for data protection, both at rest and while in motion. Basic cryptography involves symmetric and asymmetric encryption. Symmetric encryption, like AES, provides fast and efficient data storage protection, whereas asymmetric encryption, such as with RSA or ECC, is used to enable secure communication sessions and digital signatures. More specific cryptographic techniques include hashing and key derivation functions, multifactor authentication tokens, and public key infrastructure, which greatly enhance the organization's capability related to identity verification and data integrity preservation.</w:t>
      </w:r>
    </w:p>
    <w:p w14:paraId="7796F199" w14:textId="77777777" w:rsidR="00F565FF" w:rsidRPr="00F565FF" w:rsidRDefault="00F565FF" w:rsidP="00F565FF">
      <w:pPr>
        <w:spacing w:line="480" w:lineRule="auto"/>
        <w:jc w:val="center"/>
        <w:rPr>
          <w:rFonts w:ascii="Times New Roman" w:hAnsi="Times New Roman" w:cs="Times New Roman"/>
        </w:rPr>
      </w:pPr>
      <w:r w:rsidRPr="00F565FF">
        <w:rPr>
          <w:rFonts w:ascii="Times New Roman" w:hAnsi="Times New Roman" w:cs="Times New Roman"/>
        </w:rPr>
        <w:t>Traditional workstations, laptops, mobile devices, and embedded systems need to be protected by endpoint security controls. These controls include antivirus tools, host-based firewalls, device encryption, mobile device management, and configuration hardening. Remote users must connect to the network over secure channels, such as through VPNs, and use only devices that meet the organization's security baselines. The wireless network requires WPA3 encryption, network segmentation, access control lists, and continuous monitoring to detect and prevent unauthorized access points.</w:t>
      </w:r>
    </w:p>
    <w:p w14:paraId="00FD8DDE" w14:textId="74BF6EA5" w:rsidR="00E04616" w:rsidRPr="00E04616" w:rsidRDefault="00F565FF" w:rsidP="00F565FF">
      <w:pPr>
        <w:spacing w:line="480" w:lineRule="auto"/>
        <w:jc w:val="center"/>
        <w:rPr>
          <w:rFonts w:ascii="Times New Roman" w:hAnsi="Times New Roman" w:cs="Times New Roman"/>
        </w:rPr>
      </w:pPr>
      <w:r w:rsidRPr="00F565FF">
        <w:rPr>
          <w:rFonts w:ascii="Times New Roman" w:hAnsi="Times New Roman" w:cs="Times New Roman"/>
        </w:rPr>
        <w:t xml:space="preserve">On-premise servers and network infrastructure should adhere to secure configuration standards and network segmentation practices. Very sensitive servers should be further restricted through firewalls, intrusion detection systems, and strict administration controls. Cloud and virtual environments require additional emphasis on configuration management and identity control. The native cloud security tools, multifactor authentication, role-based access, and continuous </w:t>
      </w:r>
      <w:r w:rsidRPr="00F565FF">
        <w:rPr>
          <w:rFonts w:ascii="Times New Roman" w:hAnsi="Times New Roman" w:cs="Times New Roman"/>
        </w:rPr>
        <w:lastRenderedPageBreak/>
        <w:t>monitoring should be used by these environments to identify configuration drift or abnormal activity. Virtualized systems should be isolated to prevent lateral movement in case of compromise of one environment.</w:t>
      </w:r>
    </w:p>
    <w:p w14:paraId="30A38926" w14:textId="3419D3B9" w:rsidR="002174C1" w:rsidRPr="00F0140C" w:rsidRDefault="002174C1" w:rsidP="00F0140C">
      <w:pPr>
        <w:spacing w:line="480" w:lineRule="auto"/>
        <w:jc w:val="center"/>
        <w:rPr>
          <w:rFonts w:ascii="Times New Roman" w:hAnsi="Times New Roman" w:cs="Times New Roman"/>
          <w:b/>
          <w:bCs/>
        </w:rPr>
      </w:pPr>
      <w:r w:rsidRPr="00F0140C">
        <w:rPr>
          <w:rFonts w:ascii="Times New Roman" w:hAnsi="Times New Roman" w:cs="Times New Roman"/>
          <w:b/>
          <w:bCs/>
        </w:rPr>
        <w:t>Operational Security Practices</w:t>
      </w:r>
    </w:p>
    <w:p w14:paraId="141DEDBF" w14:textId="77777777" w:rsidR="001A3FB6" w:rsidRPr="001A3FB6" w:rsidRDefault="001A3FB6" w:rsidP="001A3FB6">
      <w:pPr>
        <w:spacing w:line="480" w:lineRule="auto"/>
        <w:jc w:val="center"/>
        <w:rPr>
          <w:rFonts w:ascii="Times New Roman" w:hAnsi="Times New Roman" w:cs="Times New Roman"/>
        </w:rPr>
      </w:pPr>
      <w:r w:rsidRPr="001A3FB6">
        <w:rPr>
          <w:rFonts w:ascii="Times New Roman" w:hAnsi="Times New Roman" w:cs="Times New Roman"/>
        </w:rPr>
        <w:t>The Identity and Access Management system will need to be solid in order to ensure that sensitive systems are accessible only to authorized personnel. The program should provide for multi-factor authentication, role-based access control, and access review on a regular basis. Automation tools can ease the process of account creation, assignment of privileges, and revocation through identity governance platforms. Security orchestration and automation tools respond to alerts by correlating data, triggering automated investigation steps, and reducing the workload on analysts.</w:t>
      </w:r>
    </w:p>
    <w:p w14:paraId="5B366890" w14:textId="77777777" w:rsidR="001A3FB6" w:rsidRPr="001A3FB6" w:rsidRDefault="001A3FB6" w:rsidP="001A3FB6">
      <w:pPr>
        <w:spacing w:line="480" w:lineRule="auto"/>
        <w:jc w:val="center"/>
        <w:rPr>
          <w:rFonts w:ascii="Times New Roman" w:hAnsi="Times New Roman" w:cs="Times New Roman"/>
        </w:rPr>
      </w:pPr>
      <w:r w:rsidRPr="001A3FB6">
        <w:rPr>
          <w:rFonts w:ascii="Times New Roman" w:hAnsi="Times New Roman" w:cs="Times New Roman"/>
        </w:rPr>
        <w:t>Security event monitoring is performed through a security information and event management platform, which takes feeds from servers, applications, cloud services, and endpoint devices. It finds anomalies and alerts analysts to potential threats. Scanning for vulnerabilities is done on a routine basis in order to identify outdated software or misconfigurations that attackers might leverage. This is deepened by penetration testing, ensuring controls are working as intended in terms of the real-world vulnerabilities.</w:t>
      </w:r>
    </w:p>
    <w:p w14:paraId="515654A6" w14:textId="77777777" w:rsidR="001A3FB6" w:rsidRPr="001A3FB6" w:rsidRDefault="001A3FB6" w:rsidP="001A3FB6">
      <w:pPr>
        <w:spacing w:line="480" w:lineRule="auto"/>
        <w:jc w:val="center"/>
        <w:rPr>
          <w:rFonts w:ascii="Times New Roman" w:hAnsi="Times New Roman" w:cs="Times New Roman"/>
        </w:rPr>
      </w:pPr>
      <w:r w:rsidRPr="001A3FB6">
        <w:rPr>
          <w:rFonts w:ascii="Times New Roman" w:hAnsi="Times New Roman" w:cs="Times New Roman"/>
        </w:rPr>
        <w:t xml:space="preserve">Incident response is crucial to maintaining operational resiliency. An incident response plan describes preparation, detection, containment, eradication, recovery, and post-incident review. Response teams should be trained to handle malware outbreaks, insider misuse, system failures, and data loss events. Change management involves tracking and evaluating system updates for potential unintended security exposures. Governance frameworks lead and keep consistency in </w:t>
      </w:r>
      <w:r w:rsidRPr="001A3FB6">
        <w:rPr>
          <w:rFonts w:ascii="Times New Roman" w:hAnsi="Times New Roman" w:cs="Times New Roman"/>
        </w:rPr>
        <w:lastRenderedPageBreak/>
        <w:t>decision-making and proper enforcement of policies and standards. Finally, user awareness training strengthens the human element by teaching employees to recognize social engineering attempts, safeguard credentials, and report suspicious activity.</w:t>
      </w:r>
    </w:p>
    <w:p w14:paraId="77FA3333" w14:textId="77777777" w:rsidR="001A3FB6" w:rsidRPr="001A3FB6" w:rsidRDefault="001A3FB6" w:rsidP="001A3FB6">
      <w:pPr>
        <w:spacing w:line="480" w:lineRule="auto"/>
        <w:jc w:val="center"/>
        <w:rPr>
          <w:rFonts w:ascii="Times New Roman" w:hAnsi="Times New Roman" w:cs="Times New Roman"/>
        </w:rPr>
      </w:pPr>
      <w:r w:rsidRPr="001A3FB6">
        <w:rPr>
          <w:rFonts w:ascii="Times New Roman" w:hAnsi="Times New Roman" w:cs="Times New Roman"/>
        </w:rPr>
        <w:t>A holistic information security strategy requires alignment in the technical, organization, and human processes. Through the integration of risk-based management, strong technical controls, continuous monitoring, and awareness training, the organization develops a resilient security posture that protects data, reduces business risk, and enables safe operations across physical, cloud, and mobile environments.</w:t>
      </w:r>
    </w:p>
    <w:p w14:paraId="6F9A5402" w14:textId="77777777" w:rsidR="00F0140C" w:rsidRDefault="00F0140C" w:rsidP="00F0140C">
      <w:pPr>
        <w:spacing w:line="480" w:lineRule="auto"/>
        <w:jc w:val="center"/>
        <w:rPr>
          <w:rFonts w:ascii="Times New Roman" w:hAnsi="Times New Roman" w:cs="Times New Roman"/>
          <w:b/>
          <w:bCs/>
        </w:rPr>
      </w:pPr>
    </w:p>
    <w:p w14:paraId="241E308D" w14:textId="77777777" w:rsidR="00F0140C" w:rsidRDefault="00F0140C" w:rsidP="00F0140C">
      <w:pPr>
        <w:spacing w:line="480" w:lineRule="auto"/>
        <w:jc w:val="center"/>
        <w:rPr>
          <w:rFonts w:ascii="Times New Roman" w:hAnsi="Times New Roman" w:cs="Times New Roman"/>
          <w:b/>
          <w:bCs/>
        </w:rPr>
      </w:pPr>
    </w:p>
    <w:p w14:paraId="7634BD56" w14:textId="77777777" w:rsidR="00F0140C" w:rsidRDefault="00F0140C" w:rsidP="00F0140C">
      <w:pPr>
        <w:spacing w:line="480" w:lineRule="auto"/>
        <w:jc w:val="center"/>
        <w:rPr>
          <w:rFonts w:ascii="Times New Roman" w:hAnsi="Times New Roman" w:cs="Times New Roman"/>
          <w:b/>
          <w:bCs/>
        </w:rPr>
      </w:pPr>
    </w:p>
    <w:p w14:paraId="0B54382B" w14:textId="77777777" w:rsidR="00F0140C" w:rsidRDefault="00F0140C" w:rsidP="00F0140C">
      <w:pPr>
        <w:spacing w:line="480" w:lineRule="auto"/>
        <w:jc w:val="center"/>
        <w:rPr>
          <w:rFonts w:ascii="Times New Roman" w:hAnsi="Times New Roman" w:cs="Times New Roman"/>
          <w:b/>
          <w:bCs/>
        </w:rPr>
      </w:pPr>
    </w:p>
    <w:p w14:paraId="25D7F8C7" w14:textId="77777777" w:rsidR="00F0140C" w:rsidRDefault="00F0140C" w:rsidP="00F0140C">
      <w:pPr>
        <w:spacing w:line="480" w:lineRule="auto"/>
        <w:jc w:val="center"/>
        <w:rPr>
          <w:rFonts w:ascii="Times New Roman" w:hAnsi="Times New Roman" w:cs="Times New Roman"/>
          <w:b/>
          <w:bCs/>
        </w:rPr>
      </w:pPr>
    </w:p>
    <w:p w14:paraId="7D7118CA" w14:textId="77777777" w:rsidR="00F0140C" w:rsidRDefault="00F0140C" w:rsidP="00F0140C">
      <w:pPr>
        <w:spacing w:line="480" w:lineRule="auto"/>
        <w:jc w:val="center"/>
        <w:rPr>
          <w:rFonts w:ascii="Times New Roman" w:hAnsi="Times New Roman" w:cs="Times New Roman"/>
          <w:b/>
          <w:bCs/>
        </w:rPr>
      </w:pPr>
    </w:p>
    <w:p w14:paraId="4BE7C671" w14:textId="77777777" w:rsidR="00F0140C" w:rsidRDefault="00F0140C" w:rsidP="00F0140C">
      <w:pPr>
        <w:spacing w:line="480" w:lineRule="auto"/>
        <w:jc w:val="center"/>
        <w:rPr>
          <w:rFonts w:ascii="Times New Roman" w:hAnsi="Times New Roman" w:cs="Times New Roman"/>
          <w:b/>
          <w:bCs/>
        </w:rPr>
      </w:pPr>
    </w:p>
    <w:p w14:paraId="50D91A80" w14:textId="77777777" w:rsidR="00F0140C" w:rsidRDefault="00F0140C" w:rsidP="00F0140C">
      <w:pPr>
        <w:spacing w:line="480" w:lineRule="auto"/>
        <w:jc w:val="center"/>
        <w:rPr>
          <w:rFonts w:ascii="Times New Roman" w:hAnsi="Times New Roman" w:cs="Times New Roman"/>
          <w:b/>
          <w:bCs/>
        </w:rPr>
      </w:pPr>
    </w:p>
    <w:p w14:paraId="5F82EE0D" w14:textId="77777777" w:rsidR="00F0140C" w:rsidRDefault="00F0140C" w:rsidP="00F0140C">
      <w:pPr>
        <w:spacing w:line="480" w:lineRule="auto"/>
        <w:jc w:val="center"/>
        <w:rPr>
          <w:rFonts w:ascii="Times New Roman" w:hAnsi="Times New Roman" w:cs="Times New Roman"/>
          <w:b/>
          <w:bCs/>
        </w:rPr>
      </w:pPr>
    </w:p>
    <w:p w14:paraId="6BC339D0" w14:textId="77777777" w:rsidR="00716FBA" w:rsidRDefault="00716FBA" w:rsidP="00F0140C">
      <w:pPr>
        <w:spacing w:line="480" w:lineRule="auto"/>
        <w:jc w:val="center"/>
        <w:rPr>
          <w:rFonts w:ascii="Times New Roman" w:hAnsi="Times New Roman" w:cs="Times New Roman"/>
          <w:b/>
          <w:bCs/>
        </w:rPr>
      </w:pPr>
    </w:p>
    <w:p w14:paraId="296932D5" w14:textId="77777777" w:rsidR="00716FBA" w:rsidRDefault="00716FBA" w:rsidP="001A3FB6">
      <w:pPr>
        <w:spacing w:line="480" w:lineRule="auto"/>
        <w:rPr>
          <w:rFonts w:ascii="Times New Roman" w:hAnsi="Times New Roman" w:cs="Times New Roman"/>
          <w:b/>
          <w:bCs/>
        </w:rPr>
      </w:pPr>
    </w:p>
    <w:p w14:paraId="35F3F933" w14:textId="77777777" w:rsidR="001A3FB6" w:rsidRDefault="001A3FB6" w:rsidP="001A3FB6">
      <w:pPr>
        <w:spacing w:line="480" w:lineRule="auto"/>
        <w:rPr>
          <w:rFonts w:ascii="Times New Roman" w:hAnsi="Times New Roman" w:cs="Times New Roman"/>
          <w:b/>
          <w:bCs/>
        </w:rPr>
      </w:pPr>
    </w:p>
    <w:p w14:paraId="741678F4" w14:textId="436233C7" w:rsidR="002174C1" w:rsidRPr="00F0140C" w:rsidRDefault="002174C1" w:rsidP="00F0140C">
      <w:pPr>
        <w:spacing w:line="480" w:lineRule="auto"/>
        <w:jc w:val="center"/>
        <w:rPr>
          <w:rFonts w:ascii="Times New Roman" w:hAnsi="Times New Roman" w:cs="Times New Roman"/>
          <w:b/>
          <w:bCs/>
        </w:rPr>
      </w:pPr>
      <w:r w:rsidRPr="00F0140C">
        <w:rPr>
          <w:rFonts w:ascii="Times New Roman" w:hAnsi="Times New Roman" w:cs="Times New Roman"/>
          <w:b/>
          <w:bCs/>
        </w:rPr>
        <w:lastRenderedPageBreak/>
        <w:t>References</w:t>
      </w:r>
    </w:p>
    <w:p w14:paraId="196F1360" w14:textId="374131EF" w:rsidR="002174C1" w:rsidRPr="00F0140C" w:rsidRDefault="002174C1" w:rsidP="00F0140C">
      <w:pPr>
        <w:spacing w:line="480" w:lineRule="auto"/>
        <w:jc w:val="center"/>
        <w:rPr>
          <w:rFonts w:ascii="Times New Roman" w:hAnsi="Times New Roman" w:cs="Times New Roman"/>
        </w:rPr>
      </w:pPr>
      <w:r w:rsidRPr="00F0140C">
        <w:rPr>
          <w:rFonts w:ascii="Times New Roman" w:hAnsi="Times New Roman" w:cs="Times New Roman"/>
        </w:rPr>
        <w:t>National Institute of Standards and Technology. (2018). Risk management framework for information systems and organizations. NIST Special Publication 800 37 Revision 2.</w:t>
      </w:r>
    </w:p>
    <w:p w14:paraId="23A26721" w14:textId="3F5E0B87" w:rsidR="002174C1" w:rsidRPr="00F0140C" w:rsidRDefault="002174C1" w:rsidP="00F0140C">
      <w:pPr>
        <w:spacing w:line="480" w:lineRule="auto"/>
        <w:jc w:val="center"/>
        <w:rPr>
          <w:rFonts w:ascii="Times New Roman" w:hAnsi="Times New Roman" w:cs="Times New Roman"/>
        </w:rPr>
      </w:pPr>
      <w:r w:rsidRPr="00F0140C">
        <w:rPr>
          <w:rFonts w:ascii="Times New Roman" w:hAnsi="Times New Roman" w:cs="Times New Roman"/>
        </w:rPr>
        <w:t>Scarfone, K., &amp; Mell, P. (2007). Guide to intrusion detection and prevention systems. NIST Special Publication 800 94.</w:t>
      </w:r>
    </w:p>
    <w:p w14:paraId="4DDD59FD" w14:textId="52F30289" w:rsidR="002174C1" w:rsidRPr="00F0140C" w:rsidRDefault="002174C1" w:rsidP="00F0140C">
      <w:pPr>
        <w:spacing w:line="480" w:lineRule="auto"/>
        <w:jc w:val="center"/>
        <w:rPr>
          <w:rFonts w:ascii="Times New Roman" w:hAnsi="Times New Roman" w:cs="Times New Roman"/>
        </w:rPr>
      </w:pPr>
      <w:r w:rsidRPr="00F0140C">
        <w:rPr>
          <w:rFonts w:ascii="Times New Roman" w:hAnsi="Times New Roman" w:cs="Times New Roman"/>
        </w:rPr>
        <w:t>Smith, R. (2020). Elementary information security. Jones and Bartlett Learning.</w:t>
      </w:r>
    </w:p>
    <w:p w14:paraId="708EA90A" w14:textId="77777777" w:rsidR="002174C1" w:rsidRPr="00F0140C" w:rsidRDefault="002174C1" w:rsidP="00F0140C">
      <w:pPr>
        <w:spacing w:line="480" w:lineRule="auto"/>
        <w:jc w:val="center"/>
        <w:rPr>
          <w:rFonts w:ascii="Times New Roman" w:hAnsi="Times New Roman" w:cs="Times New Roman"/>
        </w:rPr>
      </w:pPr>
      <w:r w:rsidRPr="00F0140C">
        <w:rPr>
          <w:rFonts w:ascii="Times New Roman" w:hAnsi="Times New Roman" w:cs="Times New Roman"/>
        </w:rPr>
        <w:t>Stallings, W. (2017). Cryptography and network security. Pearson.</w:t>
      </w:r>
    </w:p>
    <w:p w14:paraId="150F7700" w14:textId="4735A884" w:rsidR="00922226" w:rsidRPr="00F0140C" w:rsidRDefault="002174C1" w:rsidP="00F0140C">
      <w:pPr>
        <w:spacing w:line="480" w:lineRule="auto"/>
        <w:jc w:val="center"/>
        <w:rPr>
          <w:rFonts w:ascii="Times New Roman" w:hAnsi="Times New Roman" w:cs="Times New Roman"/>
        </w:rPr>
      </w:pPr>
      <w:r w:rsidRPr="00F0140C">
        <w:rPr>
          <w:rFonts w:ascii="Times New Roman" w:hAnsi="Times New Roman" w:cs="Times New Roman"/>
        </w:rPr>
        <w:t>Williams, B. (2023). Cybersecurity for beginners. CRC Press.</w:t>
      </w:r>
    </w:p>
    <w:sectPr w:rsidR="00922226" w:rsidRPr="00F01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906"/>
    <w:rsid w:val="001A3FB6"/>
    <w:rsid w:val="002174C1"/>
    <w:rsid w:val="005C7675"/>
    <w:rsid w:val="005C7B84"/>
    <w:rsid w:val="00716FBA"/>
    <w:rsid w:val="00922226"/>
    <w:rsid w:val="00B76F2B"/>
    <w:rsid w:val="00BE17B1"/>
    <w:rsid w:val="00BE3B3B"/>
    <w:rsid w:val="00BE6906"/>
    <w:rsid w:val="00C04659"/>
    <w:rsid w:val="00E04616"/>
    <w:rsid w:val="00EE6A6F"/>
    <w:rsid w:val="00EE76BA"/>
    <w:rsid w:val="00F0140C"/>
    <w:rsid w:val="00F07CD9"/>
    <w:rsid w:val="00F5180B"/>
    <w:rsid w:val="00F565FF"/>
    <w:rsid w:val="00FD38E2"/>
    <w:rsid w:val="00FE0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1A4A1"/>
  <w15:chartTrackingRefBased/>
  <w15:docId w15:val="{6132682D-EE3F-4BAB-ABEB-D03F7563C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906"/>
    <w:rPr>
      <w:rFonts w:eastAsiaTheme="majorEastAsia" w:cstheme="majorBidi"/>
      <w:color w:val="272727" w:themeColor="text1" w:themeTint="D8"/>
    </w:rPr>
  </w:style>
  <w:style w:type="paragraph" w:styleId="Title">
    <w:name w:val="Title"/>
    <w:basedOn w:val="Normal"/>
    <w:next w:val="Normal"/>
    <w:link w:val="TitleChar"/>
    <w:uiPriority w:val="10"/>
    <w:qFormat/>
    <w:rsid w:val="00BE6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906"/>
    <w:pPr>
      <w:spacing w:before="160"/>
      <w:jc w:val="center"/>
    </w:pPr>
    <w:rPr>
      <w:i/>
      <w:iCs/>
      <w:color w:val="404040" w:themeColor="text1" w:themeTint="BF"/>
    </w:rPr>
  </w:style>
  <w:style w:type="character" w:customStyle="1" w:styleId="QuoteChar">
    <w:name w:val="Quote Char"/>
    <w:basedOn w:val="DefaultParagraphFont"/>
    <w:link w:val="Quote"/>
    <w:uiPriority w:val="29"/>
    <w:rsid w:val="00BE6906"/>
    <w:rPr>
      <w:i/>
      <w:iCs/>
      <w:color w:val="404040" w:themeColor="text1" w:themeTint="BF"/>
    </w:rPr>
  </w:style>
  <w:style w:type="paragraph" w:styleId="ListParagraph">
    <w:name w:val="List Paragraph"/>
    <w:basedOn w:val="Normal"/>
    <w:uiPriority w:val="34"/>
    <w:qFormat/>
    <w:rsid w:val="00BE6906"/>
    <w:pPr>
      <w:ind w:left="720"/>
      <w:contextualSpacing/>
    </w:pPr>
  </w:style>
  <w:style w:type="character" w:styleId="IntenseEmphasis">
    <w:name w:val="Intense Emphasis"/>
    <w:basedOn w:val="DefaultParagraphFont"/>
    <w:uiPriority w:val="21"/>
    <w:qFormat/>
    <w:rsid w:val="00BE6906"/>
    <w:rPr>
      <w:i/>
      <w:iCs/>
      <w:color w:val="0F4761" w:themeColor="accent1" w:themeShade="BF"/>
    </w:rPr>
  </w:style>
  <w:style w:type="paragraph" w:styleId="IntenseQuote">
    <w:name w:val="Intense Quote"/>
    <w:basedOn w:val="Normal"/>
    <w:next w:val="Normal"/>
    <w:link w:val="IntenseQuoteChar"/>
    <w:uiPriority w:val="30"/>
    <w:qFormat/>
    <w:rsid w:val="00BE6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906"/>
    <w:rPr>
      <w:i/>
      <w:iCs/>
      <w:color w:val="0F4761" w:themeColor="accent1" w:themeShade="BF"/>
    </w:rPr>
  </w:style>
  <w:style w:type="character" w:styleId="IntenseReference">
    <w:name w:val="Intense Reference"/>
    <w:basedOn w:val="DefaultParagraphFont"/>
    <w:uiPriority w:val="32"/>
    <w:qFormat/>
    <w:rsid w:val="00BE69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1035</Words>
  <Characters>5900</Characters>
  <Application>Microsoft Office Word</Application>
  <DocSecurity>0</DocSecurity>
  <Lines>49</Lines>
  <Paragraphs>13</Paragraphs>
  <ScaleCrop>false</ScaleCrop>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cheyenne conner</dc:creator>
  <cp:keywords/>
  <dc:description/>
  <cp:lastModifiedBy>cheyenne conner</cp:lastModifiedBy>
  <cp:revision>14</cp:revision>
  <dcterms:created xsi:type="dcterms:W3CDTF">2025-11-20T19:22:00Z</dcterms:created>
  <dcterms:modified xsi:type="dcterms:W3CDTF">2025-11-20T19:39:00Z</dcterms:modified>
</cp:coreProperties>
</file>