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Pencil Analytics — Master Client Service Agreement</w:t>
      </w:r>
    </w:p>
    <w:p>
      <w:r>
        <w:t>Version: Professional Standard | Territory: Saudi Arabia | Language: English</w:t>
      </w:r>
    </w:p>
    <w:p>
      <w:pPr>
        <w:pStyle w:val="Heading1"/>
      </w:pPr>
      <w:r>
        <w:t>1. Parties</w:t>
      </w:r>
    </w:p>
    <w:p>
      <w:r>
        <w:t>This Service Agreement ("Agreement") is entered into by and between:</w:t>
        <w:br/>
        <w:t>- Pencil Analytics, a business intelligence consultancy based in Jeddah, Saudi Arabia ("Consultant"); and</w:t>
        <w:br/>
        <w:t>- [Client Name], with principal place of business at [Client Address] ("Client").</w:t>
        <w:br/>
        <w:t>Collectively, the "Parties."</w:t>
      </w:r>
    </w:p>
    <w:p>
      <w:pPr>
        <w:pStyle w:val="Heading1"/>
      </w:pPr>
      <w:r>
        <w:t>2. Scope of Work</w:t>
      </w:r>
    </w:p>
    <w:p>
      <w:r>
        <w:t>Consultant shall provide data analytics, dashboard development, workflow automation, Excel modeling, and other related services as described in Annex A ("Services"). The project will follow phased delivery:</w:t>
        <w:br/>
        <w:t>- Phase 1: Discovery &amp; Planning</w:t>
        <w:br/>
        <w:t>- Phase 2: Development &amp; Build</w:t>
        <w:br/>
        <w:t>- Phase 3: Review &amp; Final Delivery</w:t>
        <w:br/>
        <w:br/>
        <w:t>Additional services must be agreed upon in writing and may affect pricing or timeline.</w:t>
      </w:r>
    </w:p>
    <w:p>
      <w:pPr>
        <w:pStyle w:val="Heading1"/>
      </w:pPr>
      <w:r>
        <w:t>3. Timeline</w:t>
      </w:r>
    </w:p>
    <w:p>
      <w:r>
        <w:t>The estimated timeline for Services is detailed in Annex B. Client agrees to timely collaboration and feedback.</w:t>
      </w:r>
    </w:p>
    <w:p>
      <w:pPr>
        <w:pStyle w:val="Heading1"/>
      </w:pPr>
      <w:r>
        <w:t>4. Data Handling &amp; Confidentiality</w:t>
      </w:r>
    </w:p>
    <w:p>
      <w:r>
        <w:t>- All data shared will be securely stored and accessed only by authorized Consultant personnel.</w:t>
        <w:br/>
        <w:t>- Transfers will occur via encrypted email, secure cloud, or other mutually agreed methods.</w:t>
        <w:br/>
        <w:t>- Consultant agrees to comply with Saudi Arabia's Personal Data Protection Law and protect all Confidential Information.</w:t>
        <w:br/>
        <w:br/>
        <w:t>See full confidentiality obligations in Annex C or under a separate NDA.</w:t>
      </w:r>
    </w:p>
    <w:p>
      <w:pPr>
        <w:pStyle w:val="Heading1"/>
      </w:pPr>
      <w:r>
        <w:t>5. Value Scaling (If Applicable)</w:t>
      </w:r>
    </w:p>
    <w:p>
      <w:r>
        <w:t>For interim deliverables, the Parties may agree to multiply numerical values by a constant to preserve data confidentiality. The agreed factor shall be documented and shall not apply to final production outputs.</w:t>
      </w:r>
    </w:p>
    <w:p>
      <w:pPr>
        <w:pStyle w:val="Heading1"/>
      </w:pPr>
      <w:r>
        <w:t>6. Payment Terms</w:t>
      </w:r>
    </w:p>
    <w:p>
      <w:r>
        <w:t>- Total Project Fee: SAR [Total Amount] (excluding VAT)</w:t>
        <w:br/>
        <w:t>- Milestones:</w:t>
        <w:br/>
        <w:t xml:space="preserve">  - 30% upon signing</w:t>
        <w:br/>
        <w:t xml:space="preserve">  - 30% after Phase 1 completion</w:t>
        <w:br/>
        <w:t xml:space="preserve">  - 30% after Phase 2 completion</w:t>
        <w:br/>
        <w:t xml:space="preserve">  - 10% upon final handover</w:t>
        <w:br/>
        <w:t>- Invoices: Due within 15 days of issue</w:t>
        <w:br/>
        <w:t>- Late Payments: Consultant may suspend work for overdue invoices. Final deliverables are released upon receipt of full payment.</w:t>
      </w:r>
    </w:p>
    <w:p>
      <w:pPr>
        <w:pStyle w:val="Heading1"/>
      </w:pPr>
      <w:r>
        <w:t>7. Intellectual Property</w:t>
      </w:r>
    </w:p>
    <w:p>
      <w:r>
        <w:t>- Consultant retains ownership of all deliverables until full payment is received.</w:t>
        <w:br/>
        <w:t>- Upon final payment, IP rights transfer to Client.</w:t>
        <w:br/>
        <w:t>- Consultant retains right to reuse non-sensitive methods/templates.</w:t>
      </w:r>
    </w:p>
    <w:p>
      <w:pPr>
        <w:pStyle w:val="Heading1"/>
      </w:pPr>
      <w:r>
        <w:t>8. Termination</w:t>
      </w:r>
    </w:p>
    <w:p>
      <w:r>
        <w:t>- Either Party may terminate with 14 days’ written notice.</w:t>
        <w:br/>
        <w:t>- If terminated:</w:t>
        <w:br/>
        <w:t xml:space="preserve">  - Client pays for completed work</w:t>
        <w:br/>
        <w:t xml:space="preserve">  - Consultant delivers all paid-for work</w:t>
        <w:br/>
        <w:t xml:space="preserve">  - Initial deposit is non-refundable</w:t>
        <w:br/>
        <w:t>- Confidentiality, IP, and payment obligations survive termination.</w:t>
      </w:r>
    </w:p>
    <w:p>
      <w:pPr>
        <w:pStyle w:val="Heading1"/>
      </w:pPr>
      <w:r>
        <w:t>9. Governing Law &amp; Dispute Resolution</w:t>
      </w:r>
    </w:p>
    <w:p>
      <w:r>
        <w:t>This Agreement shall be governed by the laws of the Kingdom of Saudi Arabia. Disputes shall be resolved by the competent courts of Jeddah or, upon mutual agreement, via arbitration.</w:t>
      </w:r>
    </w:p>
    <w:p>
      <w:pPr>
        <w:pStyle w:val="Heading1"/>
      </w:pPr>
      <w:r>
        <w:t>10. General Provisions</w:t>
      </w:r>
    </w:p>
    <w:p>
      <w:r>
        <w:t>- This Agreement is the entire understanding and supersedes prior agreements.</w:t>
        <w:br/>
        <w:t>- Changes must be in writing and signed.</w:t>
        <w:br/>
        <w:t>- Neither party is liable for delays due to Force Majeure.</w:t>
        <w:br/>
        <w:t>- Notices must be delivered in writing to the addresses above.</w:t>
      </w:r>
    </w:p>
    <w:p>
      <w:pPr>
        <w:pStyle w:val="Heading1"/>
      </w:pPr>
      <w:r>
        <w:t>Signatures</w:t>
      </w:r>
    </w:p>
    <w:p>
      <w:r>
        <w:t xml:space="preserve">Client: __________________________  </w:t>
        <w:br/>
        <w:t xml:space="preserve">Name: [     ]  </w:t>
        <w:br/>
        <w:t xml:space="preserve">Title: [     ]  </w:t>
        <w:br/>
        <w:t>Date: [     ]</w:t>
      </w:r>
    </w:p>
    <w:p>
      <w:r>
        <w:t xml:space="preserve">Consultant: __________________________  </w:t>
        <w:br/>
        <w:t xml:space="preserve">Name: [     ]  </w:t>
        <w:br/>
        <w:t xml:space="preserve">Title: [     ]  </w:t>
        <w:br/>
        <w:t>Date: [     ]</w:t>
      </w:r>
    </w:p>
    <w:p>
      <w:pPr>
        <w:pStyle w:val="Heading1"/>
      </w:pPr>
      <w:r>
        <w:t>Annex A: Scope of Work</w:t>
      </w:r>
    </w:p>
    <w:p>
      <w:r>
        <w:t>[Detailed service and phase descriptions.]</w:t>
      </w:r>
    </w:p>
    <w:p>
      <w:pPr>
        <w:pStyle w:val="Heading1"/>
      </w:pPr>
      <w:r>
        <w:t>Annex B: Timeline</w:t>
      </w:r>
    </w:p>
    <w:p>
      <w:r>
        <w:t>[Proposed phase dates and review checkpoints.]</w:t>
      </w:r>
    </w:p>
    <w:p>
      <w:pPr>
        <w:pStyle w:val="Heading1"/>
      </w:pPr>
      <w:r>
        <w:t>Annex C: NDA / Confidentiality Clauses</w:t>
      </w:r>
    </w:p>
    <w:p>
      <w:r>
        <w:t>[Confidential info definition, obligations, exceptions, duration, and return or deletion of data. Optionally reference a signed separate NDA document.]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