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Series-Analysis</w:t>
      </w:r>
    </w:p>
    <w:p>
      <w:pPr>
        <w:pStyle w:val="Author"/>
      </w:pPr>
      <w:r>
        <w:t xml:space="preserve">Ross</w:t>
      </w:r>
      <w:r>
        <w:t xml:space="preserve"> </w:t>
      </w:r>
      <w:r>
        <w:t xml:space="preserve">Dahlke</w:t>
      </w:r>
    </w:p>
    <w:p>
      <w:pPr>
        <w:pStyle w:val="Date"/>
      </w:pPr>
      <w:r>
        <w:t xml:space="preserve">February</w:t>
      </w:r>
      <w:r>
        <w:t xml:space="preserve"> </w:t>
      </w:r>
      <w:r>
        <w:t xml:space="preserve">17,</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 In the access-oriented model, contributions are given in exchange for access and political favors that presumably materialize in altered government policy. The consumption model of donations sees donors as participants in the political process who seek to alter election probabilities in a way that helps one’s preferred campaign, similar to how voting seeks to help a campaign achieve election.</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 politics</w:t>
      </w:r>
      <w:r>
        <w:t xml:space="preserve"> </w:t>
      </w:r>
      <w:r>
        <w:t xml:space="preserve">(e.g., Herndon 1982)</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w:t>
      </w:r>
      <w:r>
        <w:t xml:space="preserve">. This study does not take a zero-sum view of the motivations of political donors. Instead, the two predominant models are both investigated and allowed to exist together. While much of the research history of political donor motivations has either pitted the two models of motivation against one another</w:t>
      </w:r>
      <w:r>
        <w:t xml:space="preserve"> </w:t>
      </w:r>
      <w:r>
        <w:t xml:space="preserve">(Welch 1980)</w:t>
      </w:r>
      <w:r>
        <w:t xml:space="preserve"> </w:t>
      </w:r>
      <w:r>
        <w:t xml:space="preserve">or operated exclusively in the domain of one and not the other</w:t>
      </w:r>
      <w:r>
        <w:t xml:space="preserve"> </w:t>
      </w:r>
      <w:r>
        <w:t xml:space="preserve">(Fellowes and Wolf 2004)</w:t>
      </w:r>
      <w:r>
        <w:t xml:space="preserve">, recent scholarship has developed a more nuanced view of the motivations of political donors in that they are not a monolith and different donors can have different motivations.</w:t>
      </w:r>
    </w:p>
    <w:p>
      <w:pPr>
        <w:pStyle w:val="BodyText"/>
      </w:pPr>
      <w:r>
        <w:t xml:space="preserve">This emerging, more nuanced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One way to divide political donors is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Another way to group individual donors is into frequent or infrequent donors, with frequent donors having been found to be access-oriented where infrequent donors are consumption-oriented</w:t>
      </w:r>
      <w:r>
        <w:t xml:space="preserve"> </w:t>
      </w:r>
      <w:r>
        <w:t xml:space="preserve">(Heerwig 2016)</w:t>
      </w:r>
      <w:r>
        <w:t xml:space="preserve">. Even more granularly,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employs a novel clustering approach to find statistically similar political donors and layers in politicians’ social media data to advance our understanding of the distinct motivations of political donors, including the policy issues that may motivate them to make a contribution. Instead of making a descriptive distinction between donors, such as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donors are clustered together based on their network connections. This type network-based approach has started to emerge among computer science and machine learning researchers</w:t>
      </w:r>
      <w:r>
        <w:t xml:space="preserve"> </w:t>
      </w:r>
      <w:r>
        <w:t xml:space="preserve">(Wahl and Sheppard 2018)</w:t>
      </w:r>
      <w:r>
        <w:t xml:space="preserve"> </w:t>
      </w:r>
      <w:r>
        <w:t xml:space="preserve">who then make descriptive summaries of the statistical communities. We add a theoretical political psychological component to this approach by layering in an additional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In a network-based approach, donor clusters act as a</w:t>
      </w:r>
      <w:r>
        <w:t xml:space="preserve"> </w:t>
      </w:r>
      <w:r>
        <w:rPr>
          <w:i/>
        </w:rPr>
        <w:t xml:space="preserve">latent coalition</w:t>
      </w:r>
      <w:r>
        <w:t xml:space="preserve"> </w:t>
      </w:r>
      <w:r>
        <w:t xml:space="preserve">where different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Hypothesizing different issues are related to different groups of donors, this paper also considers policy-specific motivations. Most research into the motivations of political donors focus on ideological proximity instead of specific policy issues</w:t>
      </w:r>
      <w:r>
        <w:t xml:space="preserve"> </w:t>
      </w:r>
      <w:r>
        <w:t xml:space="preserve">(Ensley 2009)</w:t>
      </w:r>
      <w:r>
        <w:t xml:space="preserve">, or specific policy motivations are briefly discussed but not the focus of the paper</w:t>
      </w:r>
      <w:r>
        <w:t xml:space="preserve"> </w:t>
      </w:r>
      <w:r>
        <w:t xml:space="preserve">(Bonica 2014)</w:t>
      </w:r>
      <w:r>
        <w:t xml:space="preserve">. But when they are the focus of the paper, individual-policy preferences are an integral component of the campaign finance system</w:t>
      </w:r>
      <w:r>
        <w:t xml:space="preserve"> </w:t>
      </w:r>
      <w:r>
        <w:t xml:space="preserve">(Bonica 2019)</w:t>
      </w:r>
      <w:r>
        <w:t xml:space="preserve">.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and the connection these appeals have to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 The results of this paper suggest that public support of policy issues on social media is both a valuable predictor of, and can be predicted by, political donations from coalitions of donors.</w:t>
      </w:r>
    </w:p>
    <w:p>
      <w:pPr>
        <w:pStyle w:val="BodyText"/>
      </w:pPr>
      <w:r>
        <w:t xml:space="preserve">Next, we discuss the literature on the access-oriented and consumption model of political donors and explain the hypotheses for this study that can be derived from the two theories. Then, we will discuss the methods and results, followed by a discussion of the findings.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interests.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are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can be a challenging endeavor due to all of the noise in the political ecology.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intrinsic message</w:t>
      </w:r>
      <w:r>
        <w:t xml:space="preserve"> </w:t>
      </w:r>
      <w:r>
        <w:t xml:space="preserve">(Langbein 1986)</w:t>
      </w:r>
      <w:r>
        <w:t xml:space="preserve">. In other words, studies that examine the influence of political donors make the assumption of the access-oriented model because influence requires access.</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PAC contributions have a limited effect on roll-call voting</w:t>
      </w:r>
      <w:r>
        <w:t xml:space="preserve"> </w:t>
      </w:r>
      <w:r>
        <w:t xml:space="preserve">(Wright 1985)</w:t>
      </w:r>
      <w:r>
        <w:t xml:space="preserve"> </w:t>
      </w:r>
      <w:r>
        <w:t xml:space="preserve">with about one-third of roll-call votes being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correlations could be a manifestation of legislators responding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Other lobbying efforts, beside political contributions, can also impact politicians’ behaviors. Donations are just a piece of the broader lobbying effort when trying to influence legislation. Ideologically extreme groups, particularly very liberal groups, are more reliant on PAC contributions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all influenced legislation.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is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Individual executives all have unique reasons and motivations for contributing to political campaigns.</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seek both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in return but are not frequent nor universal</w:t>
      </w:r>
      <w:r>
        <w:t xml:space="preserve"> </w:t>
      </w:r>
      <w:r>
        <w:t xml:space="preserve">(Gordon, Hafer, and Landa 2007)</w:t>
      </w:r>
      <w:r>
        <w:t xml:space="preserve">. For example, political contributions reduce the punishment for business executives who are sanctioned for committing fraud</w:t>
      </w:r>
      <w:r>
        <w:t xml:space="preserve"> </w:t>
      </w:r>
      <w:r>
        <w:t xml:space="preserve">(Fulmer, Knill, and Yu 2017)</w:t>
      </w:r>
      <w:r>
        <w:t xml:space="preserve">; increase the number of</w:t>
      </w:r>
      <w:r>
        <w:t xml:space="preserve"> </w:t>
      </w:r>
      <w:r>
        <w:t xml:space="preserve">“</w:t>
      </w:r>
      <w:r>
        <w:t xml:space="preserve">sweatheart</w:t>
      </w:r>
      <w:r>
        <w:t xml:space="preserve">”</w:t>
      </w:r>
      <w:r>
        <w:t xml:space="preserve"> </w:t>
      </w:r>
      <w:r>
        <w:t xml:space="preserve">contracts rewarded from the government</w:t>
      </w:r>
      <w:r>
        <w:t xml:space="preserve"> </w:t>
      </w:r>
      <w:r>
        <w:t xml:space="preserve">(Ferris, Houston, and Javakhadze 2019)</w:t>
      </w:r>
      <w:r>
        <w:t xml:space="preserve">; and increase the premium and survivability of Initial Public Offerings (IPOs)</w:t>
      </w:r>
      <w:r>
        <w:t xml:space="preserve"> </w:t>
      </w:r>
      <w:r>
        <w:t xml:space="preserve">(Gounopoulos, Mazouz, and Wood 2021)</w:t>
      </w:r>
      <w:r>
        <w:t xml:space="preserve">.</w:t>
      </w:r>
    </w:p>
    <w:p>
      <w:pPr>
        <w:pStyle w:val="BodyText"/>
      </w:pPr>
      <w:r>
        <w:t xml:space="preserve">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to influence the likelihood of the candidate being elected</w:t>
      </w:r>
      <w:r>
        <w:t xml:space="preserve"> </w:t>
      </w:r>
      <w:r>
        <w:t xml:space="preserve">(Schnakenberg and Turner 2021)</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This hypothesis will be tested using a Granger causality model</w:t>
      </w:r>
      <w:r>
        <w:t xml:space="preserve"> </w:t>
      </w:r>
      <w:r>
        <w:t xml:space="preserve">(Granger 1969)</w:t>
      </w:r>
      <w:r>
        <w:t xml:space="preserve">, which is an econometric methodology to test whether changes in one time series predict future changes in another time series.</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concludes that political contributions are not vehicles by which donors seek access to politicians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consumption-motivated donors, making a contribution is just an extension of voting on a participatory spectrum. Under this approach,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such as taxes, global warming, and gay rights. The similarity between a donor’s policy preferences and a senator’s roll-call votes is a predictor of whether a donor makes a contribution</w:t>
      </w:r>
      <w:r>
        <w:t xml:space="preserve"> </w:t>
      </w:r>
      <w:r>
        <w:t xml:space="preserve">(Barber, Canes-Wrone, and Thrower 2017)</w:t>
      </w:r>
      <w:r>
        <w:t xml:space="preserve">. It is unclear if this connection between contributors’ policy preferences and legislators’ votes holds historically or only recently</w:t>
      </w:r>
      <w:r>
        <w:t xml:space="preserve"> </w:t>
      </w:r>
      <w:r>
        <w:t xml:space="preserve">(Canes-Wrone and Gibson 2019)</w:t>
      </w:r>
      <w:r>
        <w:t xml:space="preserve">. Divergence of ideology among the candidates for an office, such as a more extreme political opponent, does not impact donors’ decisions to make a contribution</w:t>
      </w:r>
      <w:r>
        <w:t xml:space="preserve"> </w:t>
      </w:r>
      <w:r>
        <w:t xml:space="preserve">(Ensley 2009)</w:t>
      </w:r>
      <w:r>
        <w:t xml:space="preserve">. Out-of-state donors display policy-specific motivations in an effort to acquire surrogate representations</w:t>
      </w:r>
      <w:r>
        <w:t xml:space="preserve"> </w:t>
      </w:r>
      <w:r>
        <w:t xml:space="preserve">(Baker 2020b)</w:t>
      </w:r>
      <w:r>
        <w:t xml:space="preserve">. The theoretical implications for this paper are that consumption-oriented donors will contribute to politicians who already show support for the policy issues, or are ideologically proximate, to themselves. In other words, donors reward for policy proximity between themselves and candidates.</w:t>
      </w:r>
    </w:p>
    <w:p>
      <w:pPr>
        <w:pStyle w:val="BodyText"/>
      </w:pPr>
      <w:r>
        <w:t xml:space="preserve">In addition to individual donors, PACs also sometimes display behavior that can be defined as consumptive. For example, PACs for organized labor unions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of the policy issues they are about opposed to doubling-down on their efforts to potentially influence legislators who have become estranged from the PAC’s priorities. While labor unions sometimes</w:t>
      </w:r>
      <w:r>
        <w:t xml:space="preserve"> </w:t>
      </w:r>
      <w:r>
        <w:t xml:space="preserve">“</w:t>
      </w:r>
      <w:r>
        <w:t xml:space="preserve">punish</w:t>
      </w:r>
      <w:r>
        <w:t xml:space="preserve">”</w:t>
      </w:r>
      <w:r>
        <w:t xml:space="preserve"> </w:t>
      </w:r>
      <w:r>
        <w:t xml:space="preserve">legislators for their votes</w:t>
      </w:r>
      <w:r>
        <w:t xml:space="preserve"> </w:t>
      </w:r>
      <w:r>
        <w:t xml:space="preserve">(Jansa and Hoyman 2018)</w:t>
      </w:r>
      <w:r>
        <w:t xml:space="preserve">, this punishment is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These individual donors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as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Extremist politicians can leverage polarizing events to raise more money for their campaigns</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but this conclusion is not definitive</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This research paper will also examine the polarization of political donor coalitions and whether consumption-oriented donors and access-oriented donors are in polarized positions in the donor network graph.</w:t>
      </w:r>
    </w:p>
    <w:p>
      <w:pPr>
        <w:pStyle w:val="BodyText"/>
      </w:pPr>
      <m:oMath>
        <m:sSub>
          <m:e>
            <m:r>
              <m:t>H</m:t>
            </m:r>
          </m:e>
          <m:sub>
            <m:r>
              <m:t>5</m:t>
            </m:r>
          </m:sub>
        </m:sSub>
      </m:oMath>
      <w:r>
        <w:rPr>
          <w:b/>
        </w:rPr>
        <w:t xml:space="preserve">: Consumption-motivated donors will be more polarized in the political donor network than non-consumption donors.</w:t>
      </w:r>
    </w:p>
    <w:p>
      <w:pPr>
        <w:pStyle w:val="BodyText"/>
      </w:pPr>
      <m:oMath>
        <m:sSub>
          <m:e>
            <m:r>
              <m:t>H</m:t>
            </m:r>
          </m:e>
          <m:sub>
            <m:r>
              <m:t>6</m:t>
            </m:r>
          </m:sub>
        </m:sSub>
      </m:oMath>
      <w:r>
        <w:rPr>
          <w:b/>
        </w:rPr>
        <w:t xml:space="preserve">: Access-oriented donors will be less polarized in the political donor network than non-consumption donors.</w:t>
      </w:r>
    </w:p>
    <w:p>
      <w:pPr>
        <w:pStyle w:val="BodyText"/>
      </w:pPr>
      <w:r>
        <w:t xml:space="preserve">This inquiry is not at all meant to make causal claims, as much of the literature does. These two hypothesis will address whether donors are</w:t>
      </w:r>
      <w:r>
        <w:t xml:space="preserve"> </w:t>
      </w:r>
      <w:r>
        <w:rPr>
          <w:i/>
        </w:rPr>
        <w:t xml:space="preserve">causal</w:t>
      </w:r>
      <w:r>
        <w:t xml:space="preserve"> </w:t>
      </w:r>
      <w:r>
        <w:t xml:space="preserve">or</w:t>
      </w:r>
      <w:r>
        <w:t xml:space="preserve"> </w:t>
      </w:r>
      <w:r>
        <w:rPr>
          <w:i/>
        </w:rPr>
        <w:t xml:space="preserve">reactive</w:t>
      </w:r>
      <w:r>
        <w:t xml:space="preserve"> </w:t>
      </w:r>
      <w:r>
        <w:t xml:space="preserve">to polarization. Instead, this research hopes to add data as to whether this line of thinking is validated in descriptive data.</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field of non-profit organizational studies</w:t>
      </w:r>
      <w:r>
        <w:t xml:space="preserve"> </w:t>
      </w:r>
      <w:r>
        <w:t xml:space="preserve">(Hazard 2003; DSW 2000; Miller 2009; Raihani and Smith 2015)</w:t>
      </w:r>
      <w:r>
        <w:t xml:space="preserve">, and not political science, has historically done the most research into online fundraising.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Hardina 2005)</w:t>
      </w:r>
      <w:r>
        <w:t xml:space="preserve">.</w:t>
      </w:r>
    </w:p>
    <w:p>
      <w:pPr>
        <w:pStyle w:val="BodyText"/>
      </w:pPr>
      <w:r>
        <w:t xml:space="preserve">Digital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w:t>
      </w:r>
      <w:r>
        <w:t xml:space="preserve"> </w:t>
      </w:r>
      <w:r>
        <w:t xml:space="preserve">(Harlow et al. 2020; Wilson 2017; Zhang and Pan 2019)</w:t>
      </w:r>
      <w:r>
        <w:t xml:space="preserve"> </w:t>
      </w:r>
      <w:r>
        <w:t xml:space="preserve">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textual features, specifically political sophistication</w:t>
      </w:r>
      <w:r>
        <w:t xml:space="preserve"> </w:t>
      </w:r>
      <w:r>
        <w:t xml:space="preserve">(Benoit, Munger, and Spirling 2019)</w:t>
      </w:r>
      <w:r>
        <w:t xml:space="preserve"> </w:t>
      </w:r>
      <w:r>
        <w:t xml:space="preserve">and polarizing language</w:t>
      </w:r>
      <w:r>
        <w:t xml:space="preserve"> </w:t>
      </w:r>
      <w:r>
        <w:t xml:space="preserve">(Goet 2019; Lauderdale and Herzog 2016)</w:t>
      </w:r>
      <w:r>
        <w:t xml:space="preserve">, to see if different types of language are related to either being influenced by donors in the access-oriented model or attracting donors in the consumption model.</w:t>
      </w:r>
    </w:p>
    <w:p>
      <w:pPr>
        <w:pStyle w:val="BodyText"/>
      </w:pPr>
      <m:oMath>
        <m:sSub>
          <m:e>
            <m:r>
              <m:t>R</m:t>
            </m:r>
          </m:e>
          <m:sub>
            <m:r>
              <m:t>1</m:t>
            </m:r>
          </m:sub>
        </m:sSub>
      </m:oMath>
      <w:r>
        <w:rPr>
          <w:b/>
        </w:rPr>
        <w:t xml:space="preserve">: Do social media posts from politicians that either Granger cause or are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used in the training set and about 10%, 1,236, were used in the test set. This trained model achieved 82.9% accuracy in categorizing the topic of posts in the test set. This model was applied to the rest of the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are an ideal choice for political science text classification, especially when compared to traditional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Individual 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to more than one campaign were used. This filtering was done for computational efficiency and also because there were many donors who only made a single contribution which resulted in unequal, and computationally unusable, clusters. These steps left 28,858 from donations from 7,567 donors.</w:t>
      </w:r>
    </w:p>
    <w:p>
      <w:pPr>
        <w:pStyle w:val="BodyText"/>
      </w:pPr>
      <w:r>
        <w:t xml:space="preserve">These donations were used to create a network of political donations with candidates and donors serving as nodes and donations between them as edges. This network was clustered into 13 distinct communities so that donors in each community are most similar to one another based on which campaigns they contributed to. The Louvain method as implemented by Gephi</w:t>
      </w:r>
      <w:r>
        <w:t xml:space="preserve"> </w:t>
      </w:r>
      <w:r>
        <w:t xml:space="preserve">(Bastian, Heymann, and Jacomy 2009)</w:t>
      </w:r>
      <w:r>
        <w:t xml:space="preserve"> </w:t>
      </w:r>
      <w:r>
        <w:t xml:space="preserve">did the clustering, or community detection. The rest of the analysis used these clusters assigned to the donors and are referred to as coalitions, communities, or clusters that donors belong to.</w:t>
      </w:r>
    </w:p>
    <w:p>
      <w:pPr>
        <w:pStyle w:val="BodyText"/>
      </w:pPr>
      <w:r>
        <w:t xml:space="preserve">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 The graph is shaded by the statistical community the donor and candidates are in.</w:t>
      </w:r>
    </w:p>
    <w:p>
      <w:pPr>
        <w:pStyle w:val="CaptionedFigure"/>
      </w:pPr>
      <w:r>
        <w:drawing>
          <wp:inline>
            <wp:extent cx="5334000" cy="3942785"/>
            <wp:effectExtent b="0" l="0" r="0" t="0"/>
            <wp:docPr descr="Donor Motivation Models" title="" id="1" name="Picture"/>
            <a:graphic>
              <a:graphicData uri="http://schemas.openxmlformats.org/drawingml/2006/picture">
                <pic:pic>
                  <pic:nvPicPr>
                    <pic:cNvPr descr="../tables_and_figures/fig_1_greyscale_white.png" id="0" name="Picture"/>
                    <pic:cNvPicPr>
                      <a:picLocks noChangeArrowheads="1" noChangeAspect="1"/>
                    </pic:cNvPicPr>
                  </pic:nvPicPr>
                  <pic:blipFill>
                    <a:blip r:embed="rId26"/>
                    <a:stretch>
                      <a:fillRect/>
                    </a:stretch>
                  </pic:blipFill>
                  <pic:spPr bwMode="auto">
                    <a:xfrm>
                      <a:off x="0" y="0"/>
                      <a:ext cx="5334000" cy="3942785"/>
                    </a:xfrm>
                    <a:prstGeom prst="rect">
                      <a:avLst/>
                    </a:prstGeom>
                    <a:noFill/>
                    <a:ln w="9525">
                      <a:noFill/>
                      <a:headEnd/>
                      <a:tailEnd/>
                    </a:ln>
                  </pic:spPr>
                </pic:pic>
              </a:graphicData>
            </a:graphic>
          </wp:inline>
        </w:drawing>
      </w:r>
    </w:p>
    <w:p>
      <w:pPr>
        <w:pStyle w:val="ImageCaption"/>
      </w:pPr>
      <w:r>
        <w:t xml:space="preserve">Donor Motivation Models</w:t>
      </w:r>
    </w:p>
    <w:p>
      <w:pPr>
        <w:pStyle w:val="Heading1"/>
      </w:pPr>
      <w:bookmarkStart w:id="27" w:name="methodology"/>
      <w:r>
        <w:t xml:space="preserve">Methodology</w:t>
      </w:r>
      <w:bookmarkEnd w:id="27"/>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 two models of political donor motivations. Other social media studies have used this methodology</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P-values were adjusted with the Bonferroni method</w:t>
      </w:r>
      <w:r>
        <w:t xml:space="preserve"> </w:t>
      </w:r>
      <w:r>
        <w:t xml:space="preserve">(Haynes 2013)</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We compare time series of donations from clusters of political donors and time series of the number of social media posts by each topic that were made by campaigns that each donor cluster contributed to. In other words, a time series of donations from a donor coalition was compared to the aggregate count of posts about a given topic made by candidates that the donor cluster contributed to. For example, donations from donor coalition 6 Granger caused politicians that received donations from the coalition to publicly support women’s issue and pro-choice policies. Stated another way, donations from coalition 6 predict whether candidates will publicly support pro-women policies. The theoretical connection to political donor psychology is that this behavior is expected under the access-oriented model of political donor motivations. Coalitions and policy topics that are accepted by either</w:t>
      </w:r>
      <w:r>
        <w:t xml:space="preserve"> </w:t>
      </w:r>
      <m:oMath>
        <m:sSub>
          <m:e>
            <m:r>
              <m:t>H</m:t>
            </m:r>
          </m:e>
          <m:sub>
            <m:r>
              <m:t>1</m:t>
            </m:r>
          </m:sub>
        </m:sSub>
      </m:oMath>
      <w:r>
        <w:t xml:space="preserve"> </w:t>
      </w:r>
      <w:r>
        <w:t xml:space="preserve">or</w:t>
      </w:r>
      <w:r>
        <w:t xml:space="preserve"> </w:t>
      </w:r>
      <m:oMath>
        <m:sSub>
          <m:e>
            <m:r>
              <m:t>H</m:t>
            </m:r>
          </m:e>
          <m:sub>
            <m:r>
              <m:t>3</m:t>
            </m:r>
          </m:sub>
        </m:sSub>
      </m:oMath>
      <w:r>
        <w:t xml:space="preserve"> </w:t>
      </w:r>
      <w:r>
        <w:t xml:space="preserve">are in Table 1. The full results of the Granger causality tests are visualized in Figure 2.</w:t>
      </w:r>
    </w:p>
    <w:p>
      <w:pPr>
        <w:pStyle w:val="TableCaption"/>
      </w:pPr>
      <w:r>
        <w:t xml:space="preserve">H1 and H3 acceptances</w:t>
      </w:r>
    </w:p>
    <w:tbl>
      <w:tblPr>
        <w:tblStyle w:val="Table"/>
        <w:tblW w:type="pct" w:w="0.0"/>
        <w:tblLook w:firstRow="1"/>
        <w:tblCaption w:val="H1 and H3 acceptances"/>
      </w:tblPr>
      <w:tblGrid/>
      <w:tr>
        <w:trPr>
          <w:cnfStyle w:firstRow="1"/>
        </w:trPr>
        <w:tc>
          <w:tcPr>
            <w:tcBorders>
              <w:bottom w:val="single"/>
            </w:tcBorders>
            <w:vAlign w:val="bottom"/>
          </w:tcPr>
          <w:p>
            <w:pPr>
              <w:pStyle w:val="Compact"/>
              <w:jc w:val="right"/>
            </w:pPr>
            <w:r>
              <w:t xml:space="preserve">coalition</w:t>
            </w:r>
          </w:p>
        </w:tc>
        <w:tc>
          <w:tcPr>
            <w:tcBorders>
              <w:bottom w:val="single"/>
            </w:tcBorders>
            <w:vAlign w:val="bottom"/>
          </w:tcPr>
          <w:p>
            <w:pPr>
              <w:pStyle w:val="Compact"/>
              <w:jc w:val="left"/>
            </w:pPr>
            <w:r>
              <w:t xml:space="preserve">policy topic</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BIC</w:t>
            </w:r>
          </w:p>
        </w:tc>
        <w:tc>
          <w:tcPr>
            <w:tcBorders>
              <w:bottom w:val="single"/>
            </w:tcBorders>
            <w:vAlign w:val="bottom"/>
          </w:tcPr>
          <w:p>
            <w:pPr>
              <w:pStyle w:val="Compact"/>
              <w:jc w:val="right"/>
            </w:pPr>
            <w:r>
              <w:t xml:space="preserve">F-statistic</w:t>
            </w:r>
          </w:p>
        </w:tc>
        <w:tc>
          <w:tcPr>
            <w:tcBorders>
              <w:bottom w:val="single"/>
            </w:tcBorders>
            <w:vAlign w:val="bottom"/>
          </w:tcPr>
          <w:p>
            <w:pPr>
              <w:pStyle w:val="Compact"/>
              <w:jc w:val="left"/>
            </w:pPr>
            <w:r>
              <w:t xml:space="preserve">p-value</w:t>
            </w:r>
          </w:p>
        </w:tc>
      </w:tr>
      <w:tr>
        <w:tc>
          <w:p>
            <w:pPr>
              <w:pStyle w:val="Compact"/>
              <w:jc w:val="right"/>
            </w:pPr>
            <w:r>
              <w:t xml:space="preserve">0</w:t>
            </w:r>
          </w:p>
        </w:tc>
        <w:tc>
          <w:p>
            <w:pPr>
              <w:pStyle w:val="Compact"/>
              <w:jc w:val="left"/>
            </w:pPr>
            <w:r>
              <w:t xml:space="preserve">veterans issues: bipartisan</w:t>
            </w:r>
          </w:p>
        </w:tc>
        <w:tc>
          <w:p>
            <w:pPr>
              <w:pStyle w:val="Compact"/>
              <w:jc w:val="left"/>
            </w:pPr>
            <w:r>
              <w:t xml:space="preserve">consumption</w:t>
            </w:r>
          </w:p>
        </w:tc>
        <w:tc>
          <w:p>
            <w:pPr>
              <w:pStyle w:val="Compact"/>
              <w:jc w:val="right"/>
            </w:pPr>
            <w:r>
              <w:t xml:space="preserve">5</w:t>
            </w:r>
          </w:p>
        </w:tc>
        <w:tc>
          <w:p>
            <w:pPr>
              <w:pStyle w:val="Compact"/>
              <w:jc w:val="right"/>
            </w:pPr>
            <w:r>
              <w:t xml:space="preserve">7.6</w:t>
            </w:r>
          </w:p>
        </w:tc>
        <w:tc>
          <w:p>
            <w:pPr>
              <w:pStyle w:val="Compact"/>
              <w:jc w:val="left"/>
            </w:pPr>
            <w:r>
              <w:t xml:space="preserve">&lt;.001</w:t>
            </w:r>
          </w:p>
        </w:tc>
      </w:tr>
      <w:tr>
        <w:tc>
          <w:p>
            <w:pPr>
              <w:pStyle w:val="Compact"/>
              <w:jc w:val="right"/>
            </w:pPr>
            <w:r>
              <w:t xml:space="preserve">1</w:t>
            </w:r>
          </w:p>
        </w:tc>
        <w:tc>
          <w:p>
            <w:pPr>
              <w:pStyle w:val="Compact"/>
              <w:jc w:val="left"/>
            </w:pPr>
            <w:r>
              <w:t xml:space="preserve">veterans issues: bipartisan</w:t>
            </w:r>
          </w:p>
        </w:tc>
        <w:tc>
          <w:p>
            <w:pPr>
              <w:pStyle w:val="Compact"/>
              <w:jc w:val="left"/>
            </w:pPr>
            <w:r>
              <w:t xml:space="preserve">access</w:t>
            </w:r>
          </w:p>
        </w:tc>
        <w:tc>
          <w:p>
            <w:pPr>
              <w:pStyle w:val="Compact"/>
              <w:jc w:val="right"/>
            </w:pPr>
            <w:r>
              <w:t xml:space="preserve">7</w:t>
            </w:r>
          </w:p>
        </w:tc>
        <w:tc>
          <w:p>
            <w:pPr>
              <w:pStyle w:val="Compact"/>
              <w:jc w:val="right"/>
            </w:pPr>
            <w:r>
              <w:t xml:space="preserve">7.1</w:t>
            </w:r>
          </w:p>
        </w:tc>
        <w:tc>
          <w:p>
            <w:pPr>
              <w:pStyle w:val="Compact"/>
              <w:jc w:val="left"/>
            </w:pPr>
            <w:r>
              <w:t xml:space="preserve">&lt;.001</w:t>
            </w:r>
          </w:p>
        </w:tc>
      </w:tr>
      <w:tr>
        <w:tc>
          <w:p>
            <w:pPr>
              <w:pStyle w:val="Compact"/>
              <w:jc w:val="right"/>
            </w:pPr>
            <w:r>
              <w:t xml:space="preserve">1</w:t>
            </w:r>
          </w:p>
        </w:tc>
        <w:tc>
          <w:p>
            <w:pPr>
              <w:pStyle w:val="Compact"/>
              <w:jc w:val="left"/>
            </w:pPr>
            <w:r>
              <w:t xml:space="preserve">drug abuse: bipartisan</w:t>
            </w:r>
          </w:p>
        </w:tc>
        <w:tc>
          <w:p>
            <w:pPr>
              <w:pStyle w:val="Compact"/>
              <w:jc w:val="left"/>
            </w:pPr>
            <w:r>
              <w:t xml:space="preserve">consumption</w:t>
            </w:r>
          </w:p>
        </w:tc>
        <w:tc>
          <w:p>
            <w:pPr>
              <w:pStyle w:val="Compact"/>
              <w:jc w:val="right"/>
            </w:pPr>
            <w:r>
              <w:t xml:space="preserve">7</w:t>
            </w:r>
          </w:p>
        </w:tc>
        <w:tc>
          <w:p>
            <w:pPr>
              <w:pStyle w:val="Compact"/>
              <w:jc w:val="right"/>
            </w:pPr>
            <w:r>
              <w:t xml:space="preserve">4.5</w:t>
            </w:r>
          </w:p>
        </w:tc>
        <w:tc>
          <w:p>
            <w:pPr>
              <w:pStyle w:val="Compact"/>
              <w:jc w:val="left"/>
            </w:pPr>
            <w:r>
              <w:t xml:space="preserve">&lt;.001</w:t>
            </w:r>
          </w:p>
        </w:tc>
      </w:tr>
      <w:tr>
        <w:tc>
          <w:p>
            <w:pPr>
              <w:pStyle w:val="Compact"/>
              <w:jc w:val="right"/>
            </w:pPr>
            <w:r>
              <w:t xml:space="preserve">3</w:t>
            </w:r>
          </w:p>
        </w:tc>
        <w:tc>
          <w:p>
            <w:pPr>
              <w:pStyle w:val="Compact"/>
              <w:jc w:val="left"/>
            </w:pPr>
            <w:r>
              <w:t xml:space="preserve">race issues: liberal</w:t>
            </w:r>
          </w:p>
        </w:tc>
        <w:tc>
          <w:p>
            <w:pPr>
              <w:pStyle w:val="Compact"/>
              <w:jc w:val="left"/>
            </w:pPr>
            <w:r>
              <w:t xml:space="preserve">access</w:t>
            </w:r>
          </w:p>
        </w:tc>
        <w:tc>
          <w:p>
            <w:pPr>
              <w:pStyle w:val="Compact"/>
              <w:jc w:val="right"/>
            </w:pPr>
            <w:r>
              <w:t xml:space="preserve">4</w:t>
            </w:r>
          </w:p>
        </w:tc>
        <w:tc>
          <w:p>
            <w:pPr>
              <w:pStyle w:val="Compact"/>
              <w:jc w:val="right"/>
            </w:pPr>
            <w:r>
              <w:t xml:space="preserve">6.7</w:t>
            </w:r>
          </w:p>
        </w:tc>
        <w:tc>
          <w:p>
            <w:pPr>
              <w:pStyle w:val="Compact"/>
              <w:jc w:val="left"/>
            </w:pPr>
            <w:r>
              <w:t xml:space="preserve">&lt;.001</w:t>
            </w:r>
          </w:p>
        </w:tc>
      </w:tr>
      <w:tr>
        <w:tc>
          <w:p>
            <w:pPr>
              <w:pStyle w:val="Compact"/>
              <w:jc w:val="right"/>
            </w:pPr>
            <w:r>
              <w:t xml:space="preserve">4</w:t>
            </w:r>
          </w:p>
        </w:tc>
        <w:tc>
          <w:p>
            <w:pPr>
              <w:pStyle w:val="Compact"/>
              <w:jc w:val="left"/>
            </w:pPr>
            <w:r>
              <w:t xml:space="preserve">guns: conservative</w:t>
            </w:r>
          </w:p>
        </w:tc>
        <w:tc>
          <w:p>
            <w:pPr>
              <w:pStyle w:val="Compact"/>
              <w:jc w:val="left"/>
            </w:pPr>
            <w:r>
              <w:t xml:space="preserve">consumption</w:t>
            </w:r>
          </w:p>
        </w:tc>
        <w:tc>
          <w:p>
            <w:pPr>
              <w:pStyle w:val="Compact"/>
              <w:jc w:val="right"/>
            </w:pPr>
            <w:r>
              <w:t xml:space="preserve">4</w:t>
            </w:r>
          </w:p>
        </w:tc>
        <w:tc>
          <w:p>
            <w:pPr>
              <w:pStyle w:val="Compact"/>
              <w:jc w:val="right"/>
            </w:pPr>
            <w:r>
              <w:t xml:space="preserve">6.5</w:t>
            </w:r>
          </w:p>
        </w:tc>
        <w:tc>
          <w:p>
            <w:pPr>
              <w:pStyle w:val="Compact"/>
              <w:jc w:val="left"/>
            </w:pPr>
            <w:r>
              <w:t xml:space="preserve">&lt;.001</w:t>
            </w:r>
          </w:p>
        </w:tc>
      </w:tr>
      <w:tr>
        <w:tc>
          <w:p>
            <w:pPr>
              <w:pStyle w:val="Compact"/>
              <w:jc w:val="right"/>
            </w:pPr>
            <w:r>
              <w:t xml:space="preserve">6</w:t>
            </w:r>
          </w:p>
        </w:tc>
        <w:tc>
          <w:p>
            <w:pPr>
              <w:pStyle w:val="Compact"/>
              <w:jc w:val="left"/>
            </w:pPr>
            <w:r>
              <w:t xml:space="preserve">abortion and women’s issues: conservative</w:t>
            </w:r>
          </w:p>
        </w:tc>
        <w:tc>
          <w:p>
            <w:pPr>
              <w:pStyle w:val="Compact"/>
              <w:jc w:val="left"/>
            </w:pPr>
            <w:r>
              <w:t xml:space="preserve">access</w:t>
            </w:r>
          </w:p>
        </w:tc>
        <w:tc>
          <w:p>
            <w:pPr>
              <w:pStyle w:val="Compact"/>
              <w:jc w:val="right"/>
            </w:pPr>
            <w:r>
              <w:t xml:space="preserve">2</w:t>
            </w:r>
          </w:p>
        </w:tc>
        <w:tc>
          <w:p>
            <w:pPr>
              <w:pStyle w:val="Compact"/>
              <w:jc w:val="right"/>
            </w:pPr>
            <w:r>
              <w:t xml:space="preserve">14.2</w:t>
            </w:r>
          </w:p>
        </w:tc>
        <w:tc>
          <w:p>
            <w:pPr>
              <w:pStyle w:val="Compact"/>
              <w:jc w:val="left"/>
            </w:pPr>
            <w:r>
              <w:t xml:space="preserve">&lt;.001</w:t>
            </w:r>
          </w:p>
        </w:tc>
      </w:tr>
      <w:tr>
        <w:tc>
          <w:p>
            <w:pPr>
              <w:pStyle w:val="Compact"/>
              <w:jc w:val="right"/>
            </w:pPr>
            <w:r>
              <w:t xml:space="preserve">7</w:t>
            </w:r>
          </w:p>
        </w:tc>
        <w:tc>
          <w:p>
            <w:pPr>
              <w:pStyle w:val="Compact"/>
              <w:jc w:val="left"/>
            </w:pPr>
            <w:r>
              <w:t xml:space="preserve">drug abuse: bipartisan</w:t>
            </w:r>
          </w:p>
        </w:tc>
        <w:tc>
          <w:p>
            <w:pPr>
              <w:pStyle w:val="Compact"/>
              <w:jc w:val="left"/>
            </w:pPr>
            <w:r>
              <w:t xml:space="preserve">consumption</w:t>
            </w:r>
          </w:p>
        </w:tc>
        <w:tc>
          <w:p>
            <w:pPr>
              <w:pStyle w:val="Compact"/>
              <w:jc w:val="right"/>
            </w:pPr>
            <w:r>
              <w:t xml:space="preserve">7</w:t>
            </w:r>
          </w:p>
        </w:tc>
        <w:tc>
          <w:p>
            <w:pPr>
              <w:pStyle w:val="Compact"/>
              <w:jc w:val="right"/>
            </w:pPr>
            <w:r>
              <w:t xml:space="preserve">5.7</w:t>
            </w:r>
          </w:p>
        </w:tc>
        <w:tc>
          <w:p>
            <w:pPr>
              <w:pStyle w:val="Compact"/>
              <w:jc w:val="left"/>
            </w:pPr>
            <w:r>
              <w:t xml:space="preserve">&lt;.001</w:t>
            </w:r>
          </w:p>
        </w:tc>
      </w:tr>
      <w:tr>
        <w:tc>
          <w:p>
            <w:pPr>
              <w:pStyle w:val="Compact"/>
              <w:jc w:val="right"/>
            </w:pPr>
            <w:r>
              <w:t xml:space="preserve">11</w:t>
            </w:r>
          </w:p>
        </w:tc>
        <w:tc>
          <w:p>
            <w:pPr>
              <w:pStyle w:val="Compact"/>
              <w:jc w:val="left"/>
            </w:pPr>
            <w:r>
              <w:t xml:space="preserve">infrastructure: liberal</w:t>
            </w:r>
          </w:p>
        </w:tc>
        <w:tc>
          <w:p>
            <w:pPr>
              <w:pStyle w:val="Compact"/>
              <w:jc w:val="left"/>
            </w:pPr>
            <w:r>
              <w:t xml:space="preserve">consumption</w:t>
            </w:r>
          </w:p>
        </w:tc>
        <w:tc>
          <w:p>
            <w:pPr>
              <w:pStyle w:val="Compact"/>
              <w:jc w:val="right"/>
            </w:pPr>
            <w:r>
              <w:t xml:space="preserve">7</w:t>
            </w:r>
          </w:p>
        </w:tc>
        <w:tc>
          <w:p>
            <w:pPr>
              <w:pStyle w:val="Compact"/>
              <w:jc w:val="right"/>
            </w:pPr>
            <w:r>
              <w:t xml:space="preserve">5.8</w:t>
            </w:r>
          </w:p>
        </w:tc>
        <w:tc>
          <w:p>
            <w:pPr>
              <w:pStyle w:val="Compact"/>
              <w:jc w:val="left"/>
            </w:pPr>
            <w:r>
              <w:t xml:space="preserve">&lt;.001</w:t>
            </w:r>
          </w:p>
        </w:tc>
      </w:tr>
    </w:tbl>
    <w:p>
      <w:pPr>
        <w:pStyle w:val="CaptionedFigure"/>
      </w:pPr>
      <w:r>
        <w:drawing>
          <wp:inline>
            <wp:extent cx="5334000" cy="5041726"/>
            <wp:effectExtent b="0" l="0" r="0" t="0"/>
            <wp:docPr descr="Donor Motivation Models" title="" id="1" name="Picture"/>
            <a:graphic>
              <a:graphicData uri="http://schemas.openxmlformats.org/drawingml/2006/picture">
                <pic:pic>
                  <pic:nvPicPr>
                    <pic:cNvPr descr="../tables_and_figures/fig_2.jpg" id="0" name="Picture"/>
                    <pic:cNvPicPr>
                      <a:picLocks noChangeArrowheads="1" noChangeAspect="1"/>
                    </pic:cNvPicPr>
                  </pic:nvPicPr>
                  <pic:blipFill>
                    <a:blip r:embed="rId28"/>
                    <a:stretch>
                      <a:fillRect/>
                    </a:stretch>
                  </pic:blipFill>
                  <pic:spPr bwMode="auto">
                    <a:xfrm>
                      <a:off x="0" y="0"/>
                      <a:ext cx="5334000" cy="5041726"/>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Donor coalitions and the topic of social media posts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are listed in Table 1. Coalitions of donors that were accepted by only</w:t>
      </w:r>
      <w:r>
        <w:t xml:space="preserve"> </w:t>
      </w:r>
      <m:oMath>
        <m:sSub>
          <m:e>
            <m:r>
              <m:t>H</m:t>
            </m:r>
          </m:e>
          <m:sub>
            <m:r>
              <m:t>1</m:t>
            </m:r>
          </m:sub>
        </m:sSub>
      </m:oMath>
      <w:r>
        <w:t xml:space="preserve"> </w:t>
      </w:r>
      <w:r>
        <w:t xml:space="preserve">or</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 difference-in-means permutation test since the statistical assumptions were not met for an OLS regression. Results to</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are in Table 2.</w:t>
      </w:r>
    </w:p>
    <w:p>
      <w:pPr>
        <w:pStyle w:val="BodyText"/>
      </w:pPr>
      <w:r>
        <w:t xml:space="preserve">To study the polarization of consumption-motivated donors, we extract the x-coordinate position from the donor network (Figure 1). We then rescale the coordinate position to be -1 to 1 with -1 representing the left-most, or most Democratic, node and 1 representing the right-most, or most Republican, node. To test</w:t>
      </w:r>
      <w:r>
        <w:t xml:space="preserve"> </w:t>
      </w:r>
      <m:oMath>
        <m:sSub>
          <m:e>
            <m:r>
              <m:t>H</m:t>
            </m:r>
          </m:e>
          <m:sub>
            <m:r>
              <m:t>5</m:t>
            </m:r>
          </m:sub>
        </m:sSub>
      </m:oMath>
      <w:r>
        <w:t xml:space="preserve"> </w:t>
      </w:r>
      <w:r>
        <w:t xml:space="preserve">and</w:t>
      </w:r>
      <w:r>
        <w:t xml:space="preserve"> </w:t>
      </w:r>
      <m:oMath>
        <m:sSub>
          <m:e>
            <m:r>
              <m:t>H</m:t>
            </m:r>
          </m:e>
          <m:sub>
            <m:r>
              <m:t>6</m:t>
            </m:r>
          </m:sub>
        </m:sSub>
      </m:oMath>
      <w:r>
        <w:t xml:space="preserve">, a difference-in-means permutation test on the absolute value of the rescaled x-coordinate with the coalition category as a variable. A non-parametric permutation test was used since the statistical assumptions for an OLS regression were not met. This absolute value effectively is the level of polarization in the graph, with the nodes that are on the extremes of the graph being closer to 1 and the central-most nodes, representing bipartisan donors, being closer to 0. Results for</w:t>
      </w:r>
      <w:r>
        <w:t xml:space="preserve"> </w:t>
      </w:r>
      <m:oMath>
        <m:sSub>
          <m:e>
            <m:r>
              <m:t>H</m:t>
            </m:r>
          </m:e>
          <m:sub>
            <m:r>
              <m:t>5</m:t>
            </m:r>
          </m:sub>
        </m:sSub>
      </m:oMath>
      <w:r>
        <w:t xml:space="preserve"> </w:t>
      </w:r>
      <w:r>
        <w:t xml:space="preserve">and</w:t>
      </w:r>
      <w:r>
        <w:t xml:space="preserve"> </w:t>
      </w:r>
      <m:oMath>
        <m:sSub>
          <m:e>
            <m:r>
              <m:t>H</m:t>
            </m:r>
          </m:e>
          <m:sub>
            <m:r>
              <m:t>6</m:t>
            </m:r>
          </m:sub>
        </m:sSub>
      </m:oMath>
      <w:r>
        <w:t xml:space="preserve"> </w:t>
      </w:r>
      <w:r>
        <w:t xml:space="preserve">are in Table 3.</w:t>
      </w:r>
    </w:p>
    <w:p>
      <w:pPr>
        <w:pStyle w:val="Heading1"/>
      </w:pPr>
      <w:bookmarkStart w:id="29" w:name="results"/>
      <w:r>
        <w:t xml:space="preserve">Results</w:t>
      </w:r>
      <w:bookmarkEnd w:id="29"/>
    </w:p>
    <w:p>
      <w:pPr>
        <w:pStyle w:val="FirstParagraph"/>
      </w:pPr>
      <w:r>
        <w:t xml:space="preserve">We find evidence that supports the recent scholarship into the motivations of political donors that maintains a nuanced view into the psychology of political contributors: different donors hold different motivations. Different donor coalitions exhibited behavior that is inline with both the access-oriented and consumption model of political donations with policy issues across the ideological spectrum of liberal, conservative, and bipartisan. Example social media posts of the various topics can be found in the appendix.</w:t>
      </w:r>
    </w:p>
    <w:p>
      <w:pPr>
        <w:pStyle w:val="Heading1"/>
      </w:pPr>
      <w:bookmarkStart w:id="30" w:name="access-oriented-coaltiions"/>
      <w:r>
        <w:t xml:space="preserve">Access-oriented Coaltiions</w:t>
      </w:r>
      <w:bookmarkEnd w:id="30"/>
    </w:p>
    <w:p>
      <w:pPr>
        <w:pStyle w:val="FirstParagraph"/>
      </w:pPr>
      <w:r>
        <w:t xml:space="preserve">For three donor coalitions show behavior consistent with the access-oriented model where we can predict politicians’ public support of policy issues after they receive contributions from these donor groups. For these three groups and policy issues</w:t>
      </w:r>
      <w:r>
        <w:t xml:space="preserve"> </w:t>
      </w:r>
      <m:oMath>
        <m:sSub>
          <m:e>
            <m:r>
              <m:t>H</m:t>
            </m:r>
          </m:e>
          <m:sub>
            <m:r>
              <m:t>1</m:t>
            </m:r>
          </m:sub>
        </m:sSub>
      </m:oMath>
      <w:r>
        <w:t xml:space="preserve"> </w:t>
      </w:r>
      <w:r>
        <w:t xml:space="preserve">is accepted. These access-oriented coalitions represent 1,572 individual donors or 21.3% of all donors in the dataset; 6,489 individual donations or 22.4% of donations; and $654,577.60 or 16.5% of dollars contributed. Each of these three coalitions appear to have unique policy and even ideological positions that they support.</w:t>
      </w:r>
    </w:p>
    <w:p>
      <w:pPr>
        <w:pStyle w:val="Heading2"/>
      </w:pPr>
      <w:bookmarkStart w:id="31" w:name="race-issues"/>
      <w:r>
        <w:t xml:space="preserve">Race Issues</w:t>
      </w:r>
      <w:bookmarkEnd w:id="31"/>
    </w:p>
    <w:p>
      <w:pPr>
        <w:pStyle w:val="FirstParagraph"/>
      </w:pPr>
      <w:r>
        <w:t xml:space="preserve">Donations from donor coalition 3 Granger caused politicians they contributed to to talk about liberal policies on race. Some social media posts talk about broader cultural issues as they relate to race (appendix example 1) and others discuss evidence and propose policies to address racial issues (appendix example 2). Race was a big part of the 2016 presidential campaign, and racial issues were also a topic in this dataset. This coalition contains 423 donors or 5.7% of all donors in this dataset.</w:t>
      </w:r>
    </w:p>
    <w:p>
      <w:pPr>
        <w:pStyle w:val="Heading2"/>
      </w:pPr>
      <w:bookmarkStart w:id="32" w:name="pro-life"/>
      <w:r>
        <w:t xml:space="preserve">Pro-life</w:t>
      </w:r>
      <w:bookmarkEnd w:id="32"/>
    </w:p>
    <w:p>
      <w:pPr>
        <w:pStyle w:val="FirstParagraph"/>
      </w:pPr>
      <w:r>
        <w:t xml:space="preserve">Coalition 6’s donations predicts politicians’ support for conservative policies on abortion and women’s health, pro-life policies. Some posts explicitly talk about pro-life organizations and the politicians’ support of those organizations, other posts talk about specific policies and where the legislative process, and others still are campaign-oriented appeals that use more coded language that the BERT model was still able to pickup on (appendix examples 3, 4, and 5, respectively). Pro-life policies are a perennial topic in Wisconsin elections. This donor coalition is one of the smaller clusters of donors with only 252 donors or 3.4% of donors.</w:t>
      </w:r>
    </w:p>
    <w:p>
      <w:pPr>
        <w:pStyle w:val="Heading2"/>
      </w:pPr>
      <w:bookmarkStart w:id="33" w:name="veterans-issues"/>
      <w:r>
        <w:t xml:space="preserve">Veteran’s Issues</w:t>
      </w:r>
      <w:bookmarkEnd w:id="33"/>
    </w:p>
    <w:p>
      <w:pPr>
        <w:pStyle w:val="FirstParagraph"/>
      </w:pPr>
      <w:r>
        <w:t xml:space="preserve">The final access-oriented group of donors, coalition 1, have donations that precede politicians posting about bipartisan veteran’s issues. Veteran’s issues were particularly salient during the 2016 election in Wisconsin with Veteran’s Affairs hospitals, specifically the Tomah, Wisconsin VA Hospital and one Wisconsin-run housing complex, Wisconsin Veteran’s Home At King, receiving a lot of public attention for poor management and other issues. Both Republicans (appendix example 6) and Democrats (appendix example 7) publicly supported various policies and initiatives aimed to assist veterans. This coalition contains the second most donors, 897, or 12.1% of all donors.</w:t>
      </w:r>
    </w:p>
    <w:p>
      <w:pPr>
        <w:pStyle w:val="Heading1"/>
      </w:pPr>
      <w:bookmarkStart w:id="34" w:name="consumption-oriented-coalitions"/>
      <w:r>
        <w:t xml:space="preserve">Consumption-oriented Coalitions</w:t>
      </w:r>
      <w:bookmarkEnd w:id="34"/>
    </w:p>
    <w:p>
      <w:pPr>
        <w:pStyle w:val="FirstParagraph"/>
      </w:pPr>
      <w:r>
        <w:t xml:space="preserve">In addition to these three access-oriented clusters of donors, five coalitions of donors exhibit behavior that one would expect under the consumption model of donor motivations and are accepted by</w:t>
      </w:r>
      <w:r>
        <w:t xml:space="preserve"> </w:t>
      </w:r>
      <m:oMath>
        <m:sSub>
          <m:e>
            <m:r>
              <m:t>H</m:t>
            </m:r>
          </m:e>
          <m:sub>
            <m:r>
              <m:t>3</m:t>
            </m:r>
          </m:sub>
        </m:sSub>
      </m:oMath>
      <w:r>
        <w:t xml:space="preserve">. In other words, public support of various policy issues from campaigns predicts donations from these coalitions. The five consumption-motivated clusters of donors contain: 2,702, 36.7% of donors; 11,080, 38.4% of donations; and donated a collective $1,341,129.70 or 33.8% of money contributed. Similar to access-oriented clusters, consumption-oriented coalitions show significant relationships to policy issues across the ideological spectrum.</w:t>
      </w:r>
    </w:p>
    <w:p>
      <w:pPr>
        <w:pStyle w:val="Heading2"/>
      </w:pPr>
      <w:bookmarkStart w:id="35" w:name="pro-gun"/>
      <w:r>
        <w:t xml:space="preserve">Pro-gun</w:t>
      </w:r>
      <w:bookmarkEnd w:id="35"/>
    </w:p>
    <w:p>
      <w:pPr>
        <w:pStyle w:val="FirstParagraph"/>
      </w:pPr>
      <w:r>
        <w:t xml:space="preserve">One consumption-oriented group, coalition4, shows a relationship with conservative gun-related policies where pro-gun public support Granger causes donations from this group. In other words, donations from this coalition of donor can be predicted by politicians publicly supporting conservative gun-related policies. Social media posts that are categorized as being supportive of conservative policies on gun-related issues range from talking about their relationship to pro-gun interest groups (appendix example 8) as well as specific policies (appendix example 9). This coalition is medium-sized with 605 donors or 8.2% of the total donors.</w:t>
      </w:r>
    </w:p>
    <w:p>
      <w:pPr>
        <w:pStyle w:val="Heading2"/>
      </w:pPr>
      <w:bookmarkStart w:id="36" w:name="infrastructure-and-roads"/>
      <w:r>
        <w:t xml:space="preserve">Infrastructure and roads</w:t>
      </w:r>
      <w:bookmarkEnd w:id="36"/>
    </w:p>
    <w:p>
      <w:pPr>
        <w:pStyle w:val="FirstParagraph"/>
      </w:pPr>
      <w:r>
        <w:t xml:space="preserve">In addition to a conservative consumption-oriented group, coalition 11 is a group of donors consumptive group of donors whose donations can be predicted by politicians publicly supporting liberal measure on public infrastructure and roads. Most of these posts are either general support of public infrastructure improvements (appendix example 10) or targeted Republican Governor Scott Walker and Republicans over roads containing a large number of pot holes (appendix example 11). There are 395 donors in the coalition or 5.4% of donors.</w:t>
      </w:r>
    </w:p>
    <w:p>
      <w:pPr>
        <w:pStyle w:val="Heading2"/>
      </w:pPr>
      <w:bookmarkStart w:id="37" w:name="veterans-issues-drug-abuse"/>
      <w:r>
        <w:t xml:space="preserve">Veteran’s Issues &amp; Drug Abuse</w:t>
      </w:r>
      <w:bookmarkEnd w:id="37"/>
    </w:p>
    <w:p>
      <w:pPr>
        <w:pStyle w:val="FirstParagraph"/>
      </w:pPr>
      <w:r>
        <w:t xml:space="preserve">Two different bipartisan policy issues Granger cause donations from two different coalitions. Coalition 0 (377 donors, 5.1% of donors) has a consumption-oriented relationship with politicians’ support of veteran’s issues. This topic, veterans issue, had a different coalition of donors that display an access-oriented relationship with the topic. Both a consumption-oriented and an access-oriented group displaying a relationship to the same topic is noteworthy. In addition, the donor coalition that showed the access-oriented relationship to veterans issues, coalition 1, also exhibited a consumption-oriented relationship to another bipartisan issue, drug abuse. While it is just a singular example, this datum suggests that political donors can have different motivations with different policies, for example, they can be access-oriented on veterans issues and consumption-oriented on drug abuse issues. Another coalition of 428 donors, representing 5.8% of donors, also had a significant consumptive relationship with drug abuse. Most posts about drug abuse focused on the opioid and heroin epidemic across Wisconsin (appendix example 12). The implications of these statistical patterns are addressed further in the discussion section.</w:t>
      </w:r>
    </w:p>
    <w:p>
      <w:pPr>
        <w:pStyle w:val="Heading1"/>
      </w:pPr>
      <w:bookmarkStart w:id="38" w:name="donor-sizes"/>
      <w:r>
        <w:t xml:space="preserve">Donor Sizes</w:t>
      </w:r>
      <w:bookmarkEnd w:id="38"/>
    </w:p>
    <w:p>
      <w:pPr>
        <w:pStyle w:val="FirstParagraph"/>
      </w:pPr>
      <w:r>
        <w:t xml:space="preserve">Neither the access-oriented donors nor the consumption-oriented donors contributed statistically significantly different amounts of money than donors that were donors that were not only access-oriented and not only consumption-oriented. The outputs of the bootstrap used to test</w:t>
      </w:r>
      <w:r>
        <w:t xml:space="preserve"> </w:t>
      </w:r>
      <m:oMath>
        <m:sSub>
          <m:e>
            <m:r>
              <m:t>H</m:t>
            </m:r>
          </m:e>
          <m:sub>
            <m:r>
              <m:t>2</m:t>
            </m:r>
          </m:sub>
        </m:sSub>
      </m:oMath>
      <w:r>
        <w:t xml:space="preserve">, that access-oriented donors are on-average larger donors, and</w:t>
      </w:r>
      <w:r>
        <w:t xml:space="preserve"> </w:t>
      </w:r>
      <m:oMath>
        <m:sSub>
          <m:e>
            <m:r>
              <m:t>H</m:t>
            </m:r>
          </m:e>
          <m:sub>
            <m:r>
              <m:t>4</m:t>
            </m:r>
          </m:sub>
        </m:sSub>
      </m:oMath>
      <w:r>
        <w:t xml:space="preserve">, that consumption-oriented donors are on-average smaller donors, are in Table 2. Both</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are not accepted. This finding is discussed in the next section of the paper.</w:t>
      </w:r>
    </w:p>
    <w:p>
      <w:pPr>
        <w:pStyle w:val="TableCaption"/>
      </w:pPr>
      <w:r>
        <w:t xml:space="preserve">Difference in Average Donor Size</w:t>
      </w:r>
    </w:p>
    <w:tbl>
      <w:tblPr>
        <w:tblStyle w:val="Table"/>
        <w:tblW w:type="pct" w:w="0.0"/>
        <w:tblLook w:firstRow="1"/>
        <w:tblCaption w:val="Difference in Average Donor Size"/>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right"/>
            </w:pPr>
            <w:r>
              <w:t xml:space="preserve">p-value</w:t>
            </w:r>
          </w:p>
        </w:tc>
      </w:tr>
      <w:tr>
        <w:tc>
          <w:p>
            <w:pPr>
              <w:pStyle w:val="Compact"/>
              <w:jc w:val="left"/>
            </w:pPr>
            <w:r>
              <w:t xml:space="preserve">H2</w:t>
            </w:r>
          </w:p>
        </w:tc>
        <w:tc>
          <w:p>
            <w:pPr>
              <w:pStyle w:val="Compact"/>
              <w:jc w:val="left"/>
            </w:pPr>
            <w:r>
              <w:t xml:space="preserve">access</w:t>
            </w:r>
          </w:p>
        </w:tc>
        <w:tc>
          <w:p>
            <w:pPr>
              <w:pStyle w:val="Compact"/>
              <w:jc w:val="right"/>
            </w:pPr>
            <w:r>
              <w:t xml:space="preserve">-48.62</w:t>
            </w:r>
          </w:p>
        </w:tc>
        <w:tc>
          <w:p>
            <w:pPr>
              <w:pStyle w:val="Compact"/>
              <w:jc w:val="left"/>
            </w:pPr>
            <w:r>
              <w:t xml:space="preserve">-115.4-21.47</w:t>
            </w:r>
          </w:p>
        </w:tc>
        <w:tc>
          <w:p>
            <w:pPr>
              <w:pStyle w:val="Compact"/>
              <w:jc w:val="right"/>
            </w:pPr>
            <w:r>
              <w:t xml:space="preserve">0.144</w:t>
            </w:r>
          </w:p>
        </w:tc>
      </w:tr>
      <w:tr>
        <w:tc>
          <w:p>
            <w:pPr>
              <w:pStyle w:val="Compact"/>
              <w:jc w:val="left"/>
            </w:pPr>
            <w:r>
              <w:t xml:space="preserve">H4</w:t>
            </w:r>
          </w:p>
        </w:tc>
        <w:tc>
          <w:p>
            <w:pPr>
              <w:pStyle w:val="Compact"/>
              <w:jc w:val="left"/>
            </w:pPr>
            <w:r>
              <w:t xml:space="preserve">consumption</w:t>
            </w:r>
          </w:p>
        </w:tc>
        <w:tc>
          <w:p>
            <w:pPr>
              <w:pStyle w:val="Compact"/>
              <w:jc w:val="right"/>
            </w:pPr>
            <w:r>
              <w:t xml:space="preserve">34.60</w:t>
            </w:r>
          </w:p>
        </w:tc>
        <w:tc>
          <w:p>
            <w:pPr>
              <w:pStyle w:val="Compact"/>
              <w:jc w:val="left"/>
            </w:pPr>
            <w:r>
              <w:t xml:space="preserve">-29.21-118.39</w:t>
            </w:r>
          </w:p>
        </w:tc>
        <w:tc>
          <w:p>
            <w:pPr>
              <w:pStyle w:val="Compact"/>
              <w:jc w:val="right"/>
            </w:pPr>
            <w:r>
              <w:t xml:space="preserve">0.310</w:t>
            </w:r>
          </w:p>
        </w:tc>
      </w:tr>
    </w:tbl>
    <w:p>
      <w:pPr>
        <w:pStyle w:val="Heading1"/>
      </w:pPr>
      <w:bookmarkStart w:id="39" w:name="donor-spatial-positions"/>
      <w:r>
        <w:t xml:space="preserve">Donor Spatial Positions</w:t>
      </w:r>
      <w:bookmarkEnd w:id="39"/>
    </w:p>
    <w:p>
      <w:pPr>
        <w:pStyle w:val="FirstParagraph"/>
      </w:pPr>
      <w:r>
        <w:t xml:space="preserve">Consumption-motivated donors are on average in more polarized positions (further to the left and right of the graph) than non-consumption-oriented donors, and access-oriented donors are on average in less polarized positions (closer to the middle of the graph) than non-access-oriented donors. Table 3 shows the output for</w:t>
      </w:r>
      <w:r>
        <w:t xml:space="preserve"> </w:t>
      </w:r>
      <m:oMath>
        <m:sSub>
          <m:e>
            <m:r>
              <m:t>H</m:t>
            </m:r>
          </m:e>
          <m:sub>
            <m:r>
              <m:t>5</m:t>
            </m:r>
          </m:sub>
        </m:sSub>
      </m:oMath>
      <w:r>
        <w:t xml:space="preserve">, that consumption-oriented donors are more polarized in the network graph, and</w:t>
      </w:r>
      <w:r>
        <w:t xml:space="preserve"> </w:t>
      </w:r>
      <m:oMath>
        <m:sSub>
          <m:e>
            <m:r>
              <m:t>H</m:t>
            </m:r>
          </m:e>
          <m:sub>
            <m:r>
              <m:t>6</m:t>
            </m:r>
          </m:sub>
        </m:sSub>
      </m:oMath>
      <w:r>
        <w:t xml:space="preserve">, that access-oriented donors are less polarized in the network graph. Both of these hypotheses are accepted. These results are discussed further in the next section.</w:t>
      </w:r>
    </w:p>
    <w:p>
      <w:pPr>
        <w:pStyle w:val="TableCaption"/>
      </w:pPr>
      <w:r>
        <w:t xml:space="preserve">Difference in Average Donor Position Polarization</w:t>
      </w:r>
    </w:p>
    <w:tbl>
      <w:tblPr>
        <w:tblStyle w:val="Table"/>
        <w:tblW w:type="pct" w:w="0.0"/>
        <w:tblLook w:firstRow="1"/>
        <w:tblCaption w:val="Difference in Average Donor Position Polarization"/>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p-value</w:t>
            </w:r>
          </w:p>
        </w:tc>
      </w:tr>
      <w:tr>
        <w:tc>
          <w:p>
            <w:pPr>
              <w:pStyle w:val="Compact"/>
              <w:jc w:val="left"/>
            </w:pPr>
            <w:r>
              <w:t xml:space="preserve">H5</w:t>
            </w:r>
          </w:p>
        </w:tc>
        <w:tc>
          <w:p>
            <w:pPr>
              <w:pStyle w:val="Compact"/>
              <w:jc w:val="left"/>
            </w:pPr>
            <w:r>
              <w:t xml:space="preserve">consumption</w:t>
            </w:r>
          </w:p>
        </w:tc>
        <w:tc>
          <w:p>
            <w:pPr>
              <w:pStyle w:val="Compact"/>
              <w:jc w:val="right"/>
            </w:pPr>
            <w:r>
              <w:t xml:space="preserve">0.01</w:t>
            </w:r>
          </w:p>
        </w:tc>
        <w:tc>
          <w:p>
            <w:pPr>
              <w:pStyle w:val="Compact"/>
              <w:jc w:val="left"/>
            </w:pPr>
            <w:r>
              <w:t xml:space="preserve">0-0.02</w:t>
            </w:r>
          </w:p>
        </w:tc>
        <w:tc>
          <w:p>
            <w:pPr>
              <w:pStyle w:val="Compact"/>
              <w:jc w:val="left"/>
            </w:pPr>
            <w:r>
              <w:t xml:space="preserve">0.014</w:t>
            </w:r>
          </w:p>
        </w:tc>
      </w:tr>
      <w:tr>
        <w:tc>
          <w:p>
            <w:pPr>
              <w:pStyle w:val="Compact"/>
              <w:jc w:val="left"/>
            </w:pPr>
            <w:r>
              <w:t xml:space="preserve">H6</w:t>
            </w:r>
          </w:p>
        </w:tc>
        <w:tc>
          <w:p>
            <w:pPr>
              <w:pStyle w:val="Compact"/>
              <w:jc w:val="left"/>
            </w:pPr>
            <w:r>
              <w:t xml:space="preserve">access</w:t>
            </w:r>
          </w:p>
        </w:tc>
        <w:tc>
          <w:p>
            <w:pPr>
              <w:pStyle w:val="Compact"/>
              <w:jc w:val="right"/>
            </w:pPr>
            <w:r>
              <w:t xml:space="preserve">-0.05</w:t>
            </w:r>
          </w:p>
        </w:tc>
        <w:tc>
          <w:p>
            <w:pPr>
              <w:pStyle w:val="Compact"/>
              <w:jc w:val="left"/>
            </w:pPr>
            <w:r>
              <w:t xml:space="preserve">-0.06–0.03</w:t>
            </w:r>
          </w:p>
        </w:tc>
        <w:tc>
          <w:p>
            <w:pPr>
              <w:pStyle w:val="Compact"/>
              <w:jc w:val="left"/>
            </w:pPr>
            <w:r>
              <w:t xml:space="preserve">&lt;.001</w:t>
            </w:r>
          </w:p>
        </w:tc>
      </w:tr>
    </w:tbl>
    <w:p>
      <w:pPr>
        <w:pStyle w:val="Heading1"/>
      </w:pPr>
      <w:bookmarkStart w:id="40" w:name="discussion"/>
      <w:r>
        <w:t xml:space="preserve">Discussion</w:t>
      </w:r>
      <w:bookmarkEnd w:id="40"/>
    </w:p>
    <w:p>
      <w:pPr>
        <w:pStyle w:val="FirstParagraph"/>
      </w:pPr>
      <w:r>
        <w:t xml:space="preserve">The analyses conducted in this paper show that multiple models of political donor motivations can exist within different coalitions of political donors. Historical studies on the motivations of political donors have explicitly reasoned or implicitly assumed that donors hold monolithic motivations–all donors are motivated by the same psychological processes. The results of this paper contrast this historical principle and instead is in agreement with the recent line of donor studies which take a more nuanced approach to political donors.</w:t>
      </w:r>
    </w:p>
    <w:p>
      <w:pPr>
        <w:pStyle w:val="BodyText"/>
      </w:pPr>
      <w:r>
        <w:t xml:space="preserve">While much of the popular concern over money in politics is around access-oriented donors manipulating the political system, we find that there are more consumption-oriented donors than access-oriented donors. There are more consumption-motivated groups of donors than access-oriented donors, five groups compared to three, respectively. These group consumptive groups also represent more people (2,702 versus 1,572), donations (11,080 versus 6,489), and total amount contributed ($1,341,129.70 versus $654,577.60). While any number of access-oriented donors may remain concerning to some in the public, these results suggest that more people use political donations as a vehicle for increased participation, not manipulation, of the political process.</w:t>
      </w:r>
    </w:p>
    <w:p>
      <w:pPr>
        <w:pStyle w:val="BodyText"/>
      </w:pPr>
      <w:r>
        <w:t xml:space="preserve">The folk theory of political donors is that of access-oriented donors with financial interests donating large sums of money to politicians, but the results of</w:t>
      </w:r>
      <w:r>
        <w:t xml:space="preserve"> </w:t>
      </w:r>
      <m:oMath>
        <m:sSub>
          <m:e>
            <m:r>
              <m:t>H</m:t>
            </m:r>
          </m:e>
          <m:sub>
            <m:r>
              <m:t>2</m:t>
            </m:r>
          </m:sub>
        </m:sSub>
      </m:oMath>
      <w:r>
        <w:t xml:space="preserve"> </w:t>
      </w:r>
      <w:r>
        <w:t xml:space="preserve">reject this idea. Donors in access-oriented coalitions do not contribute statistically significantly more money on average than other donors. Just because a donor is not contributing a large sum of money themselves does not mean that they are not seeking to coax a politician into supporting specific policies. This effect can be amplified when coalitions of donors operate in conjunction with one another. For example, members of an interest group could each contribute a relatively small amount of money, but in aggregate, the unified donations could potentially gain that interest group access to a politician. If anything, donors that are labeled in this study as being in an access-oriented cluster potentially donate less money than other donors, but this non-statistically significant result with a relatively large confidence interval is not conclusive. A future study could replicate this analysis with multiple election cycles or study multiple states or federal elections to achieve higher statistical power. The converse is found for consumption-oriented donors.</w:t>
      </w:r>
    </w:p>
    <w:p>
      <w:pPr>
        <w:pStyle w:val="BodyText"/>
      </w:pPr>
      <w:r>
        <w:t xml:space="preserve">The folk theory of consumption-motivated donors is of small-dollar donors whose contributions can be harnessed online. Similar to access-oriented donors,</w:t>
      </w:r>
      <w:r>
        <w:t xml:space="preserve"> </w:t>
      </w:r>
      <m:oMath>
        <m:sSub>
          <m:e>
            <m:r>
              <m:t>H</m:t>
            </m:r>
          </m:e>
          <m:sub>
            <m:r>
              <m:t>4</m:t>
            </m:r>
          </m:sub>
        </m:sSub>
      </m:oMath>
      <w:r>
        <w:t xml:space="preserve"> </w:t>
      </w:r>
      <w:r>
        <w:t xml:space="preserve">is rejected and consumption-motivated donors are not on average smaller donors than other contributors. Again, these results suggests a disaggregation between the notion that the amount of money one contributes is indicative of one’s motivations. If someone is able to to contribute a large sum of money and they care about a certain issue, it stands to reason that they may just support campaigns who already care about that issue. If contributions to campaigns are similar to financial investments, the equivalent is someone investing in a company because they believe the company will do well in the future, not because every time someone invests in a company they expect to be able to tangibly alter the direction of the company. While there are certainly activist investors, they are well outnumbered by the amount of people who are not activist investors, even among wealthy individuals. This paper challenges conventional beliefs on the size of access-oriented versus consumptive donors, but it does concur with the literature on the levels of polarization among donors.</w:t>
      </w:r>
    </w:p>
    <w:p>
      <w:pPr>
        <w:pStyle w:val="BodyText"/>
      </w:pPr>
      <w:r>
        <w:t xml:space="preserve">Consumption-motivated donors are in more polarized spatial positions within the donor graph than non-consumptive donors, and access-oriented donors are more centrally located. The acceptances of</w:t>
      </w:r>
      <w:r>
        <w:t xml:space="preserve"> </w:t>
      </w:r>
      <m:oMath>
        <m:sSub>
          <m:e>
            <m:r>
              <m:t>H</m:t>
            </m:r>
          </m:e>
          <m:sub>
            <m:r>
              <m:t>5</m:t>
            </m:r>
          </m:sub>
        </m:sSub>
      </m:oMath>
      <w:r>
        <w:t xml:space="preserve"> </w:t>
      </w:r>
      <w:r>
        <w:t xml:space="preserve">and</w:t>
      </w:r>
      <w:r>
        <w:t xml:space="preserve"> </w:t>
      </w:r>
      <m:oMath>
        <m:sSub>
          <m:e>
            <m:r>
              <m:t>H</m:t>
            </m:r>
          </m:e>
          <m:sub>
            <m:r>
              <m:t>6</m:t>
            </m:r>
          </m:sub>
        </m:sSub>
      </m:oMath>
      <w:r>
        <w:t xml:space="preserve"> </w:t>
      </w:r>
      <w:r>
        <w:t xml:space="preserve">are in agreement with past literature. These results provide descriptive context and are not meant to imply any level of causality. Past studies have either suggested or found a connection between donor motivations and political polarization, and this study also finds these descriptive relationships. Future studies should examine the causal mechanisms of these relationships. Do candidates take more polarizing stances in an effort to court consumptive donors? Has an increased number of consumptive donors helped more polarized candidates to win office? Do access-oriented donors seek out campaigns that are more moderate? Or can access-oriented donors influence the ideological extremity of candidates?</w:t>
      </w:r>
    </w:p>
    <w:p>
      <w:pPr>
        <w:pStyle w:val="BodyText"/>
      </w:pPr>
      <w:r>
        <w:t xml:space="preserve">In addition to the finding that both the access-oriented and consumption motivational models can exist in different donor coalitions, one of the thirteen donor clusters, coalition 1, revealed a duality where they were access-oriented in relation to one policy issue and consumption-oriented to another. While it is possible that this finding is spurious, there is additional face validity in this finding because the two issues the donor coalition had a relationship with were both bipartisan issues–veterans issues and drug abuse. Not many studies have come to the conclusion that donors can operate with both motivational models. While this study finds this behavior to be relatively rare, in only one donor cluster, it does open up the possibilities to an even more complex view as to why donors make a political contribution. Further, public support of one policy issue, veteran’s issues, is both Granger caused by donations from a coalition and Granger causes another coalition to make a contribution. This result suggests that issues can play different roles to different groups of political donors. One group of donors can seek access in order to influence that policy, and another group can display consumptive behavior and reward politicians who already publicly support policy issues.</w:t>
      </w:r>
    </w:p>
    <w:p>
      <w:pPr>
        <w:pStyle w:val="Heading1"/>
      </w:pPr>
      <w:bookmarkStart w:id="41" w:name="limitations"/>
      <w:r>
        <w:t xml:space="preserve">Limitations</w:t>
      </w:r>
      <w:bookmarkEnd w:id="41"/>
    </w:p>
    <w:p>
      <w:pPr>
        <w:pStyle w:val="FirstParagraph"/>
      </w:pPr>
      <w:r>
        <w:t xml:space="preserve">Like all observational studies, this research cannot claim true causality. While the main methodology employed is formally called</w:t>
      </w:r>
      <w:r>
        <w:t xml:space="preserve"> </w:t>
      </w:r>
      <w:r>
        <w:t xml:space="preserve">“</w:t>
      </w:r>
      <w:r>
        <w:t xml:space="preserve">Granger causality,</w:t>
      </w:r>
      <w:r>
        <w:t xml:space="preserve">”</w:t>
      </w:r>
      <w:r>
        <w:t xml:space="preserve"> </w:t>
      </w:r>
      <w:r>
        <w:t xml:space="preserve">this causality is in an econometric sense and is more akin to predictive value. So while the findings of this paper do have predictive power–for example, donations from certain groups of individuals successfully receiving candidates to publicly support policy issues–true causal claims cannot be made. Future studies should use the findings from this research to conduct lab experiments where causal claims can be made.</w:t>
      </w:r>
    </w:p>
    <w:p>
      <w:pPr>
        <w:pStyle w:val="BodyText"/>
      </w:pPr>
      <w:r>
        <w:t xml:space="preserve">We found discrete examples of donor coalitions demonstrating access-oriented or consumptive behavior on specific issues. However, these results do not suggest that these donors only care about those issues or that other donors don’t care about these issues. Instead, these donors have a unique statistical relationship where when they contribute money to a political campaign, it either predicts or is predicted by campaigns public support of policy issues. Future studies can employ surveys to identify if the statistical relationships found in an analysis like this paper concur with people’s self conceptions. Do donor coalitions who donate in a consumptive fashion where they contribute to a campaign after they publicly support an issue actually report that they prioritize that issue? Possibly, these behaviors are subconscious reactions. Donors may not be able to exactly identify</w:t>
      </w:r>
      <w:r>
        <w:t xml:space="preserve"> </w:t>
      </w:r>
      <w:r>
        <w:rPr>
          <w:i/>
        </w:rPr>
        <w:t xml:space="preserve">why</w:t>
      </w:r>
      <w:r>
        <w:t xml:space="preserve"> </w:t>
      </w:r>
      <w:r>
        <w:t xml:space="preserve">they like a candidate or may report some other reason, when it is actually a reinforcement of a concurrence between their policies and the information environment that they consume.</w:t>
      </w:r>
    </w:p>
    <w:p>
      <w:pPr>
        <w:pStyle w:val="BodyText"/>
      </w:pPr>
      <w:r>
        <w:t xml:space="preserve">Finally, this study was not meant to find nor did it find exhaustive evidence as to what motivates ever single donor in the dataset. Even within the information ecology, this study does not consider things like news stories or personal friend circles. There are other potential reasons that donors make contributions, such as geographic proximity where people donate to their local candidates or allocating money to competitive races.</w:t>
      </w:r>
    </w:p>
    <w:p>
      <w:pPr>
        <w:pStyle w:val="Heading1"/>
      </w:pPr>
      <w:bookmarkStart w:id="42" w:name="conclusion"/>
      <w:r>
        <w:t xml:space="preserve">Conclusion</w:t>
      </w:r>
      <w:bookmarkEnd w:id="42"/>
    </w:p>
    <w:p>
      <w:pPr>
        <w:pStyle w:val="FirstParagraph"/>
      </w:pPr>
      <w:r>
        <w:t xml:space="preserve">Campaign finance scholars are divided on the motivations of political donors. Do political donors seek to buy access, to participate more in politics, or some combination of both? This study finds that different coalitions of donors, and in one instance, a singular coalition, exhibit behavior that is consistent with different motivational models. Overall, there are more consumptive donors compared to access-oriented donors. In addition, there is no statistical difference in the average contributor size of access-oriented and consumption-oriented donors compared to other donors. However, access-oriented donors are found to be more spatially central within donor networks, and consumptive donors are more polarized.</w:t>
      </w:r>
    </w:p>
    <w:p>
      <w:pPr>
        <w:pStyle w:val="Heading1"/>
      </w:pPr>
      <w:bookmarkStart w:id="43" w:name="appendix"/>
      <w:r>
        <w:t xml:space="preserve">Appendix</w:t>
      </w:r>
      <w:bookmarkEnd w:id="43"/>
    </w:p>
    <w:p>
      <w:pPr>
        <w:pStyle w:val="Compact"/>
      </w:pPr>
      <w:r>
        <w:t xml:space="preserve">Social Media Examples</w:t>
      </w:r>
    </w:p>
    <w:p>
      <w:pPr>
        <w:pStyle w:val="Compact"/>
      </w:pPr>
      <w:r>
        <w:t xml:space="preserve">example #</w:t>
      </w:r>
    </w:p>
    <w:p>
      <w:pPr>
        <w:pStyle w:val="Compact"/>
      </w:pPr>
      <w:r>
        <w:t xml:space="preserve">topic</w:t>
      </w:r>
    </w:p>
    <w:p>
      <w:pPr>
        <w:pStyle w:val="Compact"/>
      </w:pPr>
      <w:r>
        <w:t xml:space="preserve">campaign</w:t>
      </w:r>
    </w:p>
    <w:p>
      <w:pPr>
        <w:pStyle w:val="Compact"/>
      </w:pPr>
      <w:r>
        <w:t xml:space="preserve">social media site</w:t>
      </w:r>
    </w:p>
    <w:p>
      <w:pPr>
        <w:pStyle w:val="Compact"/>
      </w:pPr>
      <w:r>
        <w:t xml:space="preserve">post</w:t>
      </w:r>
    </w:p>
    <w:p>
      <w:pPr>
        <w:pStyle w:val="Compact"/>
      </w:pPr>
      <w:r>
        <w:t xml:space="preserve">1</w:t>
      </w:r>
    </w:p>
    <w:p>
      <w:pPr>
        <w:pStyle w:val="Compact"/>
      </w:pPr>
      <w:r>
        <w:t xml:space="preserve">race issues: liberal</w:t>
      </w:r>
    </w:p>
    <w:p>
      <w:pPr>
        <w:pStyle w:val="Compact"/>
      </w:pPr>
      <w:r>
        <w:t xml:space="preserve">Bowen 4 Action</w:t>
      </w:r>
    </w:p>
    <w:p>
      <w:pPr>
        <w:pStyle w:val="Compact"/>
      </w:pPr>
      <w:r>
        <w:t xml:space="preserve">Twitter</w:t>
      </w:r>
    </w:p>
    <w:p>
      <w:pPr>
        <w:pStyle w:val="Compact"/>
      </w:pPr>
      <w:r>
        <w:t xml:space="preserve">@ JoyAnnReid: #OscarsSoWhite black people can’t even get nominated for the movies about black people…</w:t>
      </w:r>
    </w:p>
    <w:p>
      <w:pPr>
        <w:pStyle w:val="Compact"/>
      </w:pPr>
      <w:r>
        <w:t xml:space="preserve">2</w:t>
      </w:r>
    </w:p>
    <w:p>
      <w:pPr>
        <w:pStyle w:val="Compact"/>
      </w:pPr>
      <w:r>
        <w:t xml:space="preserve">race issues: liberal</w:t>
      </w:r>
    </w:p>
    <w:p>
      <w:pPr>
        <w:pStyle w:val="Compact"/>
      </w:pPr>
      <w:r>
        <w:t xml:space="preserve">Citizens of the 81st for Dave Considine</w:t>
      </w:r>
    </w:p>
    <w:p>
      <w:pPr>
        <w:pStyle w:val="Compact"/>
      </w:pPr>
      <w:r>
        <w:t xml:space="preserve">Twitter</w:t>
      </w:r>
    </w:p>
    <w:p>
      <w:pPr>
        <w:pStyle w:val="Compact"/>
      </w:pPr>
      <w:r>
        <w:t xml:space="preserve">1 in every 9 African-Americans are disenfranchised because of felony convictions in Wisconsin</w:t>
      </w:r>
    </w:p>
    <w:p>
      <w:pPr>
        <w:pStyle w:val="Compact"/>
      </w:pPr>
      <w:r>
        <w:t xml:space="preserve">3</w:t>
      </w:r>
    </w:p>
    <w:p>
      <w:pPr>
        <w:pStyle w:val="Compact"/>
      </w:pPr>
      <w:r>
        <w:t xml:space="preserve">abortion and women’s issues: conservative</w:t>
      </w:r>
    </w:p>
    <w:p>
      <w:pPr>
        <w:pStyle w:val="Compact"/>
      </w:pPr>
      <w:r>
        <w:t xml:space="preserve">Ken Skowronski for Assembly</w:t>
      </w:r>
    </w:p>
    <w:p>
      <w:pPr>
        <w:pStyle w:val="Compact"/>
      </w:pPr>
      <w:r>
        <w:t xml:space="preserve">Facebook</w:t>
      </w:r>
    </w:p>
    <w:p>
      <w:pPr>
        <w:pStyle w:val="Compact"/>
      </w:pPr>
      <w:r>
        <w:t xml:space="preserve">Last night I had a great time at the Wisconsin Right to Life Dinner with my fellow colleagues. I am proud to have supported the bold Pro-Life reforms we have put in place and I will continue to defend the rights of those who cannot defend themselves.</w:t>
      </w:r>
    </w:p>
    <w:p>
      <w:pPr>
        <w:pStyle w:val="Compact"/>
      </w:pPr>
      <w:r>
        <w:t xml:space="preserve">4</w:t>
      </w:r>
    </w:p>
    <w:p>
      <w:pPr>
        <w:pStyle w:val="Compact"/>
      </w:pPr>
      <w:r>
        <w:t xml:space="preserve">abortion and women’s issues: conservative</w:t>
      </w:r>
    </w:p>
    <w:p>
      <w:pPr>
        <w:pStyle w:val="Compact"/>
      </w:pPr>
      <w:r>
        <w:t xml:space="preserve">Friends &amp; Neighbors of Robin Vos</w:t>
      </w:r>
    </w:p>
    <w:p>
      <w:pPr>
        <w:pStyle w:val="Compact"/>
      </w:pPr>
      <w:r>
        <w:t xml:space="preserve">Twitter</w:t>
      </w:r>
    </w:p>
    <w:p>
      <w:pPr>
        <w:pStyle w:val="Compact"/>
      </w:pPr>
      <w:r>
        <w:t xml:space="preserve">An Assembly committee will vote on a bill to ban the sale of aborted children’s body parts on Wednesday.</w:t>
      </w:r>
    </w:p>
    <w:p>
      <w:pPr>
        <w:pStyle w:val="Compact"/>
      </w:pPr>
      <w:r>
        <w:t xml:space="preserve">5</w:t>
      </w:r>
    </w:p>
    <w:p>
      <w:pPr>
        <w:pStyle w:val="Compact"/>
      </w:pPr>
      <w:r>
        <w:t xml:space="preserve">abortion and women’s issues: conservative</w:t>
      </w:r>
    </w:p>
    <w:p>
      <w:pPr>
        <w:pStyle w:val="Compact"/>
      </w:pPr>
      <w:r>
        <w:t xml:space="preserve">Friends of Chuck Wichgers</w:t>
      </w:r>
    </w:p>
    <w:p>
      <w:pPr>
        <w:pStyle w:val="Compact"/>
      </w:pPr>
      <w:r>
        <w:t xml:space="preserve">Facebook</w:t>
      </w:r>
    </w:p>
    <w:p>
      <w:pPr>
        <w:pStyle w:val="Compact"/>
      </w:pPr>
      <w:r>
        <w:t xml:space="preserve">’I’m glad to know Chuck, who is a solid conservative. He’s shown that he understands the principles that secure our freedom and that he will work for them in office. But more than that, I’ve seen that he is passionate about the God-given dignity of every human life. He knows that every person’s right to live and to live freely comes from a much higher source than government.’PATRICK MCILHERAN, FORMER EDITORIAL WRITER, MILWAUKEE JOURNAL SENTINEL</w:t>
      </w:r>
    </w:p>
    <w:p>
      <w:pPr>
        <w:pStyle w:val="Compact"/>
      </w:pPr>
      <w:r>
        <w:t xml:space="preserve">6</w:t>
      </w:r>
    </w:p>
    <w:p>
      <w:pPr>
        <w:pStyle w:val="Compact"/>
      </w:pPr>
      <w:r>
        <w:t xml:space="preserve">veterans issues: bipartisan</w:t>
      </w:r>
    </w:p>
    <w:p>
      <w:pPr>
        <w:pStyle w:val="Compact"/>
      </w:pPr>
      <w:r>
        <w:t xml:space="preserve">Sanfelippo for Assembly</w:t>
      </w:r>
    </w:p>
    <w:p>
      <w:pPr>
        <w:pStyle w:val="Compact"/>
      </w:pPr>
      <w:r>
        <w:t xml:space="preserve">Twitter</w:t>
      </w:r>
    </w:p>
    <w:p>
      <w:pPr>
        <w:pStyle w:val="Compact"/>
      </w:pPr>
      <w:r>
        <w:t xml:space="preserve">Welcome Home Veterans Initiative seeks to solve veteran homelessness in state:</w:t>
      </w:r>
    </w:p>
    <w:p>
      <w:pPr>
        <w:pStyle w:val="Compact"/>
      </w:pPr>
      <w:r>
        <w:t xml:space="preserve">7</w:t>
      </w:r>
    </w:p>
    <w:p>
      <w:pPr>
        <w:pStyle w:val="Compact"/>
      </w:pPr>
      <w:r>
        <w:t xml:space="preserve">veterans issues: bipartisan</w:t>
      </w:r>
    </w:p>
    <w:p>
      <w:pPr>
        <w:pStyle w:val="Compact"/>
      </w:pPr>
      <w:r>
        <w:t xml:space="preserve">Citizens for Peter Barca</w:t>
      </w:r>
    </w:p>
    <w:p>
      <w:pPr>
        <w:pStyle w:val="Compact"/>
      </w:pPr>
      <w:r>
        <w:t xml:space="preserve">Twitter</w:t>
      </w:r>
    </w:p>
    <w:p>
      <w:pPr>
        <w:pStyle w:val="Compact"/>
      </w:pPr>
      <w:r>
        <w:t xml:space="preserve">Regionalizing Wisconsin’s county veterans service offices remains a concern in vet community</w:t>
      </w:r>
    </w:p>
    <w:p>
      <w:pPr>
        <w:pStyle w:val="Compact"/>
      </w:pPr>
      <w:r>
        <w:t xml:space="preserve">8</w:t>
      </w:r>
    </w:p>
    <w:p>
      <w:pPr>
        <w:pStyle w:val="Compact"/>
      </w:pPr>
      <w:r>
        <w:t xml:space="preserve">guns: conservative</w:t>
      </w:r>
    </w:p>
    <w:p>
      <w:pPr>
        <w:pStyle w:val="Compact"/>
      </w:pPr>
      <w:r>
        <w:t xml:space="preserve">Scott Fitzgerald for Senate</w:t>
      </w:r>
    </w:p>
    <w:p>
      <w:pPr>
        <w:pStyle w:val="Compact"/>
      </w:pPr>
      <w:r>
        <w:t xml:space="preserve">Twitter</w:t>
      </w:r>
    </w:p>
    <w:p>
      <w:pPr>
        <w:pStyle w:val="Compact"/>
      </w:pPr>
      <w:r>
        <w:t xml:space="preserve">Thanks to the Wisconsin Game Preserve Association for the honor of their 2015 Legislator of the Year award!</w:t>
      </w:r>
    </w:p>
    <w:p>
      <w:pPr>
        <w:pStyle w:val="Compact"/>
      </w:pPr>
      <w:r>
        <w:t xml:space="preserve">9</w:t>
      </w:r>
    </w:p>
    <w:p>
      <w:pPr>
        <w:pStyle w:val="Compact"/>
      </w:pPr>
      <w:r>
        <w:t xml:space="preserve">guns: conservative</w:t>
      </w:r>
    </w:p>
    <w:p>
      <w:pPr>
        <w:pStyle w:val="Compact"/>
      </w:pPr>
      <w:r>
        <w:t xml:space="preserve">Kremer for Wisconsin</w:t>
      </w:r>
    </w:p>
    <w:p>
      <w:pPr>
        <w:pStyle w:val="Compact"/>
      </w:pPr>
      <w:r>
        <w:t xml:space="preserve">Facebook</w:t>
      </w:r>
    </w:p>
    <w:p>
      <w:pPr>
        <w:pStyle w:val="Compact"/>
      </w:pPr>
      <w:r>
        <w:t xml:space="preserve">This is a fair interview with Frederica Freyberg discussing the</w:t>
      </w:r>
      <w:r>
        <w:t xml:space="preserve"> </w:t>
      </w:r>
      <w:r>
        <w:t xml:space="preserve">‘</w:t>
      </w:r>
      <w:r>
        <w:t xml:space="preserve">Campus Carry Act</w:t>
      </w:r>
      <w:r>
        <w:t xml:space="preserve">’</w:t>
      </w:r>
      <w:r>
        <w:t xml:space="preserve"> </w:t>
      </w:r>
      <w:r>
        <w:t xml:space="preserve">in Wisconsin. This aired on public television yesterday morning.</w:t>
      </w:r>
    </w:p>
    <w:p>
      <w:pPr>
        <w:pStyle w:val="Compact"/>
      </w:pPr>
      <w:r>
        <w:t xml:space="preserve">10</w:t>
      </w:r>
    </w:p>
    <w:p>
      <w:pPr>
        <w:pStyle w:val="Compact"/>
      </w:pPr>
      <w:r>
        <w:t xml:space="preserve">infrastructure: liberal</w:t>
      </w:r>
    </w:p>
    <w:p>
      <w:pPr>
        <w:pStyle w:val="Compact"/>
      </w:pPr>
      <w:r>
        <w:t xml:space="preserve">Friends of Jonathan Brostoff</w:t>
      </w:r>
    </w:p>
    <w:p>
      <w:pPr>
        <w:pStyle w:val="Compact"/>
      </w:pPr>
      <w:r>
        <w:t xml:space="preserve">Facebook</w:t>
      </w:r>
    </w:p>
    <w:p>
      <w:pPr>
        <w:pStyle w:val="Compact"/>
      </w:pPr>
      <w:r>
        <w:t xml:space="preserve">Dr. Mark Stout has written a compelling alternative to the $1.1 billion highway proposal. This option that would save money and provide a brighter, more progressive, more responsible future for our state. If you haven’t yet, please take a look and share widely.</w:t>
      </w:r>
    </w:p>
    <w:p>
      <w:pPr>
        <w:pStyle w:val="Compact"/>
      </w:pPr>
      <w:r>
        <w:t xml:space="preserve">11</w:t>
      </w:r>
    </w:p>
    <w:p>
      <w:pPr>
        <w:pStyle w:val="Compact"/>
      </w:pPr>
      <w:r>
        <w:t xml:space="preserve">infrastructure: liberal</w:t>
      </w:r>
    </w:p>
    <w:p>
      <w:pPr>
        <w:pStyle w:val="Compact"/>
      </w:pPr>
      <w:r>
        <w:t xml:space="preserve">Wachs for Assembly</w:t>
      </w:r>
    </w:p>
    <w:p>
      <w:pPr>
        <w:pStyle w:val="Compact"/>
      </w:pPr>
      <w:r>
        <w:t xml:space="preserve">Twitter</w:t>
      </w:r>
    </w:p>
    <w:p>
      <w:pPr>
        <w:pStyle w:val="Compact"/>
      </w:pPr>
      <w:r>
        <w:t xml:space="preserve">WI roads rank 3rd worst in US. Yet Scott Walker isnt ready to put politics aside to solve our infrastructure woes.</w:t>
      </w:r>
    </w:p>
    <w:p>
      <w:pPr>
        <w:pStyle w:val="Compact"/>
      </w:pPr>
      <w:r>
        <w:t xml:space="preserve">12</w:t>
      </w:r>
    </w:p>
    <w:p>
      <w:pPr>
        <w:pStyle w:val="Compact"/>
      </w:pPr>
      <w:r>
        <w:t xml:space="preserve">drug abuse: bipartisan</w:t>
      </w:r>
    </w:p>
    <w:p>
      <w:pPr>
        <w:pStyle w:val="Compact"/>
      </w:pPr>
      <w:r>
        <w:t xml:space="preserve">Michael Schraa for Assembly</w:t>
      </w:r>
    </w:p>
    <w:p>
      <w:pPr>
        <w:pStyle w:val="Compact"/>
      </w:pPr>
      <w:r>
        <w:t xml:space="preserve">Facebook</w:t>
      </w:r>
    </w:p>
    <w:p>
      <w:pPr>
        <w:pStyle w:val="Compact"/>
      </w:pPr>
      <w:r>
        <w:t xml:space="preserve">A great story about the HOPE Agenda and my colleague on Joint Finance, WI State Rep John Nygren’s efforts to fight against heroin and opiate addiction.</w:t>
      </w:r>
    </w:p>
    <w:p>
      <w:pPr>
        <w:pStyle w:val="Compact"/>
      </w:pPr>
      <w:r>
        <w:t xml:space="preserve">Method</w:t>
      </w:r>
    </w:p>
    <w:p>
      <w:pPr>
        <w:pStyle w:val="Compact"/>
      </w:pPr>
      <w:r>
        <w:t xml:space="preserve">koRpus</w:t>
      </w:r>
    </w:p>
    <w:p>
      <w:pPr>
        <w:pStyle w:val="Compact"/>
      </w:pPr>
      <w:r>
        <w:t xml:space="preserve">stringi</w:t>
      </w:r>
    </w:p>
    <w:p>
      <w:pPr>
        <w:pStyle w:val="Compact"/>
      </w:pPr>
      <w:r>
        <w:t xml:space="preserve">Word count</w:t>
      </w:r>
    </w:p>
    <w:p>
      <w:pPr>
        <w:pStyle w:val="Compact"/>
      </w:pPr>
      <w:r>
        <w:t xml:space="preserve">7681</w:t>
      </w:r>
    </w:p>
    <w:p>
      <w:pPr>
        <w:pStyle w:val="Compact"/>
      </w:pPr>
      <w:r>
        <w:t xml:space="preserve">7610</w:t>
      </w:r>
    </w:p>
    <w:p>
      <w:pPr>
        <w:pStyle w:val="Compact"/>
      </w:pPr>
      <w:r>
        <w:t xml:space="preserve">Character count</w:t>
      </w:r>
    </w:p>
    <w:p>
      <w:pPr>
        <w:pStyle w:val="Compact"/>
      </w:pPr>
      <w:r>
        <w:t xml:space="preserve">51899</w:t>
      </w:r>
    </w:p>
    <w:p>
      <w:pPr>
        <w:pStyle w:val="Compact"/>
      </w:pPr>
      <w:r>
        <w:t xml:space="preserve">51888</w:t>
      </w:r>
    </w:p>
    <w:p>
      <w:pPr>
        <w:pStyle w:val="Compact"/>
      </w:pPr>
      <w:r>
        <w:t xml:space="preserve">Sentence count</w:t>
      </w:r>
    </w:p>
    <w:p>
      <w:pPr>
        <w:pStyle w:val="Compact"/>
      </w:pPr>
      <w:r>
        <w:t xml:space="preserve">367</w:t>
      </w:r>
    </w:p>
    <w:p>
      <w:pPr>
        <w:pStyle w:val="Compact"/>
      </w:pPr>
      <w:r>
        <w:t xml:space="preserve">Not available</w:t>
      </w:r>
    </w:p>
    <w:p>
      <w:pPr>
        <w:pStyle w:val="Compact"/>
      </w:pPr>
      <w:r>
        <w:t xml:space="preserve">Reading time</w:t>
      </w:r>
    </w:p>
    <w:p>
      <w:pPr>
        <w:pStyle w:val="Compact"/>
      </w:pPr>
      <w:r>
        <w:t xml:space="preserve">38.4 minutes</w:t>
      </w:r>
    </w:p>
    <w:p>
      <w:pPr>
        <w:pStyle w:val="Compact"/>
      </w:pPr>
      <w:r>
        <w:t xml:space="preserve">38 minutes</w:t>
      </w:r>
    </w:p>
    <w:p>
      <w:pPr>
        <w:pStyle w:val="Heading1"/>
      </w:pPr>
      <w:bookmarkStart w:id="44" w:name="references"/>
      <w:r>
        <w:t xml:space="preserve">References</w:t>
      </w:r>
      <w:bookmarkEnd w:id="44"/>
    </w:p>
    <w:bookmarkStart w:id="267" w:name="refs"/>
    <w:bookmarkStart w:id="46"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45">
        <w:r>
          <w:rPr>
            <w:rStyle w:val="Hyperlink"/>
          </w:rPr>
          <w:t xml:space="preserve">https://doi.org/https://doi.org/10.1002/jae.2443</w:t>
        </w:r>
      </w:hyperlink>
      <w:r>
        <w:t xml:space="preserve">.</w:t>
      </w:r>
    </w:p>
    <w:bookmarkEnd w:id="46"/>
    <w:bookmarkStart w:id="48"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47">
        <w:r>
          <w:rPr>
            <w:rStyle w:val="Hyperlink"/>
          </w:rPr>
          <w:t xml:space="preserve">https://doi.org/10.1093/rfs/hhv035</w:t>
        </w:r>
      </w:hyperlink>
      <w:r>
        <w:t xml:space="preserve">.</w:t>
      </w:r>
    </w:p>
    <w:bookmarkEnd w:id="48"/>
    <w:bookmarkStart w:id="49"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49"/>
    <w:bookmarkStart w:id="51"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50">
        <w:r>
          <w:rPr>
            <w:rStyle w:val="Hyperlink"/>
          </w:rPr>
          <w:t xml:space="preserve">https://doi.org/10.1080/19331681003791891</w:t>
        </w:r>
      </w:hyperlink>
      <w:r>
        <w:t xml:space="preserve">.</w:t>
      </w:r>
    </w:p>
    <w:bookmarkEnd w:id="51"/>
    <w:bookmarkStart w:id="52"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52"/>
    <w:bookmarkStart w:id="53"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53"/>
    <w:bookmarkStart w:id="55"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54">
        <w:r>
          <w:rPr>
            <w:rStyle w:val="Hyperlink"/>
          </w:rPr>
          <w:t xml:space="preserve">http://www.jstor.org/stable/2082974</w:t>
        </w:r>
      </w:hyperlink>
      <w:r>
        <w:t xml:space="preserve">.</w:t>
      </w:r>
    </w:p>
    <w:bookmarkEnd w:id="55"/>
    <w:bookmarkStart w:id="57"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56">
        <w:r>
          <w:rPr>
            <w:rStyle w:val="Hyperlink"/>
          </w:rPr>
          <w:t xml:space="preserve">https://doi.org/10.1080/03623319.2020.1727224</w:t>
        </w:r>
      </w:hyperlink>
      <w:r>
        <w:t xml:space="preserve">.</w:t>
      </w:r>
    </w:p>
    <w:bookmarkEnd w:id="57"/>
    <w:bookmarkStart w:id="59"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58">
        <w:r>
          <w:rPr>
            <w:rStyle w:val="Hyperlink"/>
          </w:rPr>
          <w:t xml:space="preserve">https://doi.org/10.1007/s11109-019-09531-2</w:t>
        </w:r>
      </w:hyperlink>
      <w:r>
        <w:t xml:space="preserve">.</w:t>
      </w:r>
    </w:p>
    <w:bookmarkEnd w:id="59"/>
    <w:bookmarkStart w:id="60"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60"/>
    <w:bookmarkStart w:id="62"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61">
        <w:r>
          <w:rPr>
            <w:rStyle w:val="Hyperlink"/>
          </w:rPr>
          <w:t xml:space="preserve">https://doi.org/https://doi.org/10.1111/psq.12609</w:t>
        </w:r>
      </w:hyperlink>
      <w:r>
        <w:t xml:space="preserve">.</w:t>
      </w:r>
    </w:p>
    <w:bookmarkEnd w:id="62"/>
    <w:bookmarkStart w:id="64"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63">
        <w:r>
          <w:rPr>
            <w:rStyle w:val="Hyperlink"/>
          </w:rPr>
          <w:t xml:space="preserve">https://doi.org/https://doi.org/10.1111/ajps.12275</w:t>
        </w:r>
      </w:hyperlink>
      <w:r>
        <w:t xml:space="preserve">.</w:t>
      </w:r>
    </w:p>
    <w:bookmarkEnd w:id="64"/>
    <w:bookmarkStart w:id="66"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65">
        <w:r>
          <w:rPr>
            <w:rStyle w:val="Hyperlink"/>
          </w:rPr>
          <w:t xml:space="preserve">https://cran.r-project.org/web/packages/Rfacebook/Rfacebook.pdf</w:t>
        </w:r>
      </w:hyperlink>
      <w:r>
        <w:t xml:space="preserve">.</w:t>
      </w:r>
    </w:p>
    <w:bookmarkEnd w:id="66"/>
    <w:bookmarkStart w:id="68" w:name="ref-gephi"/>
    <w:p>
      <w:pPr>
        <w:pStyle w:val="Bibliography"/>
      </w:pPr>
      <w:r>
        <w:t xml:space="preserve">Bastian, Mathieu, Sebastien Heymann, and Mathieu Jacomy. 2009. “Gephi: An Open Source Software for Exploring and Manipulating Networks.”</w:t>
      </w:r>
      <w:r>
        <w:t xml:space="preserve"> </w:t>
      </w:r>
      <w:hyperlink r:id="rId67">
        <w:r>
          <w:rPr>
            <w:rStyle w:val="Hyperlink"/>
          </w:rPr>
          <w:t xml:space="preserve">http://www.aaai.org/ocs/index.php/ICWSM/09/paper/view/154</w:t>
        </w:r>
      </w:hyperlink>
      <w:r>
        <w:t xml:space="preserve">.</w:t>
      </w:r>
    </w:p>
    <w:bookmarkEnd w:id="68"/>
    <w:bookmarkStart w:id="70"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69">
        <w:r>
          <w:rPr>
            <w:rStyle w:val="Hyperlink"/>
          </w:rPr>
          <w:t xml:space="preserve">https://doi.org/10.1111/jcom.12145</w:t>
        </w:r>
      </w:hyperlink>
      <w:r>
        <w:t xml:space="preserve">.</w:t>
      </w:r>
    </w:p>
    <w:bookmarkEnd w:id="70"/>
    <w:bookmarkStart w:id="72"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71">
        <w:r>
          <w:rPr>
            <w:rStyle w:val="Hyperlink"/>
          </w:rPr>
          <w:t xml:space="preserve">https://doi.org/https://doi.org/10.1111/ajps.12423</w:t>
        </w:r>
      </w:hyperlink>
      <w:r>
        <w:t xml:space="preserve">.</w:t>
      </w:r>
    </w:p>
    <w:bookmarkEnd w:id="72"/>
    <w:bookmarkStart w:id="74" w:name="ref-bonica2014"/>
    <w:p>
      <w:pPr>
        <w:pStyle w:val="Bibliography"/>
      </w:pPr>
      <w:r>
        <w:t xml:space="preserve">Bonica, Adam. 2014. “Mapping the Ideological Marketplace.”</w:t>
      </w:r>
      <w:r>
        <w:t xml:space="preserve"> </w:t>
      </w:r>
      <w:r>
        <w:rPr>
          <w:i/>
        </w:rPr>
        <w:t xml:space="preserve">American Journal of Political Science</w:t>
      </w:r>
      <w:r>
        <w:t xml:space="preserve"> </w:t>
      </w:r>
      <w:r>
        <w:t xml:space="preserve">58 (2): 367–86.</w:t>
      </w:r>
      <w:r>
        <w:t xml:space="preserve"> </w:t>
      </w:r>
      <w:hyperlink r:id="rId73">
        <w:r>
          <w:rPr>
            <w:rStyle w:val="Hyperlink"/>
          </w:rPr>
          <w:t xml:space="preserve">http://www.jstor.org/stable/24363491</w:t>
        </w:r>
      </w:hyperlink>
      <w:r>
        <w:t xml:space="preserve">.</w:t>
      </w:r>
    </w:p>
    <w:bookmarkEnd w:id="74"/>
    <w:bookmarkStart w:id="76" w:name="ref-bonica2016"/>
    <w:p>
      <w:pPr>
        <w:pStyle w:val="Bibliography"/>
      </w:pPr>
      <w:r>
        <w:t xml:space="preserve">———.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75">
        <w:r>
          <w:rPr>
            <w:rStyle w:val="Hyperlink"/>
          </w:rPr>
          <w:t xml:space="preserve">https://doi.org/10.1515/bap-2016-0004</w:t>
        </w:r>
      </w:hyperlink>
      <w:r>
        <w:t xml:space="preserve">.</w:t>
      </w:r>
    </w:p>
    <w:bookmarkEnd w:id="76"/>
    <w:bookmarkStart w:id="78" w:name="ref-bonica2019"/>
    <w:p>
      <w:pPr>
        <w:pStyle w:val="Bibliography"/>
      </w:pPr>
      <w:r>
        <w:t xml:space="preserve">———. 2019. “Are Donation-Based Measures of Ideology Valid Predictors of Individual-Level Policy Preferences?”</w:t>
      </w:r>
      <w:r>
        <w:t xml:space="preserve"> </w:t>
      </w:r>
      <w:r>
        <w:rPr>
          <w:i/>
        </w:rPr>
        <w:t xml:space="preserve">The Journal of Politics</w:t>
      </w:r>
      <w:r>
        <w:t xml:space="preserve"> </w:t>
      </w:r>
      <w:r>
        <w:t xml:space="preserve">81 (1): 327–33.</w:t>
      </w:r>
      <w:r>
        <w:t xml:space="preserve"> </w:t>
      </w:r>
      <w:hyperlink r:id="rId77">
        <w:r>
          <w:rPr>
            <w:rStyle w:val="Hyperlink"/>
          </w:rPr>
          <w:t xml:space="preserve">https://doi.org/10.1086/700722</w:t>
        </w:r>
      </w:hyperlink>
      <w:r>
        <w:t xml:space="preserve">.</w:t>
      </w:r>
    </w:p>
    <w:bookmarkEnd w:id="78"/>
    <w:bookmarkStart w:id="79"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79"/>
    <w:bookmarkStart w:id="81"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80">
        <w:r>
          <w:rPr>
            <w:rStyle w:val="Hyperlink"/>
          </w:rPr>
          <w:t xml:space="preserve">https://doi.org/10.1017/aae.2019.9</w:t>
        </w:r>
      </w:hyperlink>
      <w:r>
        <w:t xml:space="preserve">.</w:t>
      </w:r>
    </w:p>
    <w:bookmarkEnd w:id="81"/>
    <w:bookmarkStart w:id="83"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82">
        <w:r>
          <w:rPr>
            <w:rStyle w:val="Hyperlink"/>
          </w:rPr>
          <w:t xml:space="preserve">https://doi.org/10.1080/07343469.2018.1518965</w:t>
        </w:r>
      </w:hyperlink>
      <w:r>
        <w:t xml:space="preserve">.</w:t>
      </w:r>
    </w:p>
    <w:bookmarkEnd w:id="83"/>
    <w:bookmarkStart w:id="85"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84">
        <w:r>
          <w:rPr>
            <w:rStyle w:val="Hyperlink"/>
          </w:rPr>
          <w:t xml:space="preserve">https://doi.org/10.14763/2017.4.773</w:t>
        </w:r>
      </w:hyperlink>
      <w:r>
        <w:t xml:space="preserve">.</w:t>
      </w:r>
    </w:p>
    <w:bookmarkEnd w:id="85"/>
    <w:bookmarkStart w:id="86"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86"/>
    <w:bookmarkStart w:id="88"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87">
        <w:r>
          <w:rPr>
            <w:rStyle w:val="Hyperlink"/>
          </w:rPr>
          <w:t xml:space="preserve">https://doi.org/10.1080/15377857.2011.540224</w:t>
        </w:r>
      </w:hyperlink>
      <w:r>
        <w:t xml:space="preserve">.</w:t>
      </w:r>
    </w:p>
    <w:bookmarkEnd w:id="88"/>
    <w:bookmarkStart w:id="90"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89">
        <w:r>
          <w:rPr>
            <w:rStyle w:val="Hyperlink"/>
          </w:rPr>
          <w:t xml:space="preserve">https://doi.org/10.1177/153244000600600204</w:t>
        </w:r>
      </w:hyperlink>
      <w:r>
        <w:t xml:space="preserve">.</w:t>
      </w:r>
    </w:p>
    <w:bookmarkEnd w:id="90"/>
    <w:bookmarkStart w:id="92"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91">
        <w:r>
          <w:rPr>
            <w:rStyle w:val="Hyperlink"/>
          </w:rPr>
          <w:t xml:space="preserve">https://doi.org/https://doi.org/10.1111/j.1540-6261.2009.01548.x</w:t>
        </w:r>
      </w:hyperlink>
      <w:r>
        <w:t xml:space="preserve">.</w:t>
      </w:r>
    </w:p>
    <w:bookmarkEnd w:id="92"/>
    <w:bookmarkStart w:id="93"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93"/>
    <w:bookmarkStart w:id="95"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94">
        <w:r>
          <w:rPr>
            <w:rStyle w:val="Hyperlink"/>
          </w:rPr>
          <w:t xml:space="preserve">https://doi.org/10.1177/1532673X18763918</w:t>
        </w:r>
      </w:hyperlink>
      <w:r>
        <w:t xml:space="preserve">.</w:t>
      </w:r>
    </w:p>
    <w:bookmarkEnd w:id="95"/>
    <w:bookmarkStart w:id="97" w:name="ref-bert"/>
    <w:p>
      <w:pPr>
        <w:pStyle w:val="Bibliography"/>
      </w:pPr>
      <w:r>
        <w:t xml:space="preserve">Devlin, Jacob, Ming-Wei Chang, Kenton Lee, and Kristina Toutanova. 2019. “BERT: Pre-Training of Deep Bidirectional Transformers for Language Understanding.”</w:t>
      </w:r>
      <w:r>
        <w:t xml:space="preserve"> </w:t>
      </w:r>
      <w:hyperlink r:id="rId96">
        <w:r>
          <w:rPr>
            <w:rStyle w:val="Hyperlink"/>
          </w:rPr>
          <w:t xml:space="preserve">http://arxiv.org/abs/1810.04805</w:t>
        </w:r>
      </w:hyperlink>
      <w:r>
        <w:t xml:space="preserve">.</w:t>
      </w:r>
    </w:p>
    <w:bookmarkEnd w:id="97"/>
    <w:bookmarkStart w:id="99"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98">
        <w:r>
          <w:rPr>
            <w:rStyle w:val="Hyperlink"/>
          </w:rPr>
          <w:t xml:space="preserve">https://doi.org/10.1300/J017v17n02\_03</w:t>
        </w:r>
      </w:hyperlink>
      <w:r>
        <w:t xml:space="preserve">.</w:t>
      </w:r>
    </w:p>
    <w:bookmarkEnd w:id="99"/>
    <w:bookmarkStart w:id="101" w:name="ref-edwards2016"/>
    <w:p>
      <w:pPr>
        <w:pStyle w:val="Bibliography"/>
      </w:pPr>
      <w:r>
        <w:t xml:space="preserve">Edwards, Geoff, and Rui de Figueiredo. 2016. “The Market for Legislative Influence over Regulatory Policy” 34 (May).</w:t>
      </w:r>
      <w:r>
        <w:t xml:space="preserve"> </w:t>
      </w:r>
      <w:hyperlink r:id="rId100">
        <w:r>
          <w:rPr>
            <w:rStyle w:val="Hyperlink"/>
          </w:rPr>
          <w:t xml:space="preserve">https://doi.org/10.1108/S0742-332220160000034007</w:t>
        </w:r>
      </w:hyperlink>
      <w:r>
        <w:t xml:space="preserve">.</w:t>
      </w:r>
    </w:p>
    <w:bookmarkEnd w:id="101"/>
    <w:bookmarkStart w:id="102"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102"/>
    <w:bookmarkStart w:id="104"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103">
        <w:r>
          <w:rPr>
            <w:rStyle w:val="Hyperlink"/>
          </w:rPr>
          <w:t xml:space="preserve">https://doi.org/10.1177/106591299805100312</w:t>
        </w:r>
      </w:hyperlink>
      <w:r>
        <w:t xml:space="preserve">.</w:t>
      </w:r>
    </w:p>
    <w:bookmarkEnd w:id="104"/>
    <w:bookmarkStart w:id="106"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105">
        <w:r>
          <w:rPr>
            <w:rStyle w:val="Hyperlink"/>
          </w:rPr>
          <w:t xml:space="preserve">http://www.jstor.org/stable/40270840</w:t>
        </w:r>
      </w:hyperlink>
      <w:r>
        <w:t xml:space="preserve">.</w:t>
      </w:r>
    </w:p>
    <w:bookmarkEnd w:id="106"/>
    <w:bookmarkStart w:id="107"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107"/>
    <w:bookmarkStart w:id="109"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108">
        <w:r>
          <w:rPr>
            <w:rStyle w:val="Hyperlink"/>
          </w:rPr>
          <w:t xml:space="preserve">https://doi.org/https://doi.org/10.1111/fire.12181</w:t>
        </w:r>
      </w:hyperlink>
      <w:r>
        <w:t xml:space="preserve">.</w:t>
      </w:r>
    </w:p>
    <w:bookmarkEnd w:id="109"/>
    <w:bookmarkStart w:id="111"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110">
        <w:r>
          <w:rPr>
            <w:rStyle w:val="Hyperlink"/>
          </w:rPr>
          <w:t xml:space="preserve">https://doi.org/10.1177/1532673X18786723</w:t>
        </w:r>
      </w:hyperlink>
      <w:r>
        <w:t xml:space="preserve">.</w:t>
      </w:r>
    </w:p>
    <w:bookmarkEnd w:id="111"/>
    <w:bookmarkStart w:id="113"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112">
        <w:r>
          <w:rPr>
            <w:rStyle w:val="Hyperlink"/>
          </w:rPr>
          <w:t xml:space="preserve">https://doi.org/https://doi.org/10.1111/ajps.12316</w:t>
        </w:r>
      </w:hyperlink>
      <w:r>
        <w:t xml:space="preserve">.</w:t>
      </w:r>
    </w:p>
    <w:bookmarkEnd w:id="113"/>
    <w:bookmarkStart w:id="115"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114">
        <w:r>
          <w:rPr>
            <w:rStyle w:val="Hyperlink"/>
          </w:rPr>
          <w:t xml:space="preserve">https://doi.org/10.2139/ssrn.2652361</w:t>
        </w:r>
      </w:hyperlink>
      <w:r>
        <w:t xml:space="preserve">.</w:t>
      </w:r>
    </w:p>
    <w:bookmarkEnd w:id="115"/>
    <w:bookmarkStart w:id="116"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116"/>
    <w:bookmarkStart w:id="118"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117">
        <w:r>
          <w:rPr>
            <w:rStyle w:val="Hyperlink"/>
          </w:rPr>
          <w:t xml:space="preserve">https://doi.org/10.1177/1461444816676646</w:t>
        </w:r>
      </w:hyperlink>
      <w:r>
        <w:t xml:space="preserve">.</w:t>
      </w:r>
    </w:p>
    <w:bookmarkEnd w:id="118"/>
    <w:bookmarkStart w:id="120"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19">
        <w:r>
          <w:rPr>
            <w:rStyle w:val="Hyperlink"/>
          </w:rPr>
          <w:t xml:space="preserve">https://doi.org/10.1257/app.5.3.170</w:t>
        </w:r>
      </w:hyperlink>
      <w:r>
        <w:t xml:space="preserve">.</w:t>
      </w:r>
    </w:p>
    <w:bookmarkEnd w:id="120"/>
    <w:bookmarkStart w:id="122"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21">
        <w:r>
          <w:rPr>
            <w:rStyle w:val="Hyperlink"/>
          </w:rPr>
          <w:t xml:space="preserve">https://doi.org/https://doi.org/10.1111/psq.12645</w:t>
        </w:r>
      </w:hyperlink>
      <w:r>
        <w:t xml:space="preserve">.</w:t>
      </w:r>
    </w:p>
    <w:bookmarkEnd w:id="122"/>
    <w:bookmarkStart w:id="123"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23"/>
    <w:bookmarkStart w:id="125"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24">
        <w:r>
          <w:rPr>
            <w:rStyle w:val="Hyperlink"/>
          </w:rPr>
          <w:t xml:space="preserve">https://doi.org/10.1093/pa/gsl004</w:t>
        </w:r>
      </w:hyperlink>
      <w:r>
        <w:t xml:space="preserve">.</w:t>
      </w:r>
    </w:p>
    <w:bookmarkEnd w:id="125"/>
    <w:bookmarkStart w:id="127"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26">
        <w:r>
          <w:rPr>
            <w:rStyle w:val="Hyperlink"/>
          </w:rPr>
          <w:t xml:space="preserve">https://doi.org/10.1111/j.1083-6101.2012.01574.x</w:t>
        </w:r>
      </w:hyperlink>
      <w:r>
        <w:t xml:space="preserve">.</w:t>
      </w:r>
    </w:p>
    <w:bookmarkEnd w:id="127"/>
    <w:bookmarkStart w:id="129"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28">
        <w:r>
          <w:rPr>
            <w:rStyle w:val="Hyperlink"/>
          </w:rPr>
          <w:t xml:space="preserve">https://doi.org/10.1017/pan.2019.2</w:t>
        </w:r>
      </w:hyperlink>
      <w:r>
        <w:t xml:space="preserve">.</w:t>
      </w:r>
    </w:p>
    <w:bookmarkEnd w:id="129"/>
    <w:bookmarkStart w:id="131"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30">
        <w:r>
          <w:rPr>
            <w:rStyle w:val="Hyperlink"/>
          </w:rPr>
          <w:t xml:space="preserve">https://doi.org/10.1073/pnas.1922175117</w:t>
        </w:r>
      </w:hyperlink>
      <w:r>
        <w:t xml:space="preserve">.</w:t>
      </w:r>
    </w:p>
    <w:bookmarkEnd w:id="131"/>
    <w:bookmarkStart w:id="132"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32"/>
    <w:bookmarkStart w:id="133"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33"/>
    <w:bookmarkStart w:id="135" w:name="ref-gounopoulos2021"/>
    <w:p>
      <w:pPr>
        <w:pStyle w:val="Bibliography"/>
      </w:pPr>
      <w:r>
        <w:t xml:space="preserve">Gounopoulos, Dimitrios, Khelifa Mazouz, and Geoffrey Wood. 2021. “The Consequences of Political Donations for Ipo Premium and Performance.”</w:t>
      </w:r>
      <w:r>
        <w:t xml:space="preserve"> </w:t>
      </w:r>
      <w:r>
        <w:rPr>
          <w:i/>
        </w:rPr>
        <w:t xml:space="preserve">Journal of Corporate Finance</w:t>
      </w:r>
      <w:r>
        <w:t xml:space="preserve"> </w:t>
      </w:r>
      <w:r>
        <w:t xml:space="preserve">67: 101888.</w:t>
      </w:r>
      <w:r>
        <w:t xml:space="preserve"> </w:t>
      </w:r>
      <w:hyperlink r:id="rId134">
        <w:r>
          <w:rPr>
            <w:rStyle w:val="Hyperlink"/>
          </w:rPr>
          <w:t xml:space="preserve">https://doi.org/https://doi.org/10.1016/j.jcorpfin.2021.101888</w:t>
        </w:r>
      </w:hyperlink>
      <w:r>
        <w:t xml:space="preserve">.</w:t>
      </w:r>
    </w:p>
    <w:bookmarkEnd w:id="135"/>
    <w:bookmarkStart w:id="137"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36">
        <w:r>
          <w:rPr>
            <w:rStyle w:val="Hyperlink"/>
          </w:rPr>
          <w:t xml:space="preserve">http://www.jstor.org/stable/1912791</w:t>
        </w:r>
      </w:hyperlink>
      <w:r>
        <w:t xml:space="preserve">.</w:t>
      </w:r>
    </w:p>
    <w:bookmarkEnd w:id="137"/>
    <w:bookmarkStart w:id="139"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38">
        <w:r>
          <w:rPr>
            <w:rStyle w:val="Hyperlink"/>
          </w:rPr>
          <w:t xml:space="preserve">http://www.jstor.org/stable/2111251</w:t>
        </w:r>
      </w:hyperlink>
      <w:r>
        <w:t xml:space="preserve">.</w:t>
      </w:r>
    </w:p>
    <w:bookmarkEnd w:id="139"/>
    <w:bookmarkStart w:id="141"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40">
        <w:r>
          <w:rPr>
            <w:rStyle w:val="Hyperlink"/>
          </w:rPr>
          <w:t xml:space="preserve">https://doi.org/10.1177/1476127016651001</w:t>
        </w:r>
      </w:hyperlink>
      <w:r>
        <w:t xml:space="preserve">.</w:t>
      </w:r>
    </w:p>
    <w:bookmarkEnd w:id="141"/>
    <w:bookmarkStart w:id="143"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42">
        <w:r>
          <w:rPr>
            <w:rStyle w:val="Hyperlink"/>
          </w:rPr>
          <w:t xml:space="preserve">https://doi.org/10.2307/1962767</w:t>
        </w:r>
      </w:hyperlink>
      <w:r>
        <w:t xml:space="preserve">.</w:t>
      </w:r>
    </w:p>
    <w:bookmarkEnd w:id="143"/>
    <w:bookmarkStart w:id="144"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44"/>
    <w:bookmarkStart w:id="146"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45">
        <w:r>
          <w:rPr>
            <w:rStyle w:val="Hyperlink"/>
          </w:rPr>
          <w:t xml:space="preserve">https://doi.org/10.1145/2508436.2508438</w:t>
        </w:r>
      </w:hyperlink>
      <w:r>
        <w:t xml:space="preserve">.</w:t>
      </w:r>
    </w:p>
    <w:bookmarkEnd w:id="146"/>
    <w:bookmarkStart w:id="148"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47">
        <w:r>
          <w:rPr>
            <w:rStyle w:val="Hyperlink"/>
          </w:rPr>
          <w:t xml:space="preserve">https://doi.org/https://doi.org/10.1111/lsq.12108</w:t>
        </w:r>
      </w:hyperlink>
      <w:r>
        <w:t xml:space="preserve">.</w:t>
      </w:r>
    </w:p>
    <w:bookmarkEnd w:id="148"/>
    <w:bookmarkStart w:id="150" w:name="ref-hardina2005"/>
    <w:p>
      <w:pPr>
        <w:pStyle w:val="Bibliography"/>
      </w:pPr>
      <w:r>
        <w:t xml:space="preserve">Hardina, Donna. 2005. “Using the Web to Teach Power Analysis.”</w:t>
      </w:r>
      <w:r>
        <w:t xml:space="preserve"> </w:t>
      </w:r>
      <w:r>
        <w:rPr>
          <w:i/>
        </w:rPr>
        <w:t xml:space="preserve">The Social Policy Journal</w:t>
      </w:r>
      <w:r>
        <w:t xml:space="preserve"> </w:t>
      </w:r>
      <w:r>
        <w:t xml:space="preserve">4 (2): 51–68.</w:t>
      </w:r>
      <w:r>
        <w:t xml:space="preserve"> </w:t>
      </w:r>
      <w:hyperlink r:id="rId149">
        <w:r>
          <w:rPr>
            <w:rStyle w:val="Hyperlink"/>
          </w:rPr>
          <w:t xml:space="preserve">https://doi.org/10.1300/J185v04n02\_05</w:t>
        </w:r>
      </w:hyperlink>
      <w:r>
        <w:t xml:space="preserve">.</w:t>
      </w:r>
    </w:p>
    <w:bookmarkEnd w:id="150"/>
    <w:bookmarkStart w:id="152" w:name="ref-harlow2020"/>
    <w:p>
      <w:pPr>
        <w:pStyle w:val="Bibliography"/>
      </w:pPr>
      <w:r>
        <w:t xml:space="preserve">Harlow, Summer, Danielle K. Kilgo, Ramón Salaverría, and Víctor García-Perdomo. 2020. “Is the Whole World Watching? Building a Typology of Protest Coverage on Social Media from Around the World.”</w:t>
      </w:r>
      <w:r>
        <w:t xml:space="preserve"> </w:t>
      </w:r>
      <w:r>
        <w:rPr>
          <w:i/>
        </w:rPr>
        <w:t xml:space="preserve">Journalism Studies</w:t>
      </w:r>
      <w:r>
        <w:t xml:space="preserve"> </w:t>
      </w:r>
      <w:r>
        <w:t xml:space="preserve">21 (11): 1590–1608.</w:t>
      </w:r>
      <w:r>
        <w:t xml:space="preserve"> </w:t>
      </w:r>
      <w:hyperlink r:id="rId151">
        <w:r>
          <w:rPr>
            <w:rStyle w:val="Hyperlink"/>
          </w:rPr>
          <w:t xml:space="preserve">https://doi.org/10.1080/1461670X.2020.1776144</w:t>
        </w:r>
      </w:hyperlink>
      <w:r>
        <w:t xml:space="preserve">.</w:t>
      </w:r>
    </w:p>
    <w:bookmarkEnd w:id="152"/>
    <w:bookmarkStart w:id="154"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53">
        <w:r>
          <w:rPr>
            <w:rStyle w:val="Hyperlink"/>
          </w:rPr>
          <w:t xml:space="preserve">https://doi.org/https://doi.org/10.1016/j.ssresearch.2016.09.026</w:t>
        </w:r>
      </w:hyperlink>
      <w:r>
        <w:t xml:space="preserve">.</w:t>
      </w:r>
    </w:p>
    <w:bookmarkEnd w:id="154"/>
    <w:bookmarkStart w:id="156" w:name="ref-bonferroni"/>
    <w:p>
      <w:pPr>
        <w:pStyle w:val="Bibliography"/>
      </w:pPr>
      <w:r>
        <w:t xml:space="preserve">Haynes, Winston. 2013.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55">
        <w:r>
          <w:rPr>
            <w:rStyle w:val="Hyperlink"/>
          </w:rPr>
          <w:t xml:space="preserve">https://doi.org/10.1007/978-1-4419-9863-7_1213</w:t>
        </w:r>
      </w:hyperlink>
      <w:r>
        <w:t xml:space="preserve">.</w:t>
      </w:r>
    </w:p>
    <w:bookmarkEnd w:id="156"/>
    <w:bookmarkStart w:id="158"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57">
        <w:r>
          <w:rPr>
            <w:rStyle w:val="Hyperlink"/>
          </w:rPr>
          <w:t xml:space="preserve">https://doi.org/https://doi.org/10.1016/S0099-1333(02)00399-3</w:t>
        </w:r>
      </w:hyperlink>
      <w:r>
        <w:t xml:space="preserve">.</w:t>
      </w:r>
    </w:p>
    <w:bookmarkEnd w:id="158"/>
    <w:bookmarkStart w:id="160"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59">
        <w:r>
          <w:rPr>
            <w:rStyle w:val="Hyperlink"/>
          </w:rPr>
          <w:t xml:space="preserve">https://doi.org/https://doi.org/10.1007/s12115-020-00528-w</w:t>
        </w:r>
      </w:hyperlink>
      <w:r>
        <w:t xml:space="preserve">.</w:t>
      </w:r>
    </w:p>
    <w:bookmarkEnd w:id="160"/>
    <w:bookmarkStart w:id="162"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61">
        <w:r>
          <w:rPr>
            <w:rStyle w:val="Hyperlink"/>
          </w:rPr>
          <w:t xml:space="preserve">https://doi.org/https://doi.org/10.1016/j.ssresearch.2016.06.001</w:t>
        </w:r>
      </w:hyperlink>
      <w:r>
        <w:t xml:space="preserve">.</w:t>
      </w:r>
    </w:p>
    <w:bookmarkEnd w:id="162"/>
    <w:bookmarkStart w:id="163"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63"/>
    <w:bookmarkStart w:id="165"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64">
        <w:r>
          <w:rPr>
            <w:rStyle w:val="Hyperlink"/>
          </w:rPr>
          <w:t xml:space="preserve">https://doi.org/10.1007/s11109-016-9343-y</w:t>
        </w:r>
      </w:hyperlink>
      <w:r>
        <w:t xml:space="preserve">.</w:t>
      </w:r>
    </w:p>
    <w:bookmarkEnd w:id="165"/>
    <w:bookmarkStart w:id="167"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66">
        <w:r>
          <w:rPr>
            <w:rStyle w:val="Hyperlink"/>
          </w:rPr>
          <w:t xml:space="preserve">https://doi.org/10.1080/09644016.2020.1788897</w:t>
        </w:r>
      </w:hyperlink>
      <w:r>
        <w:t xml:space="preserve">.</w:t>
      </w:r>
    </w:p>
    <w:bookmarkEnd w:id="167"/>
    <w:bookmarkStart w:id="168"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68"/>
    <w:bookmarkStart w:id="169"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69"/>
    <w:bookmarkStart w:id="171"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70">
        <w:r>
          <w:rPr>
            <w:rStyle w:val="Hyperlink"/>
          </w:rPr>
          <w:t xml:space="preserve">https://doi.org/10.1177/1065912917738575</w:t>
        </w:r>
      </w:hyperlink>
      <w:r>
        <w:t xml:space="preserve">.</w:t>
      </w:r>
    </w:p>
    <w:bookmarkEnd w:id="171"/>
    <w:bookmarkStart w:id="173"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72">
        <w:r>
          <w:rPr>
            <w:rStyle w:val="Hyperlink"/>
          </w:rPr>
          <w:t xml:space="preserve">https://ojs.aaai.org/index.php/ICWSM/article/view/7302</w:t>
        </w:r>
      </w:hyperlink>
      <w:r>
        <w:t xml:space="preserve">.</w:t>
      </w:r>
    </w:p>
    <w:bookmarkEnd w:id="173"/>
    <w:bookmarkStart w:id="175"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74">
        <w:r>
          <w:rPr>
            <w:rStyle w:val="Hyperlink"/>
          </w:rPr>
          <w:t xml:space="preserve">https://doi.org/10.1111/pops.12478</w:t>
        </w:r>
      </w:hyperlink>
      <w:r>
        <w:t xml:space="preserve">.</w:t>
      </w:r>
    </w:p>
    <w:bookmarkEnd w:id="175"/>
    <w:bookmarkStart w:id="177"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76">
        <w:r>
          <w:rPr>
            <w:rStyle w:val="Hyperlink"/>
          </w:rPr>
          <w:t xml:space="preserve">https://doi.org/https://doi.org/10.1111/ajps.12180</w:t>
        </w:r>
      </w:hyperlink>
      <w:r>
        <w:t xml:space="preserve">.</w:t>
      </w:r>
    </w:p>
    <w:bookmarkEnd w:id="177"/>
    <w:bookmarkStart w:id="179"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78">
        <w:r>
          <w:rPr>
            <w:rStyle w:val="Hyperlink"/>
          </w:rPr>
          <w:t xml:space="preserve">https://doi.org/https://doi.org/10.2202/1944-2866.1098</w:t>
        </w:r>
      </w:hyperlink>
      <w:r>
        <w:t xml:space="preserve">.</w:t>
      </w:r>
    </w:p>
    <w:bookmarkEnd w:id="179"/>
    <w:bookmarkStart w:id="181"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80">
        <w:r>
          <w:rPr>
            <w:rStyle w:val="Hyperlink"/>
          </w:rPr>
          <w:t xml:space="preserve">https://doi.org/10.21105/joss.01829</w:t>
        </w:r>
      </w:hyperlink>
      <w:r>
        <w:t xml:space="preserve">.</w:t>
      </w:r>
    </w:p>
    <w:bookmarkEnd w:id="181"/>
    <w:bookmarkStart w:id="183"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82">
        <w:r>
          <w:rPr>
            <w:rStyle w:val="Hyperlink"/>
          </w:rPr>
          <w:t xml:space="preserve">https://doi.org/10.1089/elj.2018.0498</w:t>
        </w:r>
      </w:hyperlink>
      <w:r>
        <w:t xml:space="preserve">.</w:t>
      </w:r>
    </w:p>
    <w:bookmarkEnd w:id="183"/>
    <w:bookmarkStart w:id="185"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84">
        <w:r>
          <w:rPr>
            <w:rStyle w:val="Hyperlink"/>
          </w:rPr>
          <w:t xml:space="preserve">https://doi.org/10.1080/17457289.2019.1652620</w:t>
        </w:r>
      </w:hyperlink>
      <w:r>
        <w:t xml:space="preserve">.</w:t>
      </w:r>
    </w:p>
    <w:bookmarkEnd w:id="185"/>
    <w:bookmarkStart w:id="187"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86">
        <w:r>
          <w:rPr>
            <w:rStyle w:val="Hyperlink"/>
          </w:rPr>
          <w:t xml:space="preserve">https://doi.org/10.1080/10584609.2017.1364814</w:t>
        </w:r>
      </w:hyperlink>
      <w:r>
        <w:t xml:space="preserve">.</w:t>
      </w:r>
    </w:p>
    <w:bookmarkEnd w:id="187"/>
    <w:bookmarkStart w:id="189"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88">
        <w:r>
          <w:rPr>
            <w:rStyle w:val="Hyperlink"/>
          </w:rPr>
          <w:t xml:space="preserve">https://doi.org/10.5210/fm.v14i11.2645</w:t>
        </w:r>
      </w:hyperlink>
      <w:r>
        <w:t xml:space="preserve">.</w:t>
      </w:r>
    </w:p>
    <w:bookmarkEnd w:id="189"/>
    <w:bookmarkStart w:id="190"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90"/>
    <w:bookmarkStart w:id="192"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91">
        <w:r>
          <w:rPr>
            <w:rStyle w:val="Hyperlink"/>
          </w:rPr>
          <w:t xml:space="preserve">https://doi.org/10.1093/pan/mpw017</w:t>
        </w:r>
      </w:hyperlink>
      <w:r>
        <w:t xml:space="preserve">.</w:t>
      </w:r>
    </w:p>
    <w:bookmarkEnd w:id="192"/>
    <w:bookmarkStart w:id="194"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93">
        <w:r>
          <w:rPr>
            <w:rStyle w:val="Hyperlink"/>
          </w:rPr>
          <w:t xml:space="preserve">http://www.jstor.org/stable/25698520</w:t>
        </w:r>
      </w:hyperlink>
      <w:r>
        <w:t xml:space="preserve">.</w:t>
      </w:r>
    </w:p>
    <w:bookmarkEnd w:id="194"/>
    <w:bookmarkStart w:id="196"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95">
        <w:r>
          <w:rPr>
            <w:rStyle w:val="Hyperlink"/>
          </w:rPr>
          <w:t xml:space="preserve">https://doi.org/10.1111/jcom.12077</w:t>
        </w:r>
      </w:hyperlink>
      <w:r>
        <w:t xml:space="preserve">.</w:t>
      </w:r>
    </w:p>
    <w:bookmarkEnd w:id="196"/>
    <w:bookmarkStart w:id="198"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97">
        <w:r>
          <w:rPr>
            <w:rStyle w:val="Hyperlink"/>
          </w:rPr>
          <w:t xml:space="preserve">https://doi.org/10.1080/10627261003614419</w:t>
        </w:r>
      </w:hyperlink>
      <w:r>
        <w:t xml:space="preserve">.</w:t>
      </w:r>
    </w:p>
    <w:bookmarkEnd w:id="198"/>
    <w:bookmarkStart w:id="200"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99">
        <w:r>
          <w:rPr>
            <w:rStyle w:val="Hyperlink"/>
          </w:rPr>
          <w:t xml:space="preserve">https://doi.org/10.1073/pnas.0503018102</w:t>
        </w:r>
      </w:hyperlink>
      <w:r>
        <w:t xml:space="preserve">.</w:t>
      </w:r>
    </w:p>
    <w:bookmarkEnd w:id="200"/>
    <w:bookmarkStart w:id="202"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201">
        <w:r>
          <w:rPr>
            <w:rStyle w:val="Hyperlink"/>
          </w:rPr>
          <w:t xml:space="preserve">https://doi.org/10.1080/10584609.2019.1661889</w:t>
        </w:r>
      </w:hyperlink>
      <w:r>
        <w:t xml:space="preserve">.</w:t>
      </w:r>
    </w:p>
    <w:bookmarkEnd w:id="202"/>
    <w:bookmarkStart w:id="204"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203">
        <w:r>
          <w:rPr>
            <w:rStyle w:val="Hyperlink"/>
          </w:rPr>
          <w:t xml:space="preserve">https://doi.org/10.2202/1469-3569.1306</w:t>
        </w:r>
      </w:hyperlink>
      <w:r>
        <w:t xml:space="preserve">.</w:t>
      </w:r>
    </w:p>
    <w:bookmarkEnd w:id="204"/>
    <w:bookmarkStart w:id="205"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205"/>
    <w:bookmarkStart w:id="206"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206"/>
    <w:bookmarkStart w:id="208"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207">
        <w:r>
          <w:rPr>
            <w:rStyle w:val="Hyperlink"/>
          </w:rPr>
          <w:t xml:space="preserve">https://doi.org/https://doi.org/10.1002/nvsm.373</w:t>
        </w:r>
      </w:hyperlink>
      <w:r>
        <w:t xml:space="preserve">.</w:t>
      </w:r>
    </w:p>
    <w:bookmarkEnd w:id="208"/>
    <w:bookmarkStart w:id="210"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209">
        <w:r>
          <w:rPr>
            <w:rStyle w:val="Hyperlink"/>
          </w:rPr>
          <w:t xml:space="preserve">https://doi.org/10.1007/978-3-030-36687-2_77</w:t>
        </w:r>
      </w:hyperlink>
      <w:r>
        <w:t xml:space="preserve">.</w:t>
      </w:r>
    </w:p>
    <w:bookmarkEnd w:id="210"/>
    <w:bookmarkStart w:id="212"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211">
        <w:r>
          <w:rPr>
            <w:rStyle w:val="Hyperlink"/>
          </w:rPr>
          <w:t xml:space="preserve">https://doi.org/10.1257/jep.28.2.51</w:t>
        </w:r>
      </w:hyperlink>
      <w:r>
        <w:t xml:space="preserve">.</w:t>
      </w:r>
    </w:p>
    <w:bookmarkEnd w:id="212"/>
    <w:bookmarkStart w:id="214"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213">
        <w:r>
          <w:rPr>
            <w:rStyle w:val="Hyperlink"/>
          </w:rPr>
          <w:t xml:space="preserve">https://doi.org/10.1177/1532440016679373</w:t>
        </w:r>
      </w:hyperlink>
      <w:r>
        <w:t xml:space="preserve">.</w:t>
      </w:r>
    </w:p>
    <w:bookmarkEnd w:id="214"/>
    <w:bookmarkStart w:id="216"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215">
        <w:r>
          <w:rPr>
            <w:rStyle w:val="Hyperlink"/>
          </w:rPr>
          <w:t xml:space="preserve">https://doi.org/10.1109/MFI.2017.8170390</w:t>
        </w:r>
      </w:hyperlink>
      <w:r>
        <w:t xml:space="preserve">.</w:t>
      </w:r>
    </w:p>
    <w:bookmarkEnd w:id="216"/>
    <w:bookmarkStart w:id="218"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217">
        <w:r>
          <w:rPr>
            <w:rStyle w:val="Hyperlink"/>
          </w:rPr>
          <w:t xml:space="preserve">https://doi.org/10.1086/686615</w:t>
        </w:r>
      </w:hyperlink>
      <w:r>
        <w:t xml:space="preserve">.</w:t>
      </w:r>
    </w:p>
    <w:bookmarkEnd w:id="218"/>
    <w:bookmarkStart w:id="220"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19">
        <w:r>
          <w:rPr>
            <w:rStyle w:val="Hyperlink"/>
          </w:rPr>
          <w:t xml:space="preserve">https://doi.org/https://doi.org/10.1016/j.cub.2015.02.042</w:t>
        </w:r>
      </w:hyperlink>
      <w:r>
        <w:t xml:space="preserve">.</w:t>
      </w:r>
    </w:p>
    <w:bookmarkEnd w:id="220"/>
    <w:bookmarkStart w:id="222"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21">
        <w:r>
          <w:rPr>
            <w:rStyle w:val="Hyperlink"/>
          </w:rPr>
          <w:t xml:space="preserve">https://doi.org/https://doi.org/10.1177/1532673X11429845</w:t>
        </w:r>
      </w:hyperlink>
      <w:r>
        <w:t xml:space="preserve">.</w:t>
      </w:r>
    </w:p>
    <w:bookmarkEnd w:id="222"/>
    <w:bookmarkStart w:id="224"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23">
        <w:r>
          <w:rPr>
            <w:rStyle w:val="Hyperlink"/>
          </w:rPr>
          <w:t xml:space="preserve">https://www.aclweb.org/anthology/2020.trac-1.5</w:t>
        </w:r>
      </w:hyperlink>
      <w:r>
        <w:t xml:space="preserve">.</w:t>
      </w:r>
    </w:p>
    <w:bookmarkEnd w:id="224"/>
    <w:bookmarkStart w:id="226"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25">
        <w:r>
          <w:rPr>
            <w:rStyle w:val="Hyperlink"/>
          </w:rPr>
          <w:t xml:space="preserve">http://www.R-project.org/</w:t>
        </w:r>
      </w:hyperlink>
      <w:r>
        <w:t xml:space="preserve">.</w:t>
      </w:r>
    </w:p>
    <w:bookmarkEnd w:id="226"/>
    <w:bookmarkStart w:id="228"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27">
        <w:r>
          <w:rPr>
            <w:rStyle w:val="Hyperlink"/>
          </w:rPr>
          <w:t xml:space="preserve">https://doi.org/10.1177/1065912917749323</w:t>
        </w:r>
      </w:hyperlink>
      <w:r>
        <w:t xml:space="preserve">.</w:t>
      </w:r>
    </w:p>
    <w:bookmarkEnd w:id="228"/>
    <w:bookmarkStart w:id="230"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29">
        <w:r>
          <w:rPr>
            <w:rStyle w:val="Hyperlink"/>
          </w:rPr>
          <w:t xml:space="preserve">https://doi.org/https://doi.org/10.1111/j.0038-4941.2005.00290.x</w:t>
        </w:r>
      </w:hyperlink>
      <w:r>
        <w:t xml:space="preserve">.</w:t>
      </w:r>
    </w:p>
    <w:bookmarkEnd w:id="230"/>
    <w:bookmarkStart w:id="231" w:name="ref-scellato2010"/>
    <w:p>
      <w:pPr>
        <w:pStyle w:val="Bibliography"/>
      </w:pPr>
      <w:r>
        <w:t xml:space="preserve">Scellato, Salvatore, Cecilia Mascolo, Mirco Musolesi, and Vito Latora. 2010. “Distance Matters: Geo-Social Metrics for Online Social Networks.” In, 8. WOSN’10. USA: USENIX Association.</w:t>
      </w:r>
    </w:p>
    <w:bookmarkEnd w:id="231"/>
    <w:bookmarkStart w:id="233"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32">
        <w:r>
          <w:rPr>
            <w:rStyle w:val="Hyperlink"/>
          </w:rPr>
          <w:t xml:space="preserve">https://doi.org/https://doi.org/10.1111/ajps.12534</w:t>
        </w:r>
      </w:hyperlink>
      <w:r>
        <w:t xml:space="preserve">.</w:t>
      </w:r>
    </w:p>
    <w:bookmarkEnd w:id="233"/>
    <w:bookmarkStart w:id="235"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34">
        <w:r>
          <w:rPr>
            <w:rStyle w:val="Hyperlink"/>
          </w:rPr>
          <w:t xml:space="preserve">https://doi.org/10.1080/01972243.2019.1582570</w:t>
        </w:r>
      </w:hyperlink>
      <w:r>
        <w:t xml:space="preserve">.</w:t>
      </w:r>
    </w:p>
    <w:bookmarkEnd w:id="235"/>
    <w:bookmarkStart w:id="237"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36">
        <w:r>
          <w:rPr>
            <w:rStyle w:val="Hyperlink"/>
          </w:rPr>
          <w:t xml:space="preserve">https://cran.r-project.org/web/packages/tsDyn/vignettes/ThCointOverview.pdf</w:t>
        </w:r>
      </w:hyperlink>
      <w:r>
        <w:t xml:space="preserve">.</w:t>
      </w:r>
    </w:p>
    <w:bookmarkEnd w:id="237"/>
    <w:bookmarkStart w:id="238"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38"/>
    <w:bookmarkStart w:id="239"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39"/>
    <w:bookmarkStart w:id="241"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40">
        <w:r>
          <w:rPr>
            <w:rStyle w:val="Hyperlink"/>
          </w:rPr>
          <w:t xml:space="preserve">https://doi.org/10.1093/ijpor/edr037</w:t>
        </w:r>
      </w:hyperlink>
      <w:r>
        <w:t xml:space="preserve">.</w:t>
      </w:r>
    </w:p>
    <w:bookmarkEnd w:id="241"/>
    <w:bookmarkStart w:id="243"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42">
        <w:r>
          <w:rPr>
            <w:rStyle w:val="Hyperlink"/>
          </w:rPr>
          <w:t xml:space="preserve">https://doi.org/https://doi.org/10.1016/j.pubrev.2012.01.010</w:t>
        </w:r>
      </w:hyperlink>
      <w:r>
        <w:t xml:space="preserve">.</w:t>
      </w:r>
    </w:p>
    <w:bookmarkEnd w:id="243"/>
    <w:bookmarkStart w:id="245"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44">
        <w:r>
          <w:rPr>
            <w:rStyle w:val="Hyperlink"/>
          </w:rPr>
          <w:t xml:space="preserve">https://doi.org/10.18653/v1/D19-5022</w:t>
        </w:r>
      </w:hyperlink>
      <w:r>
        <w:t xml:space="preserve">.</w:t>
      </w:r>
    </w:p>
    <w:bookmarkEnd w:id="245"/>
    <w:bookmarkStart w:id="247"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46">
        <w:r>
          <w:rPr>
            <w:rStyle w:val="Hyperlink"/>
          </w:rPr>
          <w:t xml:space="preserve">https://doi.org/https://doi.org/10.1007/978-3-319-96133-0_18</w:t>
        </w:r>
      </w:hyperlink>
      <w:r>
        <w:t xml:space="preserve">.</w:t>
      </w:r>
    </w:p>
    <w:bookmarkEnd w:id="247"/>
    <w:bookmarkStart w:id="249"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48">
        <w:r>
          <w:rPr>
            <w:rStyle w:val="Hyperlink"/>
          </w:rPr>
          <w:t xml:space="preserve">https://doi.org/10.1109/ICMLA.2019.00129</w:t>
        </w:r>
      </w:hyperlink>
      <w:r>
        <w:t xml:space="preserve">.</w:t>
      </w:r>
    </w:p>
    <w:bookmarkEnd w:id="249"/>
    <w:bookmarkStart w:id="251"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50">
        <w:r>
          <w:rPr>
            <w:rStyle w:val="Hyperlink"/>
          </w:rPr>
          <w:t xml:space="preserve">https://doi.org/10.1080/15377857.2018.1457590</w:t>
        </w:r>
      </w:hyperlink>
      <w:r>
        <w:t xml:space="preserve">.</w:t>
      </w:r>
    </w:p>
    <w:bookmarkEnd w:id="251"/>
    <w:bookmarkStart w:id="253"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52">
        <w:r>
          <w:rPr>
            <w:rStyle w:val="Hyperlink"/>
          </w:rPr>
          <w:t xml:space="preserve">https://doi.org/10.1142/S1013251120500058</w:t>
        </w:r>
      </w:hyperlink>
      <w:r>
        <w:t xml:space="preserve">.</w:t>
      </w:r>
    </w:p>
    <w:bookmarkEnd w:id="253"/>
    <w:bookmarkStart w:id="255"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54">
        <w:r>
          <w:rPr>
            <w:rStyle w:val="Hyperlink"/>
          </w:rPr>
          <w:t xml:space="preserve">http://www.jstor.org/stable/174100</w:t>
        </w:r>
      </w:hyperlink>
      <w:r>
        <w:t xml:space="preserve">.</w:t>
      </w:r>
    </w:p>
    <w:bookmarkEnd w:id="255"/>
    <w:bookmarkStart w:id="257"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56">
        <w:r>
          <w:rPr>
            <w:rStyle w:val="Hyperlink"/>
          </w:rPr>
          <w:t xml:space="preserve">https://doi.org/10.1007/BF00154752</w:t>
        </w:r>
      </w:hyperlink>
      <w:r>
        <w:t xml:space="preserve">.</w:t>
      </w:r>
    </w:p>
    <w:bookmarkEnd w:id="257"/>
    <w:bookmarkStart w:id="258" w:name="ref-wilson2017"/>
    <w:p>
      <w:pPr>
        <w:pStyle w:val="Bibliography"/>
      </w:pPr>
      <w:r>
        <w:t xml:space="preserve">Wilson, Steven. 2017. “Detecting Mass Protest Through Social Media.”</w:t>
      </w:r>
      <w:r>
        <w:t xml:space="preserve"> </w:t>
      </w:r>
      <w:r>
        <w:rPr>
          <w:i/>
        </w:rPr>
        <w:t xml:space="preserve">The Journal of Social Media in Society</w:t>
      </w:r>
      <w:r>
        <w:t xml:space="preserve"> </w:t>
      </w:r>
      <w:r>
        <w:t xml:space="preserve">6 (2).</w:t>
      </w:r>
    </w:p>
    <w:bookmarkEnd w:id="258"/>
    <w:bookmarkStart w:id="260"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59">
        <w:r>
          <w:rPr>
            <w:rStyle w:val="Hyperlink"/>
          </w:rPr>
          <w:t xml:space="preserve">https://doi.org/10.2307/1956656</w:t>
        </w:r>
      </w:hyperlink>
      <w:r>
        <w:t xml:space="preserve">.</w:t>
      </w:r>
    </w:p>
    <w:bookmarkEnd w:id="260"/>
    <w:bookmarkStart w:id="262"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61">
        <w:r>
          <w:rPr>
            <w:rStyle w:val="Hyperlink"/>
          </w:rPr>
          <w:t xml:space="preserve">https://CRAN.R-project.org/doc/Rnews/</w:t>
        </w:r>
      </w:hyperlink>
      <w:r>
        <w:t xml:space="preserve">.</w:t>
      </w:r>
    </w:p>
    <w:bookmarkEnd w:id="262"/>
    <w:bookmarkStart w:id="264" w:name="ref-zhang2019"/>
    <w:p>
      <w:pPr>
        <w:pStyle w:val="Bibliography"/>
      </w:pPr>
      <w:r>
        <w:t xml:space="preserve">Zhang, Han, and Jennifer Pan. 2019. “CASM: A Deep-Learning Approach for Identifying Collective Action Events with Text and Image Data from Social Media.”</w:t>
      </w:r>
      <w:r>
        <w:t xml:space="preserve"> </w:t>
      </w:r>
      <w:r>
        <w:rPr>
          <w:i/>
        </w:rPr>
        <w:t xml:space="preserve">Sociological Methodology</w:t>
      </w:r>
      <w:r>
        <w:t xml:space="preserve"> </w:t>
      </w:r>
      <w:r>
        <w:t xml:space="preserve">49 (1): 1–57.</w:t>
      </w:r>
      <w:r>
        <w:t xml:space="preserve"> </w:t>
      </w:r>
      <w:hyperlink r:id="rId263">
        <w:r>
          <w:rPr>
            <w:rStyle w:val="Hyperlink"/>
          </w:rPr>
          <w:t xml:space="preserve">https://doi.org/10.1177/0081175019860244</w:t>
        </w:r>
      </w:hyperlink>
      <w:r>
        <w:t xml:space="preserve">.</w:t>
      </w:r>
    </w:p>
    <w:bookmarkEnd w:id="264"/>
    <w:bookmarkStart w:id="266"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65">
        <w:r>
          <w:rPr>
            <w:rStyle w:val="Hyperlink"/>
          </w:rPr>
          <w:t xml:space="preserve">https://doi.org/10.1177/1461444809102960</w:t>
        </w:r>
      </w:hyperlink>
      <w:r>
        <w:t xml:space="preserve">.</w:t>
      </w:r>
    </w:p>
    <w:bookmarkEnd w:id="266"/>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hyperlink" Id="rId96" Target="http://arxiv.org/abs/1810.04805" TargetMode="External" /><Relationship Type="http://schemas.openxmlformats.org/officeDocument/2006/relationships/hyperlink" Id="rId225" Target="http://www.R-project.org/" TargetMode="External" /><Relationship Type="http://schemas.openxmlformats.org/officeDocument/2006/relationships/hyperlink" Id="rId67" Target="http://www.aaai.org/ocs/index.php/ICWSM/09/paper/view/154" TargetMode="External" /><Relationship Type="http://schemas.openxmlformats.org/officeDocument/2006/relationships/hyperlink" Id="rId254" Target="http://www.jstor.org/stable/174100" TargetMode="External" /><Relationship Type="http://schemas.openxmlformats.org/officeDocument/2006/relationships/hyperlink" Id="rId136" Target="http://www.jstor.org/stable/1912791" TargetMode="External" /><Relationship Type="http://schemas.openxmlformats.org/officeDocument/2006/relationships/hyperlink" Id="rId54" Target="http://www.jstor.org/stable/2082974" TargetMode="External" /><Relationship Type="http://schemas.openxmlformats.org/officeDocument/2006/relationships/hyperlink" Id="rId138" Target="http://www.jstor.org/stable/2111251" TargetMode="External" /><Relationship Type="http://schemas.openxmlformats.org/officeDocument/2006/relationships/hyperlink" Id="rId73" Target="http://www.jstor.org/stable/24363491" TargetMode="External" /><Relationship Type="http://schemas.openxmlformats.org/officeDocument/2006/relationships/hyperlink" Id="rId193" Target="http://www.jstor.org/stable/25698520" TargetMode="External" /><Relationship Type="http://schemas.openxmlformats.org/officeDocument/2006/relationships/hyperlink" Id="rId105" Target="http://www.jstor.org/stable/40270840" TargetMode="External" /><Relationship Type="http://schemas.openxmlformats.org/officeDocument/2006/relationships/hyperlink" Id="rId261" Target="https://CRAN.R-project.org/doc/Rnews/" TargetMode="External" /><Relationship Type="http://schemas.openxmlformats.org/officeDocument/2006/relationships/hyperlink" Id="rId65" Target="https://cran.r-project.org/web/packages/Rfacebook/Rfacebook.pdf" TargetMode="External" /><Relationship Type="http://schemas.openxmlformats.org/officeDocument/2006/relationships/hyperlink" Id="rId236" Target="https://cran.r-project.org/web/packages/tsDyn/vignettes/ThCointOverview.pdf" TargetMode="External" /><Relationship Type="http://schemas.openxmlformats.org/officeDocument/2006/relationships/hyperlink" Id="rId155" Target="https://doi.org/10.1007/978-1-4419-9863-7_1213" TargetMode="External" /><Relationship Type="http://schemas.openxmlformats.org/officeDocument/2006/relationships/hyperlink" Id="rId209" Target="https://doi.org/10.1007/978-3-030-36687-2_77" TargetMode="External" /><Relationship Type="http://schemas.openxmlformats.org/officeDocument/2006/relationships/hyperlink" Id="rId256" Target="https://doi.org/10.1007/BF00154752" TargetMode="External" /><Relationship Type="http://schemas.openxmlformats.org/officeDocument/2006/relationships/hyperlink" Id="rId164" Target="https://doi.org/10.1007/s11109-016-9343-y" TargetMode="External" /><Relationship Type="http://schemas.openxmlformats.org/officeDocument/2006/relationships/hyperlink" Id="rId58" Target="https://doi.org/10.1007/s11109-019-09531-2" TargetMode="External" /><Relationship Type="http://schemas.openxmlformats.org/officeDocument/2006/relationships/hyperlink" Id="rId80" Target="https://doi.org/10.1017/aae.2019.9" TargetMode="External" /><Relationship Type="http://schemas.openxmlformats.org/officeDocument/2006/relationships/hyperlink" Id="rId128" Target="https://doi.org/10.1017/pan.2019.2" TargetMode="External" /><Relationship Type="http://schemas.openxmlformats.org/officeDocument/2006/relationships/hyperlink" Id="rId199" Target="https://doi.org/10.1073/pnas.0503018102" TargetMode="External" /><Relationship Type="http://schemas.openxmlformats.org/officeDocument/2006/relationships/hyperlink" Id="rId130" Target="https://doi.org/10.1073/pnas.1922175117" TargetMode="External" /><Relationship Type="http://schemas.openxmlformats.org/officeDocument/2006/relationships/hyperlink" Id="rId234" Target="https://doi.org/10.1080/01972243.2019.1582570" TargetMode="External" /><Relationship Type="http://schemas.openxmlformats.org/officeDocument/2006/relationships/hyperlink" Id="rId56" Target="https://doi.org/10.1080/03623319.2020.1727224" TargetMode="External" /><Relationship Type="http://schemas.openxmlformats.org/officeDocument/2006/relationships/hyperlink" Id="rId82" Target="https://doi.org/10.1080/07343469.2018.1518965" TargetMode="External" /><Relationship Type="http://schemas.openxmlformats.org/officeDocument/2006/relationships/hyperlink" Id="rId166" Target="https://doi.org/10.1080/09644016.2020.1788897" TargetMode="External" /><Relationship Type="http://schemas.openxmlformats.org/officeDocument/2006/relationships/hyperlink" Id="rId186" Target="https://doi.org/10.1080/10584609.2017.1364814" TargetMode="External" /><Relationship Type="http://schemas.openxmlformats.org/officeDocument/2006/relationships/hyperlink" Id="rId201" Target="https://doi.org/10.1080/10584609.2019.1661889" TargetMode="External" /><Relationship Type="http://schemas.openxmlformats.org/officeDocument/2006/relationships/hyperlink" Id="rId197" Target="https://doi.org/10.1080/10627261003614419" TargetMode="External" /><Relationship Type="http://schemas.openxmlformats.org/officeDocument/2006/relationships/hyperlink" Id="rId151" Target="https://doi.org/10.1080/1461670X.2020.1776144" TargetMode="External" /><Relationship Type="http://schemas.openxmlformats.org/officeDocument/2006/relationships/hyperlink" Id="rId87" Target="https://doi.org/10.1080/15377857.2011.540224" TargetMode="External" /><Relationship Type="http://schemas.openxmlformats.org/officeDocument/2006/relationships/hyperlink" Id="rId250" Target="https://doi.org/10.1080/15377857.2018.1457590" TargetMode="External" /><Relationship Type="http://schemas.openxmlformats.org/officeDocument/2006/relationships/hyperlink" Id="rId184" Target="https://doi.org/10.1080/17457289.2019.1652620" TargetMode="External" /><Relationship Type="http://schemas.openxmlformats.org/officeDocument/2006/relationships/hyperlink" Id="rId50" Target="https://doi.org/10.1080/19331681003791891" TargetMode="External" /><Relationship Type="http://schemas.openxmlformats.org/officeDocument/2006/relationships/hyperlink" Id="rId217" Target="https://doi.org/10.1086/686615" TargetMode="External" /><Relationship Type="http://schemas.openxmlformats.org/officeDocument/2006/relationships/hyperlink" Id="rId77" Target="https://doi.org/10.1086/700722" TargetMode="External" /><Relationship Type="http://schemas.openxmlformats.org/officeDocument/2006/relationships/hyperlink" Id="rId182" Target="https://doi.org/10.1089/elj.2018.0498" TargetMode="External" /><Relationship Type="http://schemas.openxmlformats.org/officeDocument/2006/relationships/hyperlink" Id="rId240" Target="https://doi.org/10.1093/ijpor/edr037" TargetMode="External" /><Relationship Type="http://schemas.openxmlformats.org/officeDocument/2006/relationships/hyperlink" Id="rId124" Target="https://doi.org/10.1093/pa/gsl004" TargetMode="External" /><Relationship Type="http://schemas.openxmlformats.org/officeDocument/2006/relationships/hyperlink" Id="rId191" Target="https://doi.org/10.1093/pan/mpw017" TargetMode="External" /><Relationship Type="http://schemas.openxmlformats.org/officeDocument/2006/relationships/hyperlink" Id="rId47" Target="https://doi.org/10.1093/rfs/hhv035" TargetMode="External" /><Relationship Type="http://schemas.openxmlformats.org/officeDocument/2006/relationships/hyperlink" Id="rId100" Target="https://doi.org/10.1108/S0742-332220160000034007" TargetMode="External" /><Relationship Type="http://schemas.openxmlformats.org/officeDocument/2006/relationships/hyperlink" Id="rId248" Target="https://doi.org/10.1109/ICMLA.2019.00129" TargetMode="External" /><Relationship Type="http://schemas.openxmlformats.org/officeDocument/2006/relationships/hyperlink" Id="rId215" Target="https://doi.org/10.1109/MFI.2017.8170390" TargetMode="External" /><Relationship Type="http://schemas.openxmlformats.org/officeDocument/2006/relationships/hyperlink" Id="rId126" Target="https://doi.org/10.1111/j.1083-6101.2012.01574.x" TargetMode="External" /><Relationship Type="http://schemas.openxmlformats.org/officeDocument/2006/relationships/hyperlink" Id="rId195" Target="https://doi.org/10.1111/jcom.12077" TargetMode="External" /><Relationship Type="http://schemas.openxmlformats.org/officeDocument/2006/relationships/hyperlink" Id="rId69" Target="https://doi.org/10.1111/jcom.12145" TargetMode="External" /><Relationship Type="http://schemas.openxmlformats.org/officeDocument/2006/relationships/hyperlink" Id="rId174" Target="https://doi.org/10.1111/pops.12478" TargetMode="External" /><Relationship Type="http://schemas.openxmlformats.org/officeDocument/2006/relationships/hyperlink" Id="rId252" Target="https://doi.org/10.1142/S1013251120500058" TargetMode="External" /><Relationship Type="http://schemas.openxmlformats.org/officeDocument/2006/relationships/hyperlink" Id="rId145" Target="https://doi.org/10.1145/2508436.2508438" TargetMode="External" /><Relationship Type="http://schemas.openxmlformats.org/officeDocument/2006/relationships/hyperlink" Id="rId263" Target="https://doi.org/10.1177/0081175019860244" TargetMode="External" /><Relationship Type="http://schemas.openxmlformats.org/officeDocument/2006/relationships/hyperlink" Id="rId170" Target="https://doi.org/10.1177/1065912917738575" TargetMode="External" /><Relationship Type="http://schemas.openxmlformats.org/officeDocument/2006/relationships/hyperlink" Id="rId227" Target="https://doi.org/10.1177/1065912917749323" TargetMode="External" /><Relationship Type="http://schemas.openxmlformats.org/officeDocument/2006/relationships/hyperlink" Id="rId103" Target="https://doi.org/10.1177/106591299805100312" TargetMode="External" /><Relationship Type="http://schemas.openxmlformats.org/officeDocument/2006/relationships/hyperlink" Id="rId265" Target="https://doi.org/10.1177/1461444809102960" TargetMode="External" /><Relationship Type="http://schemas.openxmlformats.org/officeDocument/2006/relationships/hyperlink" Id="rId117" Target="https://doi.org/10.1177/1461444816676646" TargetMode="External" /><Relationship Type="http://schemas.openxmlformats.org/officeDocument/2006/relationships/hyperlink" Id="rId140" Target="https://doi.org/10.1177/1476127016651001" TargetMode="External" /><Relationship Type="http://schemas.openxmlformats.org/officeDocument/2006/relationships/hyperlink" Id="rId89" Target="https://doi.org/10.1177/153244000600600204" TargetMode="External" /><Relationship Type="http://schemas.openxmlformats.org/officeDocument/2006/relationships/hyperlink" Id="rId213" Target="https://doi.org/10.1177/1532440016679373" TargetMode="External" /><Relationship Type="http://schemas.openxmlformats.org/officeDocument/2006/relationships/hyperlink" Id="rId94" Target="https://doi.org/10.1177/1532673X18763918" TargetMode="External" /><Relationship Type="http://schemas.openxmlformats.org/officeDocument/2006/relationships/hyperlink" Id="rId110" Target="https://doi.org/10.1177/1532673X18786723" TargetMode="External" /><Relationship Type="http://schemas.openxmlformats.org/officeDocument/2006/relationships/hyperlink" Id="rId119" Target="https://doi.org/10.1257/app.5.3.170" TargetMode="External" /><Relationship Type="http://schemas.openxmlformats.org/officeDocument/2006/relationships/hyperlink" Id="rId211" Target="https://doi.org/10.1257/jep.28.2.51" TargetMode="External" /><Relationship Type="http://schemas.openxmlformats.org/officeDocument/2006/relationships/hyperlink" Id="rId98" Target="https://doi.org/10.1300/J017v17n02\_03" TargetMode="External" /><Relationship Type="http://schemas.openxmlformats.org/officeDocument/2006/relationships/hyperlink" Id="rId149" Target="https://doi.org/10.1300/J185v04n02\_05" TargetMode="External" /><Relationship Type="http://schemas.openxmlformats.org/officeDocument/2006/relationships/hyperlink" Id="rId84" Target="https://doi.org/10.14763/2017.4.773" TargetMode="External" /><Relationship Type="http://schemas.openxmlformats.org/officeDocument/2006/relationships/hyperlink" Id="rId75" Target="https://doi.org/10.1515/bap-2016-0004" TargetMode="External" /><Relationship Type="http://schemas.openxmlformats.org/officeDocument/2006/relationships/hyperlink" Id="rId244" Target="https://doi.org/10.18653/v1/D19-5022" TargetMode="External" /><Relationship Type="http://schemas.openxmlformats.org/officeDocument/2006/relationships/hyperlink" Id="rId180" Target="https://doi.org/10.21105/joss.01829" TargetMode="External" /><Relationship Type="http://schemas.openxmlformats.org/officeDocument/2006/relationships/hyperlink" Id="rId114" Target="https://doi.org/10.2139/ssrn.2652361" TargetMode="External" /><Relationship Type="http://schemas.openxmlformats.org/officeDocument/2006/relationships/hyperlink" Id="rId203" Target="https://doi.org/10.2202/1469-3569.1306" TargetMode="External" /><Relationship Type="http://schemas.openxmlformats.org/officeDocument/2006/relationships/hyperlink" Id="rId259" Target="https://doi.org/10.2307/1956656" TargetMode="External" /><Relationship Type="http://schemas.openxmlformats.org/officeDocument/2006/relationships/hyperlink" Id="rId142" Target="https://doi.org/10.2307/1962767" TargetMode="External" /><Relationship Type="http://schemas.openxmlformats.org/officeDocument/2006/relationships/hyperlink" Id="rId188" Target="https://doi.org/10.5210/fm.v14i11.2645" TargetMode="External" /><Relationship Type="http://schemas.openxmlformats.org/officeDocument/2006/relationships/hyperlink" Id="rId45" Target="https://doi.org/https://doi.org/10.1002/jae.2443" TargetMode="External" /><Relationship Type="http://schemas.openxmlformats.org/officeDocument/2006/relationships/hyperlink" Id="rId207" Target="https://doi.org/https://doi.org/10.1002/nvsm.373" TargetMode="External" /><Relationship Type="http://schemas.openxmlformats.org/officeDocument/2006/relationships/hyperlink" Id="rId246" Target="https://doi.org/https://doi.org/10.1007/978-3-319-96133-0_18" TargetMode="External" /><Relationship Type="http://schemas.openxmlformats.org/officeDocument/2006/relationships/hyperlink" Id="rId159" Target="https://doi.org/https://doi.org/10.1007/s12115-020-00528-w" TargetMode="External" /><Relationship Type="http://schemas.openxmlformats.org/officeDocument/2006/relationships/hyperlink" Id="rId157" Target="https://doi.org/https://doi.org/10.1016/S0099-1333(02)00399-3" TargetMode="External" /><Relationship Type="http://schemas.openxmlformats.org/officeDocument/2006/relationships/hyperlink" Id="rId219" Target="https://doi.org/https://doi.org/10.1016/j.cub.2015.02.042" TargetMode="External" /><Relationship Type="http://schemas.openxmlformats.org/officeDocument/2006/relationships/hyperlink" Id="rId134" Target="https://doi.org/https://doi.org/10.1016/j.jcorpfin.2021.101888" TargetMode="External" /><Relationship Type="http://schemas.openxmlformats.org/officeDocument/2006/relationships/hyperlink" Id="rId242" Target="https://doi.org/https://doi.org/10.1016/j.pubrev.2012.01.010" TargetMode="External" /><Relationship Type="http://schemas.openxmlformats.org/officeDocument/2006/relationships/hyperlink" Id="rId161" Target="https://doi.org/https://doi.org/10.1016/j.ssresearch.2016.06.001" TargetMode="External" /><Relationship Type="http://schemas.openxmlformats.org/officeDocument/2006/relationships/hyperlink" Id="rId153" Target="https://doi.org/https://doi.org/10.1016/j.ssresearch.2016.09.026" TargetMode="External" /><Relationship Type="http://schemas.openxmlformats.org/officeDocument/2006/relationships/hyperlink" Id="rId176" Target="https://doi.org/https://doi.org/10.1111/ajps.12180" TargetMode="External" /><Relationship Type="http://schemas.openxmlformats.org/officeDocument/2006/relationships/hyperlink" Id="rId63" Target="https://doi.org/https://doi.org/10.1111/ajps.12275" TargetMode="External" /><Relationship Type="http://schemas.openxmlformats.org/officeDocument/2006/relationships/hyperlink" Id="rId112" Target="https://doi.org/https://doi.org/10.1111/ajps.12316" TargetMode="External" /><Relationship Type="http://schemas.openxmlformats.org/officeDocument/2006/relationships/hyperlink" Id="rId71" Target="https://doi.org/https://doi.org/10.1111/ajps.12423" TargetMode="External" /><Relationship Type="http://schemas.openxmlformats.org/officeDocument/2006/relationships/hyperlink" Id="rId232" Target="https://doi.org/https://doi.org/10.1111/ajps.12534" TargetMode="External" /><Relationship Type="http://schemas.openxmlformats.org/officeDocument/2006/relationships/hyperlink" Id="rId108" Target="https://doi.org/https://doi.org/10.1111/fire.12181" TargetMode="External" /><Relationship Type="http://schemas.openxmlformats.org/officeDocument/2006/relationships/hyperlink" Id="rId229" Target="https://doi.org/https://doi.org/10.1111/j.0038-4941.2005.00290.x" TargetMode="External" /><Relationship Type="http://schemas.openxmlformats.org/officeDocument/2006/relationships/hyperlink" Id="rId91" Target="https://doi.org/https://doi.org/10.1111/j.1540-6261.2009.01548.x" TargetMode="External" /><Relationship Type="http://schemas.openxmlformats.org/officeDocument/2006/relationships/hyperlink" Id="rId147" Target="https://doi.org/https://doi.org/10.1111/lsq.12108" TargetMode="External" /><Relationship Type="http://schemas.openxmlformats.org/officeDocument/2006/relationships/hyperlink" Id="rId61" Target="https://doi.org/https://doi.org/10.1111/psq.12609" TargetMode="External" /><Relationship Type="http://schemas.openxmlformats.org/officeDocument/2006/relationships/hyperlink" Id="rId121" Target="https://doi.org/https://doi.org/10.1111/psq.12645" TargetMode="External" /><Relationship Type="http://schemas.openxmlformats.org/officeDocument/2006/relationships/hyperlink" Id="rId221" Target="https://doi.org/https://doi.org/10.1177/1532673X11429845" TargetMode="External" /><Relationship Type="http://schemas.openxmlformats.org/officeDocument/2006/relationships/hyperlink" Id="rId178" Target="https://doi.org/https://doi.org/10.2202/1944-2866.1098" TargetMode="External" /><Relationship Type="http://schemas.openxmlformats.org/officeDocument/2006/relationships/hyperlink" Id="rId172" Target="https://ojs.aaai.org/index.php/ICWSM/article/view/7302" TargetMode="External" /><Relationship Type="http://schemas.openxmlformats.org/officeDocument/2006/relationships/hyperlink" Id="rId223"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96" Target="http://arxiv.org/abs/1810.04805" TargetMode="External" /><Relationship Type="http://schemas.openxmlformats.org/officeDocument/2006/relationships/hyperlink" Id="rId225" Target="http://www.R-project.org/" TargetMode="External" /><Relationship Type="http://schemas.openxmlformats.org/officeDocument/2006/relationships/hyperlink" Id="rId67" Target="http://www.aaai.org/ocs/index.php/ICWSM/09/paper/view/154" TargetMode="External" /><Relationship Type="http://schemas.openxmlformats.org/officeDocument/2006/relationships/hyperlink" Id="rId254" Target="http://www.jstor.org/stable/174100" TargetMode="External" /><Relationship Type="http://schemas.openxmlformats.org/officeDocument/2006/relationships/hyperlink" Id="rId136" Target="http://www.jstor.org/stable/1912791" TargetMode="External" /><Relationship Type="http://schemas.openxmlformats.org/officeDocument/2006/relationships/hyperlink" Id="rId54" Target="http://www.jstor.org/stable/2082974" TargetMode="External" /><Relationship Type="http://schemas.openxmlformats.org/officeDocument/2006/relationships/hyperlink" Id="rId138" Target="http://www.jstor.org/stable/2111251" TargetMode="External" /><Relationship Type="http://schemas.openxmlformats.org/officeDocument/2006/relationships/hyperlink" Id="rId73" Target="http://www.jstor.org/stable/24363491" TargetMode="External" /><Relationship Type="http://schemas.openxmlformats.org/officeDocument/2006/relationships/hyperlink" Id="rId193" Target="http://www.jstor.org/stable/25698520" TargetMode="External" /><Relationship Type="http://schemas.openxmlformats.org/officeDocument/2006/relationships/hyperlink" Id="rId105" Target="http://www.jstor.org/stable/40270840" TargetMode="External" /><Relationship Type="http://schemas.openxmlformats.org/officeDocument/2006/relationships/hyperlink" Id="rId261" Target="https://CRAN.R-project.org/doc/Rnews/" TargetMode="External" /><Relationship Type="http://schemas.openxmlformats.org/officeDocument/2006/relationships/hyperlink" Id="rId65" Target="https://cran.r-project.org/web/packages/Rfacebook/Rfacebook.pdf" TargetMode="External" /><Relationship Type="http://schemas.openxmlformats.org/officeDocument/2006/relationships/hyperlink" Id="rId236" Target="https://cran.r-project.org/web/packages/tsDyn/vignettes/ThCointOverview.pdf" TargetMode="External" /><Relationship Type="http://schemas.openxmlformats.org/officeDocument/2006/relationships/hyperlink" Id="rId155" Target="https://doi.org/10.1007/978-1-4419-9863-7_1213" TargetMode="External" /><Relationship Type="http://schemas.openxmlformats.org/officeDocument/2006/relationships/hyperlink" Id="rId209" Target="https://doi.org/10.1007/978-3-030-36687-2_77" TargetMode="External" /><Relationship Type="http://schemas.openxmlformats.org/officeDocument/2006/relationships/hyperlink" Id="rId256" Target="https://doi.org/10.1007/BF00154752" TargetMode="External" /><Relationship Type="http://schemas.openxmlformats.org/officeDocument/2006/relationships/hyperlink" Id="rId164" Target="https://doi.org/10.1007/s11109-016-9343-y" TargetMode="External" /><Relationship Type="http://schemas.openxmlformats.org/officeDocument/2006/relationships/hyperlink" Id="rId58" Target="https://doi.org/10.1007/s11109-019-09531-2" TargetMode="External" /><Relationship Type="http://schemas.openxmlformats.org/officeDocument/2006/relationships/hyperlink" Id="rId80" Target="https://doi.org/10.1017/aae.2019.9" TargetMode="External" /><Relationship Type="http://schemas.openxmlformats.org/officeDocument/2006/relationships/hyperlink" Id="rId128" Target="https://doi.org/10.1017/pan.2019.2" TargetMode="External" /><Relationship Type="http://schemas.openxmlformats.org/officeDocument/2006/relationships/hyperlink" Id="rId199" Target="https://doi.org/10.1073/pnas.0503018102" TargetMode="External" /><Relationship Type="http://schemas.openxmlformats.org/officeDocument/2006/relationships/hyperlink" Id="rId130" Target="https://doi.org/10.1073/pnas.1922175117" TargetMode="External" /><Relationship Type="http://schemas.openxmlformats.org/officeDocument/2006/relationships/hyperlink" Id="rId234" Target="https://doi.org/10.1080/01972243.2019.1582570" TargetMode="External" /><Relationship Type="http://schemas.openxmlformats.org/officeDocument/2006/relationships/hyperlink" Id="rId56" Target="https://doi.org/10.1080/03623319.2020.1727224" TargetMode="External" /><Relationship Type="http://schemas.openxmlformats.org/officeDocument/2006/relationships/hyperlink" Id="rId82" Target="https://doi.org/10.1080/07343469.2018.1518965" TargetMode="External" /><Relationship Type="http://schemas.openxmlformats.org/officeDocument/2006/relationships/hyperlink" Id="rId166" Target="https://doi.org/10.1080/09644016.2020.1788897" TargetMode="External" /><Relationship Type="http://schemas.openxmlformats.org/officeDocument/2006/relationships/hyperlink" Id="rId186" Target="https://doi.org/10.1080/10584609.2017.1364814" TargetMode="External" /><Relationship Type="http://schemas.openxmlformats.org/officeDocument/2006/relationships/hyperlink" Id="rId201" Target="https://doi.org/10.1080/10584609.2019.1661889" TargetMode="External" /><Relationship Type="http://schemas.openxmlformats.org/officeDocument/2006/relationships/hyperlink" Id="rId197" Target="https://doi.org/10.1080/10627261003614419" TargetMode="External" /><Relationship Type="http://schemas.openxmlformats.org/officeDocument/2006/relationships/hyperlink" Id="rId151" Target="https://doi.org/10.1080/1461670X.2020.1776144" TargetMode="External" /><Relationship Type="http://schemas.openxmlformats.org/officeDocument/2006/relationships/hyperlink" Id="rId87" Target="https://doi.org/10.1080/15377857.2011.540224" TargetMode="External" /><Relationship Type="http://schemas.openxmlformats.org/officeDocument/2006/relationships/hyperlink" Id="rId250" Target="https://doi.org/10.1080/15377857.2018.1457590" TargetMode="External" /><Relationship Type="http://schemas.openxmlformats.org/officeDocument/2006/relationships/hyperlink" Id="rId184" Target="https://doi.org/10.1080/17457289.2019.1652620" TargetMode="External" /><Relationship Type="http://schemas.openxmlformats.org/officeDocument/2006/relationships/hyperlink" Id="rId50" Target="https://doi.org/10.1080/19331681003791891" TargetMode="External" /><Relationship Type="http://schemas.openxmlformats.org/officeDocument/2006/relationships/hyperlink" Id="rId217" Target="https://doi.org/10.1086/686615" TargetMode="External" /><Relationship Type="http://schemas.openxmlformats.org/officeDocument/2006/relationships/hyperlink" Id="rId77" Target="https://doi.org/10.1086/700722" TargetMode="External" /><Relationship Type="http://schemas.openxmlformats.org/officeDocument/2006/relationships/hyperlink" Id="rId182" Target="https://doi.org/10.1089/elj.2018.0498" TargetMode="External" /><Relationship Type="http://schemas.openxmlformats.org/officeDocument/2006/relationships/hyperlink" Id="rId240" Target="https://doi.org/10.1093/ijpor/edr037" TargetMode="External" /><Relationship Type="http://schemas.openxmlformats.org/officeDocument/2006/relationships/hyperlink" Id="rId124" Target="https://doi.org/10.1093/pa/gsl004" TargetMode="External" /><Relationship Type="http://schemas.openxmlformats.org/officeDocument/2006/relationships/hyperlink" Id="rId191" Target="https://doi.org/10.1093/pan/mpw017" TargetMode="External" /><Relationship Type="http://schemas.openxmlformats.org/officeDocument/2006/relationships/hyperlink" Id="rId47" Target="https://doi.org/10.1093/rfs/hhv035" TargetMode="External" /><Relationship Type="http://schemas.openxmlformats.org/officeDocument/2006/relationships/hyperlink" Id="rId100" Target="https://doi.org/10.1108/S0742-332220160000034007" TargetMode="External" /><Relationship Type="http://schemas.openxmlformats.org/officeDocument/2006/relationships/hyperlink" Id="rId248" Target="https://doi.org/10.1109/ICMLA.2019.00129" TargetMode="External" /><Relationship Type="http://schemas.openxmlformats.org/officeDocument/2006/relationships/hyperlink" Id="rId215" Target="https://doi.org/10.1109/MFI.2017.8170390" TargetMode="External" /><Relationship Type="http://schemas.openxmlformats.org/officeDocument/2006/relationships/hyperlink" Id="rId126" Target="https://doi.org/10.1111/j.1083-6101.2012.01574.x" TargetMode="External" /><Relationship Type="http://schemas.openxmlformats.org/officeDocument/2006/relationships/hyperlink" Id="rId195" Target="https://doi.org/10.1111/jcom.12077" TargetMode="External" /><Relationship Type="http://schemas.openxmlformats.org/officeDocument/2006/relationships/hyperlink" Id="rId69" Target="https://doi.org/10.1111/jcom.12145" TargetMode="External" /><Relationship Type="http://schemas.openxmlformats.org/officeDocument/2006/relationships/hyperlink" Id="rId174" Target="https://doi.org/10.1111/pops.12478" TargetMode="External" /><Relationship Type="http://schemas.openxmlformats.org/officeDocument/2006/relationships/hyperlink" Id="rId252" Target="https://doi.org/10.1142/S1013251120500058" TargetMode="External" /><Relationship Type="http://schemas.openxmlformats.org/officeDocument/2006/relationships/hyperlink" Id="rId145" Target="https://doi.org/10.1145/2508436.2508438" TargetMode="External" /><Relationship Type="http://schemas.openxmlformats.org/officeDocument/2006/relationships/hyperlink" Id="rId263" Target="https://doi.org/10.1177/0081175019860244" TargetMode="External" /><Relationship Type="http://schemas.openxmlformats.org/officeDocument/2006/relationships/hyperlink" Id="rId170" Target="https://doi.org/10.1177/1065912917738575" TargetMode="External" /><Relationship Type="http://schemas.openxmlformats.org/officeDocument/2006/relationships/hyperlink" Id="rId227" Target="https://doi.org/10.1177/1065912917749323" TargetMode="External" /><Relationship Type="http://schemas.openxmlformats.org/officeDocument/2006/relationships/hyperlink" Id="rId103" Target="https://doi.org/10.1177/106591299805100312" TargetMode="External" /><Relationship Type="http://schemas.openxmlformats.org/officeDocument/2006/relationships/hyperlink" Id="rId265" Target="https://doi.org/10.1177/1461444809102960" TargetMode="External" /><Relationship Type="http://schemas.openxmlformats.org/officeDocument/2006/relationships/hyperlink" Id="rId117" Target="https://doi.org/10.1177/1461444816676646" TargetMode="External" /><Relationship Type="http://schemas.openxmlformats.org/officeDocument/2006/relationships/hyperlink" Id="rId140" Target="https://doi.org/10.1177/1476127016651001" TargetMode="External" /><Relationship Type="http://schemas.openxmlformats.org/officeDocument/2006/relationships/hyperlink" Id="rId89" Target="https://doi.org/10.1177/153244000600600204" TargetMode="External" /><Relationship Type="http://schemas.openxmlformats.org/officeDocument/2006/relationships/hyperlink" Id="rId213" Target="https://doi.org/10.1177/1532440016679373" TargetMode="External" /><Relationship Type="http://schemas.openxmlformats.org/officeDocument/2006/relationships/hyperlink" Id="rId94" Target="https://doi.org/10.1177/1532673X18763918" TargetMode="External" /><Relationship Type="http://schemas.openxmlformats.org/officeDocument/2006/relationships/hyperlink" Id="rId110" Target="https://doi.org/10.1177/1532673X18786723" TargetMode="External" /><Relationship Type="http://schemas.openxmlformats.org/officeDocument/2006/relationships/hyperlink" Id="rId119" Target="https://doi.org/10.1257/app.5.3.170" TargetMode="External" /><Relationship Type="http://schemas.openxmlformats.org/officeDocument/2006/relationships/hyperlink" Id="rId211" Target="https://doi.org/10.1257/jep.28.2.51" TargetMode="External" /><Relationship Type="http://schemas.openxmlformats.org/officeDocument/2006/relationships/hyperlink" Id="rId98" Target="https://doi.org/10.1300/J017v17n02\_03" TargetMode="External" /><Relationship Type="http://schemas.openxmlformats.org/officeDocument/2006/relationships/hyperlink" Id="rId149" Target="https://doi.org/10.1300/J185v04n02\_05" TargetMode="External" /><Relationship Type="http://schemas.openxmlformats.org/officeDocument/2006/relationships/hyperlink" Id="rId84" Target="https://doi.org/10.14763/2017.4.773" TargetMode="External" /><Relationship Type="http://schemas.openxmlformats.org/officeDocument/2006/relationships/hyperlink" Id="rId75" Target="https://doi.org/10.1515/bap-2016-0004" TargetMode="External" /><Relationship Type="http://schemas.openxmlformats.org/officeDocument/2006/relationships/hyperlink" Id="rId244" Target="https://doi.org/10.18653/v1/D19-5022" TargetMode="External" /><Relationship Type="http://schemas.openxmlformats.org/officeDocument/2006/relationships/hyperlink" Id="rId180" Target="https://doi.org/10.21105/joss.01829" TargetMode="External" /><Relationship Type="http://schemas.openxmlformats.org/officeDocument/2006/relationships/hyperlink" Id="rId114" Target="https://doi.org/10.2139/ssrn.2652361" TargetMode="External" /><Relationship Type="http://schemas.openxmlformats.org/officeDocument/2006/relationships/hyperlink" Id="rId203" Target="https://doi.org/10.2202/1469-3569.1306" TargetMode="External" /><Relationship Type="http://schemas.openxmlformats.org/officeDocument/2006/relationships/hyperlink" Id="rId259" Target="https://doi.org/10.2307/1956656" TargetMode="External" /><Relationship Type="http://schemas.openxmlformats.org/officeDocument/2006/relationships/hyperlink" Id="rId142" Target="https://doi.org/10.2307/1962767" TargetMode="External" /><Relationship Type="http://schemas.openxmlformats.org/officeDocument/2006/relationships/hyperlink" Id="rId188" Target="https://doi.org/10.5210/fm.v14i11.2645" TargetMode="External" /><Relationship Type="http://schemas.openxmlformats.org/officeDocument/2006/relationships/hyperlink" Id="rId45" Target="https://doi.org/https://doi.org/10.1002/jae.2443" TargetMode="External" /><Relationship Type="http://schemas.openxmlformats.org/officeDocument/2006/relationships/hyperlink" Id="rId207" Target="https://doi.org/https://doi.org/10.1002/nvsm.373" TargetMode="External" /><Relationship Type="http://schemas.openxmlformats.org/officeDocument/2006/relationships/hyperlink" Id="rId246" Target="https://doi.org/https://doi.org/10.1007/978-3-319-96133-0_18" TargetMode="External" /><Relationship Type="http://schemas.openxmlformats.org/officeDocument/2006/relationships/hyperlink" Id="rId159" Target="https://doi.org/https://doi.org/10.1007/s12115-020-00528-w" TargetMode="External" /><Relationship Type="http://schemas.openxmlformats.org/officeDocument/2006/relationships/hyperlink" Id="rId157" Target="https://doi.org/https://doi.org/10.1016/S0099-1333(02)00399-3" TargetMode="External" /><Relationship Type="http://schemas.openxmlformats.org/officeDocument/2006/relationships/hyperlink" Id="rId219" Target="https://doi.org/https://doi.org/10.1016/j.cub.2015.02.042" TargetMode="External" /><Relationship Type="http://schemas.openxmlformats.org/officeDocument/2006/relationships/hyperlink" Id="rId134" Target="https://doi.org/https://doi.org/10.1016/j.jcorpfin.2021.101888" TargetMode="External" /><Relationship Type="http://schemas.openxmlformats.org/officeDocument/2006/relationships/hyperlink" Id="rId242" Target="https://doi.org/https://doi.org/10.1016/j.pubrev.2012.01.010" TargetMode="External" /><Relationship Type="http://schemas.openxmlformats.org/officeDocument/2006/relationships/hyperlink" Id="rId161" Target="https://doi.org/https://doi.org/10.1016/j.ssresearch.2016.06.001" TargetMode="External" /><Relationship Type="http://schemas.openxmlformats.org/officeDocument/2006/relationships/hyperlink" Id="rId153" Target="https://doi.org/https://doi.org/10.1016/j.ssresearch.2016.09.026" TargetMode="External" /><Relationship Type="http://schemas.openxmlformats.org/officeDocument/2006/relationships/hyperlink" Id="rId176" Target="https://doi.org/https://doi.org/10.1111/ajps.12180" TargetMode="External" /><Relationship Type="http://schemas.openxmlformats.org/officeDocument/2006/relationships/hyperlink" Id="rId63" Target="https://doi.org/https://doi.org/10.1111/ajps.12275" TargetMode="External" /><Relationship Type="http://schemas.openxmlformats.org/officeDocument/2006/relationships/hyperlink" Id="rId112" Target="https://doi.org/https://doi.org/10.1111/ajps.12316" TargetMode="External" /><Relationship Type="http://schemas.openxmlformats.org/officeDocument/2006/relationships/hyperlink" Id="rId71" Target="https://doi.org/https://doi.org/10.1111/ajps.12423" TargetMode="External" /><Relationship Type="http://schemas.openxmlformats.org/officeDocument/2006/relationships/hyperlink" Id="rId232" Target="https://doi.org/https://doi.org/10.1111/ajps.12534" TargetMode="External" /><Relationship Type="http://schemas.openxmlformats.org/officeDocument/2006/relationships/hyperlink" Id="rId108" Target="https://doi.org/https://doi.org/10.1111/fire.12181" TargetMode="External" /><Relationship Type="http://schemas.openxmlformats.org/officeDocument/2006/relationships/hyperlink" Id="rId229" Target="https://doi.org/https://doi.org/10.1111/j.0038-4941.2005.00290.x" TargetMode="External" /><Relationship Type="http://schemas.openxmlformats.org/officeDocument/2006/relationships/hyperlink" Id="rId91" Target="https://doi.org/https://doi.org/10.1111/j.1540-6261.2009.01548.x" TargetMode="External" /><Relationship Type="http://schemas.openxmlformats.org/officeDocument/2006/relationships/hyperlink" Id="rId147" Target="https://doi.org/https://doi.org/10.1111/lsq.12108" TargetMode="External" /><Relationship Type="http://schemas.openxmlformats.org/officeDocument/2006/relationships/hyperlink" Id="rId61" Target="https://doi.org/https://doi.org/10.1111/psq.12609" TargetMode="External" /><Relationship Type="http://schemas.openxmlformats.org/officeDocument/2006/relationships/hyperlink" Id="rId121" Target="https://doi.org/https://doi.org/10.1111/psq.12645" TargetMode="External" /><Relationship Type="http://schemas.openxmlformats.org/officeDocument/2006/relationships/hyperlink" Id="rId221" Target="https://doi.org/https://doi.org/10.1177/1532673X11429845" TargetMode="External" /><Relationship Type="http://schemas.openxmlformats.org/officeDocument/2006/relationships/hyperlink" Id="rId178" Target="https://doi.org/https://doi.org/10.2202/1944-2866.1098" TargetMode="External" /><Relationship Type="http://schemas.openxmlformats.org/officeDocument/2006/relationships/hyperlink" Id="rId172" Target="https://ojs.aaai.org/index.php/ICWSM/article/view/7302" TargetMode="External" /><Relationship Type="http://schemas.openxmlformats.org/officeDocument/2006/relationships/hyperlink" Id="rId223"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Series-Analysis</dc:title>
  <dc:creator>Ross Dahlke</dc:creator>
  <cp:keywords/>
  <dcterms:created xsi:type="dcterms:W3CDTF">2021-02-18T02:15:12Z</dcterms:created>
  <dcterms:modified xsi:type="dcterms:W3CDTF">2021-02-18T02:15:12Z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always_allow_html">
    <vt:lpwstr>yes</vt:lpwstr>
  </property>
  <property fmtid="{D5CDD505-2E9C-101B-9397-08002B2CF9AE}" pid="5" name="biblio-style">
    <vt:lpwstr>apsr</vt:lpwstr>
  </property>
  <property fmtid="{D5CDD505-2E9C-101B-9397-08002B2CF9AE}" pid="6" name="bibliography">
    <vt:lpwstr>bibliography.bib</vt:lpwstr>
  </property>
  <property fmtid="{D5CDD505-2E9C-101B-9397-08002B2CF9AE}" pid="7" name="date">
    <vt:lpwstr>February 17, 2021</vt:lpwstr>
  </property>
  <property fmtid="{D5CDD505-2E9C-101B-9397-08002B2CF9AE}" pid="8" name="fontfamily">
    <vt:lpwstr>mathpazo</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output">
    <vt:lpwstr/>
  </property>
  <property fmtid="{D5CDD505-2E9C-101B-9397-08002B2CF9AE}" pid="13" name="spacing">
    <vt:lpwstr>double</vt:lpwstr>
  </property>
  <property fmtid="{D5CDD505-2E9C-101B-9397-08002B2CF9AE}" pid="14" name="thanks">
    <vt:lpwstr/>
  </property>
</Properties>
</file>