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0045F" w14:textId="77777777" w:rsidR="004A5708" w:rsidRDefault="00081333">
      <w:pPr>
        <w:pStyle w:val="Title"/>
      </w:pPr>
      <w:r>
        <w:t>Political Donor Motivations and Social Media: A Time Series Analysis</w:t>
      </w:r>
    </w:p>
    <w:p w14:paraId="1F84913F" w14:textId="77777777" w:rsidR="004A5708" w:rsidRDefault="00081333">
      <w:pPr>
        <w:pStyle w:val="Author"/>
      </w:pPr>
      <w:r>
        <w:t>Ross Dahlke</w:t>
      </w:r>
    </w:p>
    <w:p w14:paraId="3BC4E478" w14:textId="77777777" w:rsidR="004A5708" w:rsidRDefault="00081333">
      <w:pPr>
        <w:pStyle w:val="Date"/>
      </w:pPr>
      <w:r>
        <w:t>January 25, 2021</w:t>
      </w:r>
    </w:p>
    <w:p w14:paraId="0B7DAD7C" w14:textId="77777777" w:rsidR="004A5708" w:rsidRDefault="00081333">
      <w:pPr>
        <w:pStyle w:val="Abstract"/>
      </w:pPr>
      <w:r>
        <w:t xml:space="preserve">The two predominant theories of political donor motivations are the access-oriented model and the consumption model. This paper combines political </w:t>
      </w:r>
      <w:r>
        <w:t>donation records and social media posts from politicians to test whether either behavior is observed. In the access-oriented model, individual political donors and political action committees (PACs) are assumed to contribute to campaigns in an effort to ac</w:t>
      </w:r>
      <w:r>
        <w:t xml:space="preserve">quire access and influence politicians into supporting specific policy issues. In this study, the access-oriented model of donors predicts that donations from specific groups of donors will precede public support of certain policies. The consumption model </w:t>
      </w:r>
      <w:r>
        <w:t>of donors views political contributions as being an extension of voting along a participatory spectrum, and that donors support candidates who they already know support policy issues that the donors care about or are ideologically motivated. In this resear</w:t>
      </w:r>
      <w:r>
        <w:t>ch, the consumption model predicts that donations from various groups of donors will lag in response to public support of certain policy issues. Historically, these two models have treated political donors as all having the same motivations. More recent st</w:t>
      </w:r>
      <w:r>
        <w:t>udies in campaign finance have found that both motivational models can exist in different groups of donors. However, these studies categorize groups of donors in broad strokes, generally as either small-dollar donors and large-dollar donors as well as PACs</w:t>
      </w:r>
      <w:r>
        <w:t>. This paper statistically derives coalitions of similar donors and tests the competing models of political donor motivations on these more granular groups of donors who support similar candidates.</w:t>
      </w:r>
    </w:p>
    <w:tbl>
      <w:tblPr>
        <w:tblStyle w:val="Table"/>
        <w:tblW w:w="0" w:type="pct"/>
        <w:tblLook w:val="07E0" w:firstRow="1" w:lastRow="1" w:firstColumn="1" w:lastColumn="1" w:noHBand="1" w:noVBand="1"/>
      </w:tblPr>
      <w:tblGrid>
        <w:gridCol w:w="1855"/>
        <w:gridCol w:w="1419"/>
        <w:gridCol w:w="1559"/>
      </w:tblGrid>
      <w:tr w:rsidR="004A5708" w14:paraId="44679931" w14:textId="77777777">
        <w:tc>
          <w:tcPr>
            <w:tcW w:w="0" w:type="auto"/>
            <w:tcBorders>
              <w:bottom w:val="single" w:sz="0" w:space="0" w:color="auto"/>
            </w:tcBorders>
            <w:vAlign w:val="bottom"/>
          </w:tcPr>
          <w:p w14:paraId="6F751203" w14:textId="77777777" w:rsidR="004A5708" w:rsidRDefault="00081333">
            <w:pPr>
              <w:pStyle w:val="Compact"/>
            </w:pPr>
            <w:r>
              <w:t>Method</w:t>
            </w:r>
          </w:p>
        </w:tc>
        <w:tc>
          <w:tcPr>
            <w:tcW w:w="0" w:type="auto"/>
            <w:tcBorders>
              <w:bottom w:val="single" w:sz="0" w:space="0" w:color="auto"/>
            </w:tcBorders>
            <w:vAlign w:val="bottom"/>
          </w:tcPr>
          <w:p w14:paraId="7940DE1E" w14:textId="77777777" w:rsidR="004A5708" w:rsidRDefault="00081333">
            <w:pPr>
              <w:pStyle w:val="Compact"/>
            </w:pPr>
            <w:r>
              <w:t>koRpus</w:t>
            </w:r>
          </w:p>
        </w:tc>
        <w:tc>
          <w:tcPr>
            <w:tcW w:w="0" w:type="auto"/>
            <w:tcBorders>
              <w:bottom w:val="single" w:sz="0" w:space="0" w:color="auto"/>
            </w:tcBorders>
            <w:vAlign w:val="bottom"/>
          </w:tcPr>
          <w:p w14:paraId="48962DCB" w14:textId="77777777" w:rsidR="004A5708" w:rsidRDefault="00081333">
            <w:pPr>
              <w:pStyle w:val="Compact"/>
            </w:pPr>
            <w:r>
              <w:t>stringi</w:t>
            </w:r>
          </w:p>
        </w:tc>
      </w:tr>
      <w:tr w:rsidR="004A5708" w14:paraId="7A3E8E96" w14:textId="77777777">
        <w:tc>
          <w:tcPr>
            <w:tcW w:w="0" w:type="auto"/>
          </w:tcPr>
          <w:p w14:paraId="556CBB79" w14:textId="77777777" w:rsidR="004A5708" w:rsidRDefault="00081333">
            <w:pPr>
              <w:pStyle w:val="Compact"/>
            </w:pPr>
            <w:r>
              <w:t>Word count</w:t>
            </w:r>
          </w:p>
        </w:tc>
        <w:tc>
          <w:tcPr>
            <w:tcW w:w="0" w:type="auto"/>
          </w:tcPr>
          <w:p w14:paraId="47610685" w14:textId="77777777" w:rsidR="004A5708" w:rsidRDefault="00081333">
            <w:pPr>
              <w:pStyle w:val="Compact"/>
            </w:pPr>
            <w:r>
              <w:t>1784</w:t>
            </w:r>
          </w:p>
        </w:tc>
        <w:tc>
          <w:tcPr>
            <w:tcW w:w="0" w:type="auto"/>
          </w:tcPr>
          <w:p w14:paraId="7043F5EE" w14:textId="77777777" w:rsidR="004A5708" w:rsidRDefault="00081333">
            <w:pPr>
              <w:pStyle w:val="Compact"/>
            </w:pPr>
            <w:r>
              <w:t>1764</w:t>
            </w:r>
          </w:p>
        </w:tc>
      </w:tr>
      <w:tr w:rsidR="004A5708" w14:paraId="449C2969" w14:textId="77777777">
        <w:tc>
          <w:tcPr>
            <w:tcW w:w="0" w:type="auto"/>
          </w:tcPr>
          <w:p w14:paraId="4CF11CAF" w14:textId="77777777" w:rsidR="004A5708" w:rsidRDefault="00081333">
            <w:pPr>
              <w:pStyle w:val="Compact"/>
            </w:pPr>
            <w:r>
              <w:t>Character cou</w:t>
            </w:r>
            <w:r>
              <w:t>nt</w:t>
            </w:r>
          </w:p>
        </w:tc>
        <w:tc>
          <w:tcPr>
            <w:tcW w:w="0" w:type="auto"/>
          </w:tcPr>
          <w:p w14:paraId="58E639B8" w14:textId="77777777" w:rsidR="004A5708" w:rsidRDefault="00081333">
            <w:pPr>
              <w:pStyle w:val="Compact"/>
            </w:pPr>
            <w:r>
              <w:t>11989</w:t>
            </w:r>
          </w:p>
        </w:tc>
        <w:tc>
          <w:tcPr>
            <w:tcW w:w="0" w:type="auto"/>
          </w:tcPr>
          <w:p w14:paraId="13412103" w14:textId="77777777" w:rsidR="004A5708" w:rsidRDefault="00081333">
            <w:pPr>
              <w:pStyle w:val="Compact"/>
            </w:pPr>
            <w:r>
              <w:t>11988</w:t>
            </w:r>
          </w:p>
        </w:tc>
      </w:tr>
      <w:tr w:rsidR="004A5708" w14:paraId="4DBE4E02" w14:textId="77777777">
        <w:tc>
          <w:tcPr>
            <w:tcW w:w="0" w:type="auto"/>
          </w:tcPr>
          <w:p w14:paraId="35ED7943" w14:textId="77777777" w:rsidR="004A5708" w:rsidRDefault="00081333">
            <w:pPr>
              <w:pStyle w:val="Compact"/>
            </w:pPr>
            <w:r>
              <w:t>Sentence count</w:t>
            </w:r>
          </w:p>
        </w:tc>
        <w:tc>
          <w:tcPr>
            <w:tcW w:w="0" w:type="auto"/>
          </w:tcPr>
          <w:p w14:paraId="7251CA31" w14:textId="77777777" w:rsidR="004A5708" w:rsidRDefault="00081333">
            <w:pPr>
              <w:pStyle w:val="Compact"/>
            </w:pPr>
            <w:r>
              <w:t>76</w:t>
            </w:r>
          </w:p>
        </w:tc>
        <w:tc>
          <w:tcPr>
            <w:tcW w:w="0" w:type="auto"/>
          </w:tcPr>
          <w:p w14:paraId="46C6A53F" w14:textId="77777777" w:rsidR="004A5708" w:rsidRDefault="00081333">
            <w:pPr>
              <w:pStyle w:val="Compact"/>
            </w:pPr>
            <w:r>
              <w:t>Not available</w:t>
            </w:r>
          </w:p>
        </w:tc>
      </w:tr>
      <w:tr w:rsidR="004A5708" w14:paraId="38382D96" w14:textId="77777777">
        <w:tc>
          <w:tcPr>
            <w:tcW w:w="0" w:type="auto"/>
          </w:tcPr>
          <w:p w14:paraId="18C380B0" w14:textId="77777777" w:rsidR="004A5708" w:rsidRDefault="00081333">
            <w:pPr>
              <w:pStyle w:val="Compact"/>
            </w:pPr>
            <w:r>
              <w:t>Reading time</w:t>
            </w:r>
          </w:p>
        </w:tc>
        <w:tc>
          <w:tcPr>
            <w:tcW w:w="0" w:type="auto"/>
          </w:tcPr>
          <w:p w14:paraId="1F2CB13D" w14:textId="77777777" w:rsidR="004A5708" w:rsidRDefault="00081333">
            <w:pPr>
              <w:pStyle w:val="Compact"/>
            </w:pPr>
            <w:r>
              <w:t>8.9 minutes</w:t>
            </w:r>
          </w:p>
        </w:tc>
        <w:tc>
          <w:tcPr>
            <w:tcW w:w="0" w:type="auto"/>
          </w:tcPr>
          <w:p w14:paraId="109827B6" w14:textId="77777777" w:rsidR="004A5708" w:rsidRDefault="00081333">
            <w:pPr>
              <w:pStyle w:val="Compact"/>
            </w:pPr>
            <w:r>
              <w:t>8.8 minutes</w:t>
            </w:r>
          </w:p>
        </w:tc>
      </w:tr>
    </w:tbl>
    <w:p w14:paraId="5E399D5F" w14:textId="77777777" w:rsidR="004A5708" w:rsidRDefault="00081333" w:rsidP="00372B34">
      <w:pPr>
        <w:pStyle w:val="Heading1"/>
        <w:spacing w:line="480" w:lineRule="auto"/>
      </w:pPr>
      <w:bookmarkStart w:id="0" w:name="introduction"/>
      <w:r>
        <w:t>Introduction</w:t>
      </w:r>
      <w:bookmarkEnd w:id="0"/>
    </w:p>
    <w:p w14:paraId="63572318" w14:textId="77777777" w:rsidR="004A5708" w:rsidRDefault="00081333" w:rsidP="00372B34">
      <w:pPr>
        <w:pStyle w:val="FirstParagraph"/>
        <w:spacing w:line="480" w:lineRule="auto"/>
      </w:pPr>
      <w:r>
        <w:t>[Need some sort of bridge into specific models]</w:t>
      </w:r>
    </w:p>
    <w:p w14:paraId="52ACAF44" w14:textId="77777777" w:rsidR="00372B34" w:rsidRDefault="00372B34" w:rsidP="00372B34">
      <w:pPr>
        <w:pStyle w:val="Heading1"/>
        <w:spacing w:line="480" w:lineRule="auto"/>
      </w:pPr>
      <w:bookmarkStart w:id="1" w:name="access-oriented-model"/>
    </w:p>
    <w:p w14:paraId="20EA4AE7" w14:textId="53D2A264" w:rsidR="004A5708" w:rsidRDefault="00081333" w:rsidP="00372B34">
      <w:pPr>
        <w:pStyle w:val="Heading1"/>
        <w:shd w:val="clear" w:color="auto" w:fill="DAEEF3" w:themeFill="accent5" w:themeFillTint="33"/>
        <w:spacing w:line="480" w:lineRule="auto"/>
      </w:pPr>
      <w:r>
        <w:t>Access-Oriented Model</w:t>
      </w:r>
      <w:bookmarkEnd w:id="1"/>
    </w:p>
    <w:p w14:paraId="57484B12" w14:textId="77777777" w:rsidR="004A5708" w:rsidRDefault="00081333" w:rsidP="00372B34">
      <w:pPr>
        <w:pStyle w:val="FirstParagraph"/>
        <w:shd w:val="clear" w:color="auto" w:fill="DAEEF3" w:themeFill="accent5" w:themeFillTint="33"/>
        <w:spacing w:line="480" w:lineRule="auto"/>
      </w:pPr>
      <w:r>
        <w:t>Access-oriented political donors are those that attempt to use their contributions to gain access to politicians. Most often, access-oriented motivations are thought to be the reason behind contributions from Political Action Committees (PACs) and donors w</w:t>
      </w:r>
      <w:r>
        <w:t>ith business interest. The theory goes that this access can then influence legislative behavior (Francia et al. 2003). Milbrath (1958) centers legislative influence as a communicative process where those seeking to influence legislators must be able to “co</w:t>
      </w:r>
      <w:r>
        <w:t>mmunicate their power, as well as the facts and arguments supporting their position, when they confer with a legislator.” Congress is operating in a “vacuum filled with noise.” And political contributions can gain direct access that allows to to cut throug</w:t>
      </w:r>
      <w:r>
        <w:t>h all the noise of competing information that the legislator might be encountering (Milbrath 1958). In interviews, business groups themselves said that they seek “access” to either a member of congress or a member of their staff when they make a contributi</w:t>
      </w:r>
      <w:r>
        <w:t>on. But these groups stated that their contribution only gains the access to make an argument and it is the merit of the argument that determines support for their cause or not (Herndon 1982). Empirical studies of financial documents backup this claim that</w:t>
      </w:r>
      <w:r>
        <w:t xml:space="preserve"> donors seek access in order to influence policy (Fouirnaies and Hall 2015). Past research has suggested that political contributors are successful in their goals to gain access as measured by the amount of time that organized interest groups spend with me</w:t>
      </w:r>
      <w:r>
        <w:t xml:space="preserve">mbers of congress (Langbein 1986). This increased access has been not only in PACs but also for increased access for individual donors. A randomized </w:t>
      </w:r>
      <w:r>
        <w:lastRenderedPageBreak/>
        <w:t>experiment found that when it is revealed to congressional offices that prospective meeting attendees contr</w:t>
      </w:r>
      <w:r>
        <w:t>ibuted to the member’s campaign that senior members of the office took meetings between three to four times more often than when information about contributions were withheld (Kalla and Broockman 2016).</w:t>
      </w:r>
    </w:p>
    <w:p w14:paraId="0B74D280" w14:textId="77777777" w:rsidR="004A5708" w:rsidRDefault="00081333" w:rsidP="00372B34">
      <w:pPr>
        <w:pStyle w:val="BodyText"/>
        <w:shd w:val="clear" w:color="auto" w:fill="DAEEF3" w:themeFill="accent5" w:themeFillTint="33"/>
        <w:spacing w:line="480" w:lineRule="auto"/>
      </w:pPr>
      <w:r>
        <w:t>However, measuring the direct access that political f</w:t>
      </w:r>
      <w:r>
        <w:t>inanciers gain from political contributions is difficult to measure. Instead, researchers have treated the “access” component of contributor influence as an implicit assumption and instead look for evidence of “influence” of political contributors on polit</w:t>
      </w:r>
      <w:r>
        <w:t>icians. Many political science papers do not use the explicit term “access-oriented donor” and instead refer to their work as examining the potential “influence” of political donors on politicians. This line of influence research implies a gain of access b</w:t>
      </w:r>
      <w:r>
        <w:t>y political contributors. As Langbein (1986) states, “[Access] is a precondition for having influence over public policy. Contributions themselves have little meaning for a congressman, because they do not carry any ‘message.’ Only access, or some other fo</w:t>
      </w:r>
      <w:r>
        <w:t>rm of direct or indirect communication, can translate money into influence.”</w:t>
      </w:r>
    </w:p>
    <w:p w14:paraId="1BBC2DA0" w14:textId="77777777" w:rsidR="004A5708" w:rsidRDefault="00081333" w:rsidP="00372B34">
      <w:pPr>
        <w:pStyle w:val="BodyText"/>
        <w:shd w:val="clear" w:color="auto" w:fill="DAEEF3" w:themeFill="accent5" w:themeFillTint="33"/>
        <w:spacing w:line="480" w:lineRule="auto"/>
      </w:pPr>
      <w:r>
        <w:t xml:space="preserve">Even though research has suggested there is a connection between political contributions and access. It is unclear if that access actually converts to </w:t>
      </w:r>
      <w:r>
        <w:rPr>
          <w:i/>
        </w:rPr>
        <w:t>influence</w:t>
      </w:r>
      <w:r>
        <w:t xml:space="preserve"> in the political p</w:t>
      </w:r>
      <w:r>
        <w:t>rocess. Despite confirmation that PACs attempt to influence the legislative process (Grenzke 1989), past research has found PAC contributions to have a limited effect on roll-call voting (Wright 1985). In rare instances, there is an apparent connection bet</w:t>
      </w:r>
      <w:r>
        <w:t xml:space="preserve">ween PAC contributions and roll-call votes, but it that correlation is most likely due to broader support from larger interest groups (Grenzke 1989). These sparse correlations could be </w:t>
      </w:r>
      <w:r>
        <w:lastRenderedPageBreak/>
        <w:t>manifestation of the finding that legislators are responsive to changes</w:t>
      </w:r>
      <w:r>
        <w:t xml:space="preserve"> to the opinions of the national individual donor class (Canes-Wrone and Gibson 2019). One article went so far as to conclude that “evidence in the article undermines belief in the military-industrial complex model” (Wayman 1985) when studying the effect o</w:t>
      </w:r>
      <w:r>
        <w:t>f defense-related PACs on roll-call voting.</w:t>
      </w:r>
    </w:p>
    <w:p w14:paraId="1D2F24A6" w14:textId="77777777" w:rsidR="004A5708" w:rsidRDefault="00081333" w:rsidP="00372B34">
      <w:pPr>
        <w:pStyle w:val="BodyText"/>
        <w:shd w:val="clear" w:color="auto" w:fill="DAEEF3" w:themeFill="accent5" w:themeFillTint="33"/>
        <w:spacing w:line="480" w:lineRule="auto"/>
      </w:pPr>
      <w:r>
        <w:t>Other studies on the connection between campaign contributions and legislative voting does support that moneyed interests play a significant role in the legislative process, particularly organized business intere</w:t>
      </w:r>
      <w:r>
        <w:t>sts that are within a member’s district (Hall and Wayman 1990), potentially similar to how members of congress prioritize public opinion of their district over national public opinion (Butler and Nickerson 2011). Further, there appears to be a stronger inf</w:t>
      </w:r>
      <w:r>
        <w:t>luence as a result of contributions from individuals with business interests, opposed to PACs, which many other studies focus on (Fellowes and Wolf 2004). A meta-analysis found that model specification played a significant role in whether significant resul</w:t>
      </w:r>
      <w:r>
        <w:t xml:space="preserve">ts were found when looking for a connection between donations and roll-calls votes, concluding that studies that controlled for “friendly giving by including a measure of legislators’ ideology and that include more than one contributions variable are less </w:t>
      </w:r>
      <w:r>
        <w:t>likely to produce significant results” (Roscoe and Jenkins 2005). Despite this variability in model specification, the authors conclude that one-third of roll-call votes are impacted by campaign contributions (Roscoe and Jenkins 2005).</w:t>
      </w:r>
    </w:p>
    <w:p w14:paraId="349DBFC2" w14:textId="77777777" w:rsidR="004A5708" w:rsidRDefault="00081333" w:rsidP="00372B34">
      <w:pPr>
        <w:pStyle w:val="BodyText"/>
        <w:shd w:val="clear" w:color="auto" w:fill="DAEEF3" w:themeFill="accent5" w:themeFillTint="33"/>
        <w:spacing w:line="480" w:lineRule="auto"/>
      </w:pPr>
      <w:r>
        <w:t>Potentially, the inf</w:t>
      </w:r>
      <w:r>
        <w:t>luence exerted by contributors when making a political contribution is so indirect that it doesn’t always materialize in statistical patterns of legislative voting, but there is evidence of the influence as a result of the legislation. For example, one stu</w:t>
      </w:r>
      <w:r>
        <w:t xml:space="preserve">dy found </w:t>
      </w:r>
      <w:r>
        <w:lastRenderedPageBreak/>
        <w:t>that future returns of firms is positively and significantly correlated with contributions in support for candidates, finding the strongest effect among firms that support candidates within the state that the firm is based (Cooper, Gulen, and Ovtc</w:t>
      </w:r>
      <w:r>
        <w:t>hinnikov 2010). In addition to immediately-felt financial returns, donors may systematically contribute money to legislative agenda setters, such as chairs of financial committees, in an effort to set future legislative agendas (Fouirnaies 2018). Even camp</w:t>
      </w:r>
      <w:r>
        <w:t>aign contribution from business executives are “best understood as purchases of ‘good will’ whose returns, while positive in expectation, are contingent and rare” (Gordon, Hafer, and Landa 2007).</w:t>
      </w:r>
    </w:p>
    <w:p w14:paraId="22D24BF2" w14:textId="77777777" w:rsidR="004A5708" w:rsidRDefault="00081333" w:rsidP="00372B34">
      <w:pPr>
        <w:pStyle w:val="BodyText"/>
        <w:shd w:val="clear" w:color="auto" w:fill="DAEEF3" w:themeFill="accent5" w:themeFillTint="33"/>
        <w:spacing w:line="480" w:lineRule="auto"/>
      </w:pPr>
      <w:r>
        <w:t xml:space="preserve">Instead of focusing on direct access or financial outcomes, </w:t>
      </w:r>
      <w:r>
        <w:t>this research article examines politicians’ public support of policy issues. Under the access-oriented/ influence model of political donor motivations, we would expect to find politicians who are more supportive of certain policy issues after receiving cam</w:t>
      </w:r>
      <w:r>
        <w:t xml:space="preserve">paign contributions from access-oriented donors, which leads to </w:t>
      </w:r>
      <m:oMath>
        <m:sSub>
          <m:sSubPr>
            <m:ctrlPr>
              <w:rPr>
                <w:rFonts w:ascii="Cambria Math" w:hAnsi="Cambria Math"/>
              </w:rPr>
            </m:ctrlPr>
          </m:sSubPr>
          <m:e>
            <m:r>
              <w:rPr>
                <w:rFonts w:ascii="Cambria Math" w:hAnsi="Cambria Math"/>
              </w:rPr>
              <m:t>H</m:t>
            </m:r>
          </m:e>
          <m:sub>
            <m:r>
              <w:rPr>
                <w:rFonts w:ascii="Cambria Math" w:hAnsi="Cambria Math"/>
              </w:rPr>
              <m:t>1</m:t>
            </m:r>
          </m:sub>
        </m:sSub>
      </m:oMath>
      <w:r>
        <w:t>.</w:t>
      </w:r>
    </w:p>
    <w:p w14:paraId="78B84DEA" w14:textId="77777777" w:rsidR="004A5708" w:rsidRDefault="00081333" w:rsidP="00372B34">
      <w:pPr>
        <w:pStyle w:val="BodyText"/>
        <w:shd w:val="clear" w:color="auto" w:fill="DAEEF3" w:themeFill="accent5" w:themeFillTint="33"/>
        <w:spacing w:line="480" w:lineRule="auto"/>
      </w:pPr>
      <m:oMath>
        <m:sSub>
          <m:sSubPr>
            <m:ctrlPr>
              <w:rPr>
                <w:rFonts w:ascii="Cambria Math" w:hAnsi="Cambria Math"/>
              </w:rPr>
            </m:ctrlPr>
          </m:sSubPr>
          <m:e>
            <m:r>
              <w:rPr>
                <w:rFonts w:ascii="Cambria Math" w:hAnsi="Cambria Math"/>
              </w:rPr>
              <m:t>H</m:t>
            </m:r>
          </m:e>
          <m:sub>
            <m:r>
              <w:rPr>
                <w:rFonts w:ascii="Cambria Math" w:hAnsi="Cambria Math"/>
              </w:rPr>
              <m:t>1</m:t>
            </m:r>
          </m:sub>
        </m:sSub>
      </m:oMath>
      <w:r>
        <w:rPr>
          <w:b/>
        </w:rPr>
        <w:t>: Donations from various coalitions of political donors will precede, or Granger cause, increased public support on certain political issues from the politicians to whom they donate.</w:t>
      </w:r>
    </w:p>
    <w:p w14:paraId="51920364" w14:textId="77777777" w:rsidR="004A5708" w:rsidRDefault="00081333" w:rsidP="00372B34">
      <w:pPr>
        <w:pStyle w:val="BodyText"/>
        <w:shd w:val="clear" w:color="auto" w:fill="DAEEF3" w:themeFill="accent5" w:themeFillTint="33"/>
        <w:spacing w:line="480" w:lineRule="auto"/>
      </w:pPr>
      <w:r>
        <w:t>S</w:t>
      </w:r>
      <w:r>
        <w:t xml:space="preserve">ince access-oriented donors are thought to be wealthier contributors, sometimes seeking access for financial gain, this paper will also examine the amount contributed by members of donor coalitions that are accepted by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also serves as a measure of </w:t>
      </w:r>
      <w:r>
        <w:t>face validity for the theory of access-oriented motivation and this study’s measurement.</w:t>
      </w:r>
    </w:p>
    <w:p w14:paraId="6998F70E" w14:textId="77777777" w:rsidR="004A5708" w:rsidRDefault="00081333" w:rsidP="00372B34">
      <w:pPr>
        <w:pStyle w:val="BodyText"/>
        <w:shd w:val="clear" w:color="auto" w:fill="DAEEF3" w:themeFill="accent5" w:themeFillTint="33"/>
        <w:spacing w:line="480" w:lineRule="auto"/>
      </w:pPr>
      <m:oMath>
        <m:sSub>
          <m:sSubPr>
            <m:ctrlPr>
              <w:rPr>
                <w:rFonts w:ascii="Cambria Math" w:hAnsi="Cambria Math"/>
              </w:rPr>
            </m:ctrlPr>
          </m:sSubPr>
          <m:e>
            <m:r>
              <w:rPr>
                <w:rFonts w:ascii="Cambria Math" w:hAnsi="Cambria Math"/>
              </w:rPr>
              <m:t>H</m:t>
            </m:r>
          </m:e>
          <m:sub>
            <m:r>
              <w:rPr>
                <w:rFonts w:ascii="Cambria Math" w:hAnsi="Cambria Math"/>
              </w:rPr>
              <m:t>2</m:t>
            </m:r>
          </m:sub>
        </m:sSub>
      </m:oMath>
      <w:r>
        <w:rPr>
          <w:b/>
        </w:rPr>
        <w:t xml:space="preserve">: Donors from access-oriented coalitions will on average be </w:t>
      </w:r>
      <w:r>
        <w:rPr>
          <w:b/>
          <w:i/>
        </w:rPr>
        <w:t>larger</w:t>
      </w:r>
      <w:r>
        <w:rPr>
          <w:b/>
        </w:rPr>
        <w:t xml:space="preserve"> contributors to political campaigns than donors not in access-oriented coalitions.</w:t>
      </w:r>
    </w:p>
    <w:p w14:paraId="2C4ACB39" w14:textId="77777777" w:rsidR="004A5708" w:rsidRDefault="00081333" w:rsidP="00372B34">
      <w:pPr>
        <w:pStyle w:val="Heading1"/>
        <w:spacing w:line="480" w:lineRule="auto"/>
      </w:pPr>
      <w:bookmarkStart w:id="2" w:name="consumption-model"/>
      <w:r>
        <w:lastRenderedPageBreak/>
        <w:t>Consumption Mo</w:t>
      </w:r>
      <w:r>
        <w:t>del</w:t>
      </w:r>
      <w:bookmarkEnd w:id="2"/>
    </w:p>
    <w:p w14:paraId="4C631C34" w14:textId="77777777" w:rsidR="004A5708" w:rsidRDefault="00081333" w:rsidP="00372B34">
      <w:pPr>
        <w:pStyle w:val="FirstParagraph"/>
        <w:spacing w:line="480" w:lineRule="auto"/>
      </w:pPr>
      <m:oMath>
        <m:sSub>
          <m:sSubPr>
            <m:ctrlPr>
              <w:rPr>
                <w:rFonts w:ascii="Cambria Math" w:hAnsi="Cambria Math"/>
              </w:rPr>
            </m:ctrlPr>
          </m:sSubPr>
          <m:e>
            <m:r>
              <w:rPr>
                <w:rFonts w:ascii="Cambria Math" w:hAnsi="Cambria Math"/>
              </w:rPr>
              <m:t>H</m:t>
            </m:r>
          </m:e>
          <m:sub>
            <m:r>
              <w:rPr>
                <w:rFonts w:ascii="Cambria Math" w:hAnsi="Cambria Math"/>
              </w:rPr>
              <m:t>3</m:t>
            </m:r>
          </m:sub>
        </m:sSub>
      </m:oMath>
      <w:r>
        <w:rPr>
          <w:b/>
        </w:rPr>
        <w:t>: Public support from politicians on certain political issues will precede, or Granger cause, donations from various coalitions of political donors.</w:t>
      </w:r>
    </w:p>
    <w:p w14:paraId="113DD035" w14:textId="77777777" w:rsidR="004A5708" w:rsidRDefault="00081333" w:rsidP="00372B34">
      <w:pPr>
        <w:pStyle w:val="BodyText"/>
        <w:spacing w:line="480" w:lineRule="auto"/>
      </w:pPr>
      <w:r>
        <w:t>With the rise of small-dollar donors on the internet and the assumption that these small-dollar dono</w:t>
      </w:r>
      <w:r>
        <w:t xml:space="preserve">rs are motivated by the consumption model of donor motivations, this paper will examine the amount contributed by members of donor coalitions that are accepted by </w:t>
      </w:r>
      <m:oMath>
        <m:sSub>
          <m:sSubPr>
            <m:ctrlPr>
              <w:rPr>
                <w:rFonts w:ascii="Cambria Math" w:hAnsi="Cambria Math"/>
              </w:rPr>
            </m:ctrlPr>
          </m:sSubPr>
          <m:e>
            <m:r>
              <w:rPr>
                <w:rFonts w:ascii="Cambria Math" w:hAnsi="Cambria Math"/>
              </w:rPr>
              <m:t>H</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also serves as a measure of face validity for the theory of access-oriented motivati</w:t>
      </w:r>
      <w:r>
        <w:t>on and this study’s measurement.</w:t>
      </w:r>
    </w:p>
    <w:p w14:paraId="0B694884" w14:textId="77777777" w:rsidR="004A5708" w:rsidRDefault="00081333" w:rsidP="00372B34">
      <w:pPr>
        <w:pStyle w:val="BodyText"/>
        <w:spacing w:line="480" w:lineRule="auto"/>
      </w:pPr>
      <m:oMath>
        <m:sSub>
          <m:sSubPr>
            <m:ctrlPr>
              <w:rPr>
                <w:rFonts w:ascii="Cambria Math" w:hAnsi="Cambria Math"/>
              </w:rPr>
            </m:ctrlPr>
          </m:sSubPr>
          <m:e>
            <m:r>
              <w:rPr>
                <w:rFonts w:ascii="Cambria Math" w:hAnsi="Cambria Math"/>
              </w:rPr>
              <m:t>H</m:t>
            </m:r>
          </m:e>
          <m:sub>
            <m:r>
              <w:rPr>
                <w:rFonts w:ascii="Cambria Math" w:hAnsi="Cambria Math"/>
              </w:rPr>
              <m:t>4</m:t>
            </m:r>
          </m:sub>
        </m:sSub>
      </m:oMath>
      <w:r>
        <w:rPr>
          <w:b/>
        </w:rPr>
        <w:t xml:space="preserve">: Donors from consumption coalitions will on average be </w:t>
      </w:r>
      <w:r>
        <w:rPr>
          <w:b/>
          <w:i/>
        </w:rPr>
        <w:t>smaller</w:t>
      </w:r>
      <w:r>
        <w:rPr>
          <w:b/>
        </w:rPr>
        <w:t xml:space="preserve"> contributors to political campaigns than donors not in consumption coalitions.</w:t>
      </w:r>
    </w:p>
    <w:p w14:paraId="610F9976" w14:textId="77777777" w:rsidR="004A5708" w:rsidRDefault="00081333" w:rsidP="00372B34">
      <w:pPr>
        <w:pStyle w:val="Heading1"/>
        <w:spacing w:line="480" w:lineRule="auto"/>
      </w:pPr>
      <w:bookmarkStart w:id="3" w:name="online-fundraising"/>
      <w:r>
        <w:t>Online Fundraising</w:t>
      </w:r>
      <w:bookmarkEnd w:id="3"/>
    </w:p>
    <w:p w14:paraId="2E7F35D6" w14:textId="77777777" w:rsidR="004A5708" w:rsidRDefault="00081333" w:rsidP="00372B34">
      <w:pPr>
        <w:pStyle w:val="Heading1"/>
        <w:spacing w:line="480" w:lineRule="auto"/>
      </w:pPr>
      <w:bookmarkStart w:id="4" w:name="rise-of-small-dollar-donors"/>
      <w:r>
        <w:t>Rise of Small-Dollar Donors</w:t>
      </w:r>
      <w:bookmarkEnd w:id="4"/>
    </w:p>
    <w:p w14:paraId="614110C8" w14:textId="77777777" w:rsidR="004A5708" w:rsidRDefault="00081333" w:rsidP="00372B34">
      <w:pPr>
        <w:pStyle w:val="Heading1"/>
        <w:spacing w:line="480" w:lineRule="auto"/>
      </w:pPr>
      <w:bookmarkStart w:id="5" w:name="ideological-measurement-using-donor-data"/>
      <w:r>
        <w:t>Ideological Measurement Using Donor Data</w:t>
      </w:r>
      <w:bookmarkEnd w:id="5"/>
    </w:p>
    <w:p w14:paraId="182DB1C9" w14:textId="77777777" w:rsidR="004A5708" w:rsidRDefault="00081333" w:rsidP="00372B34">
      <w:pPr>
        <w:pStyle w:val="Heading1"/>
        <w:spacing w:line="480" w:lineRule="auto"/>
      </w:pPr>
      <w:bookmarkStart w:id="6" w:name="data"/>
      <w:r>
        <w:t>Data</w:t>
      </w:r>
      <w:bookmarkEnd w:id="6"/>
    </w:p>
    <w:p w14:paraId="2C0A196D" w14:textId="77777777" w:rsidR="004A5708" w:rsidRDefault="00081333" w:rsidP="00372B34">
      <w:pPr>
        <w:pStyle w:val="FirstParagraph"/>
        <w:spacing w:line="480" w:lineRule="auto"/>
      </w:pPr>
      <w:r>
        <w:t xml:space="preserve">Data for this research comes from two primary sources: politicians’ social media posts and political donation data. For social media posts, this paper used the Facebook (Barbera, </w:t>
      </w:r>
      <w:r>
        <w:lastRenderedPageBreak/>
        <w:t>Geisler, and Atteveldt 2017) an</w:t>
      </w:r>
      <w:r>
        <w:t>d Twitter (Kearney 2019) APIs to collect social media posts from all candidates for the Wisconsin State Senate and Wisconsin State Assembly during the 2016 election cycle (</w:t>
      </w:r>
      <w:r>
        <w:rPr>
          <w:i/>
        </w:rPr>
        <w:t>n</w:t>
      </w:r>
      <w:r>
        <w:t xml:space="preserve"> = 82,851). A subset of these posts were hand-coded into 27 topical categories. Thi</w:t>
      </w:r>
      <w:r>
        <w:t>s subset was used to train a BERT deep learning transfer model that was used to predict the topic of the remainder of the posts (training dataset = 8,242, 10% of total posts; testing dataset = 4,122, 5% of total posts). Political donation data for all cand</w:t>
      </w:r>
      <w:r>
        <w:t>idates to the Wisconsin State Legislature during the 2016 election cycle were collected from the Wisconsin Campaign Information System (CFIS) (</w:t>
      </w:r>
      <w:r>
        <w:rPr>
          <w:i/>
        </w:rPr>
        <w:t>n</w:t>
      </w:r>
      <w:r>
        <w:t xml:space="preserve"> = 12,962). These donations were used to create a network of political donations with candidates and donors serv</w:t>
      </w:r>
      <w:r>
        <w:t>ing as nodes and donations between them as edges. This network was clustered into distinct communities so that donors in each community are most similar to one another based on which campaigns they contributed to. I theorize that these clusters of donors r</w:t>
      </w:r>
      <w:r>
        <w:t xml:space="preserve">epresent </w:t>
      </w:r>
      <w:r>
        <w:rPr>
          <w:i/>
        </w:rPr>
        <w:t>latent coalitions</w:t>
      </w:r>
      <w:r>
        <w:t xml:space="preserve"> of donors who, whether they operate in an organized fashion or not, are working toward the goal of electing the same candidates. Studying political fundraisers as members of political coalitions has been studied in the past (Adam</w:t>
      </w:r>
      <w:r>
        <w:t>s 2007; Heerwig 2016). This paper’s statistically-driven definition of latent coalitions seeks to add to the coalition literature.</w:t>
      </w:r>
    </w:p>
    <w:p w14:paraId="1A7E4749" w14:textId="77777777" w:rsidR="004A5708" w:rsidRDefault="00081333" w:rsidP="00372B34">
      <w:pPr>
        <w:pStyle w:val="Heading1"/>
        <w:spacing w:line="480" w:lineRule="auto"/>
      </w:pPr>
      <w:bookmarkStart w:id="7" w:name="methodology"/>
      <w:r>
        <w:t>Methodology</w:t>
      </w:r>
      <w:bookmarkEnd w:id="7"/>
    </w:p>
    <w:p w14:paraId="79818971" w14:textId="77777777" w:rsidR="004A5708" w:rsidRDefault="00081333" w:rsidP="00372B34">
      <w:pPr>
        <w:pStyle w:val="FirstParagraph"/>
        <w:spacing w:line="480" w:lineRule="auto"/>
      </w:pPr>
      <w:r>
        <w:t>These two datasets were analyzed against each other using the Granger causality time-series methodology. This met</w:t>
      </w:r>
      <w:r>
        <w:t xml:space="preserve">hodology has been used by other researchers to study social media (Freelon, McIlwain, and Clark 2018; Lukito 2020). Similar to political donations, this </w:t>
      </w:r>
      <w:r>
        <w:lastRenderedPageBreak/>
        <w:t>methodology has been used to study the relationship between social media and non-social media events su</w:t>
      </w:r>
      <w:r>
        <w:t xml:space="preserve">ch as offline protests (Bastos, Mercea, and Charpentier 2015) and stock prices (Park, Leung, and Ma 2017). Granger causality detects whether movements in one time series precedes, lags, has a confounding variable, or is not related to another time series. </w:t>
      </w:r>
      <w:r>
        <w:t>Specifically, this paper compares time series of donations from clusters of political donors and time series of the number of social media posts by each topic that were made by campaigns that each donor cluster contributed to. For example, a time series of</w:t>
      </w:r>
      <w:r>
        <w:t xml:space="preserve"> donations from a donor coalition was compared to the aggregate count of posts about a given topic made by candidates that the donor cluster contributed to.</w:t>
      </w:r>
    </w:p>
    <w:p w14:paraId="7982B0A7" w14:textId="77777777" w:rsidR="004A5708" w:rsidRDefault="00081333" w:rsidP="00372B34">
      <w:pPr>
        <w:pStyle w:val="Heading1"/>
        <w:spacing w:line="480" w:lineRule="auto"/>
      </w:pPr>
      <w:bookmarkStart w:id="8" w:name="preliminary-results"/>
      <w:r>
        <w:t>Preliminary Results</w:t>
      </w:r>
      <w:bookmarkEnd w:id="8"/>
    </w:p>
    <w:p w14:paraId="25BFF992" w14:textId="77777777" w:rsidR="004A5708" w:rsidRDefault="00081333" w:rsidP="00372B34">
      <w:pPr>
        <w:pStyle w:val="FirstParagraph"/>
        <w:spacing w:line="480" w:lineRule="auto"/>
      </w:pPr>
      <w:r>
        <w:t>Initial results suggest that it is more common to observe behavior consistent w</w:t>
      </w:r>
      <w:r>
        <w:t xml:space="preserve">ith the consumption model (31% of coalitions, 4/13) than the access-oriented model. However, the access-oriented model is still observed in 15% of coalitions (2/13). Under a strict interpretation of either model, we would expect to find behavior that fits </w:t>
      </w:r>
      <w:r>
        <w:t>only with that model. These results that find both the models present in the data is in line with some other research in suggesting that there are a “diversity of roles individual contributors play in the campaign finance system” (Heerwig 2016). Specific r</w:t>
      </w:r>
      <w:r>
        <w:t>esults of the Granger causality model are in Figure 1 below.</w:t>
      </w:r>
    </w:p>
    <w:p w14:paraId="50D6161A" w14:textId="77777777" w:rsidR="004A5708" w:rsidRDefault="00081333" w:rsidP="00372B34">
      <w:pPr>
        <w:pStyle w:val="CaptionedFigure"/>
        <w:spacing w:line="480" w:lineRule="auto"/>
      </w:pPr>
      <w:r>
        <w:rPr>
          <w:noProof/>
        </w:rPr>
        <w:lastRenderedPageBreak/>
        <w:drawing>
          <wp:inline distT="0" distB="0" distL="0" distR="0" wp14:anchorId="275E93BC" wp14:editId="725649C4">
            <wp:extent cx="5334000" cy="5334000"/>
            <wp:effectExtent l="0" t="0" r="0" b="0"/>
            <wp:docPr id="1" name="Picture" descr="Donor Motivation Models"/>
            <wp:cNvGraphicFramePr/>
            <a:graphic xmlns:a="http://schemas.openxmlformats.org/drawingml/2006/main">
              <a:graphicData uri="http://schemas.openxmlformats.org/drawingml/2006/picture">
                <pic:pic xmlns:pic="http://schemas.openxmlformats.org/drawingml/2006/picture">
                  <pic:nvPicPr>
                    <pic:cNvPr id="0" name="Picture" descr="../tables_and_figures/aejmc_abstract_1.jp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401AC8E6" w14:textId="77777777" w:rsidR="004A5708" w:rsidRDefault="00081333" w:rsidP="00372B34">
      <w:pPr>
        <w:pStyle w:val="ImageCaption"/>
        <w:spacing w:line="480" w:lineRule="auto"/>
      </w:pPr>
      <w:r>
        <w:t>Donor Motivation Models</w:t>
      </w:r>
    </w:p>
    <w:p w14:paraId="5E99F725" w14:textId="77777777" w:rsidR="004A5708" w:rsidRDefault="00081333" w:rsidP="00372B34">
      <w:pPr>
        <w:pStyle w:val="BodyText"/>
        <w:spacing w:line="480" w:lineRule="auto"/>
      </w:pPr>
      <w:r>
        <w:t>One theoretical next step for this paper is to flesh out the implications of observing behavior that fits under both the consumption and access-oriented model of politic</w:t>
      </w:r>
      <w:r>
        <w:t>al donors. Most often, the literature assumes that political donors have monolithic a monolithic psychological process that motivate them. However, the clear breakdown of different coalitions exhibiting behavior that falls into different models, and distin</w:t>
      </w:r>
      <w:r>
        <w:t xml:space="preserve">ct behavior in relation to unique policy issues, suggests that latent coalitions of political </w:t>
      </w:r>
      <w:r>
        <w:lastRenderedPageBreak/>
        <w:t>donors are strategic actors with unique motivations. One empirical next step is to quantify potential confounders for donor clusters that don’t fit under either m</w:t>
      </w:r>
      <w:r>
        <w:t>odel, such as geographic proximity or competitiveness of the races contributed to.</w:t>
      </w:r>
    </w:p>
    <w:p w14:paraId="53AB2D3E" w14:textId="77777777" w:rsidR="004A5708" w:rsidRDefault="00081333">
      <w:pPr>
        <w:pStyle w:val="Heading1"/>
      </w:pPr>
      <w:bookmarkStart w:id="9" w:name="references"/>
      <w:r>
        <w:t>References</w:t>
      </w:r>
      <w:bookmarkEnd w:id="9"/>
    </w:p>
    <w:p w14:paraId="68F38574" w14:textId="77777777" w:rsidR="004A5708" w:rsidRDefault="00081333">
      <w:pPr>
        <w:pStyle w:val="Bibliography"/>
      </w:pPr>
      <w:bookmarkStart w:id="10" w:name="ref-adams2016"/>
      <w:bookmarkStart w:id="11" w:name="refs"/>
      <w:r>
        <w:t xml:space="preserve">Adams, Brian E. 2007. “Fundraising Coalitions in Open Seat Mayoral Elections.” </w:t>
      </w:r>
      <w:r>
        <w:rPr>
          <w:i/>
        </w:rPr>
        <w:t>Journal of Urban Affairs</w:t>
      </w:r>
      <w:r>
        <w:t xml:space="preserve"> 29 (5): 481–99. </w:t>
      </w:r>
      <w:hyperlink r:id="rId8">
        <w:r>
          <w:rPr>
            <w:rStyle w:val="Hyperlink"/>
          </w:rPr>
          <w:t>https://doi.org/10.1111/j.1467-9906.2007.00361.x</w:t>
        </w:r>
      </w:hyperlink>
      <w:r>
        <w:t>.</w:t>
      </w:r>
    </w:p>
    <w:p w14:paraId="61539C7D" w14:textId="77777777" w:rsidR="004A5708" w:rsidRDefault="00081333">
      <w:pPr>
        <w:pStyle w:val="Bibliography"/>
      </w:pPr>
      <w:bookmarkStart w:id="12" w:name="ref-rfacebook"/>
      <w:bookmarkEnd w:id="10"/>
      <w:r>
        <w:t xml:space="preserve">Barbera, Pablo, Andrew Geisler, and Wouter van Atteveldt. 2017. </w:t>
      </w:r>
      <w:r>
        <w:rPr>
          <w:i/>
        </w:rPr>
        <w:t>Rfacebook</w:t>
      </w:r>
      <w:r>
        <w:t xml:space="preserve">. </w:t>
      </w:r>
      <w:hyperlink r:id="rId9">
        <w:r>
          <w:rPr>
            <w:rStyle w:val="Hyperlink"/>
          </w:rPr>
          <w:t>https://cran.r-project</w:t>
        </w:r>
        <w:r>
          <w:rPr>
            <w:rStyle w:val="Hyperlink"/>
          </w:rPr>
          <w:t>.org/web/packages/Rfacebook/Rfacebook.pdf</w:t>
        </w:r>
      </w:hyperlink>
      <w:r>
        <w:t>.</w:t>
      </w:r>
    </w:p>
    <w:p w14:paraId="5FA75015" w14:textId="77777777" w:rsidR="004A5708" w:rsidRDefault="00081333">
      <w:pPr>
        <w:pStyle w:val="Bibliography"/>
      </w:pPr>
      <w:bookmarkStart w:id="13" w:name="ref-bastos2015"/>
      <w:bookmarkEnd w:id="12"/>
      <w:r>
        <w:t xml:space="preserve">Bastos, Marco T., Dan Mercea, and Arthur Charpentier. 2015. “Tents, Tweets, and Events: The Interplay Between Ongoing Protests and Social Media.” </w:t>
      </w:r>
      <w:r>
        <w:rPr>
          <w:i/>
        </w:rPr>
        <w:t>Journal of Communication</w:t>
      </w:r>
      <w:r>
        <w:t xml:space="preserve"> 65 (2): 320–50. </w:t>
      </w:r>
      <w:hyperlink r:id="rId10">
        <w:r>
          <w:rPr>
            <w:rStyle w:val="Hyperlink"/>
          </w:rPr>
          <w:t>https://doi.org/10.1111/jcom.12145</w:t>
        </w:r>
      </w:hyperlink>
      <w:r>
        <w:t>.</w:t>
      </w:r>
    </w:p>
    <w:p w14:paraId="30B82C51" w14:textId="77777777" w:rsidR="004A5708" w:rsidRDefault="00081333">
      <w:pPr>
        <w:pStyle w:val="Bibliography"/>
      </w:pPr>
      <w:bookmarkStart w:id="14" w:name="ref-butler2011"/>
      <w:bookmarkEnd w:id="13"/>
      <w:r>
        <w:t xml:space="preserve">Butler, Daniel M., and David W. Nickerson. 2011. “Can Learning Constituency Opinion Affect How Legislators Vote? Results from a Field Experiment.” </w:t>
      </w:r>
      <w:r>
        <w:rPr>
          <w:i/>
        </w:rPr>
        <w:t>Quarterly Journal of Political Science</w:t>
      </w:r>
      <w:r>
        <w:t xml:space="preserve"> 6: 55–</w:t>
      </w:r>
      <w:r>
        <w:t>83.</w:t>
      </w:r>
    </w:p>
    <w:p w14:paraId="2488EE7A" w14:textId="77777777" w:rsidR="004A5708" w:rsidRDefault="00081333">
      <w:pPr>
        <w:pStyle w:val="Bibliography"/>
      </w:pPr>
      <w:bookmarkStart w:id="15" w:name="ref-caneswrone2019"/>
      <w:bookmarkEnd w:id="14"/>
      <w:r>
        <w:t xml:space="preserve">Canes-Wrone, Brandice, and Nathan Gibson. 2019. “Does Money Buy Congressional Love? Individual Donors and Legislative Voting.” </w:t>
      </w:r>
      <w:r>
        <w:rPr>
          <w:i/>
        </w:rPr>
        <w:t>Congress &amp; the Presidency</w:t>
      </w:r>
      <w:r>
        <w:t xml:space="preserve"> 46 (1): 1–27. </w:t>
      </w:r>
      <w:hyperlink r:id="rId11">
        <w:r>
          <w:rPr>
            <w:rStyle w:val="Hyperlink"/>
          </w:rPr>
          <w:t>https://doi.org/10.1</w:t>
        </w:r>
        <w:r>
          <w:rPr>
            <w:rStyle w:val="Hyperlink"/>
          </w:rPr>
          <w:t>080/07343469.2018.1518965</w:t>
        </w:r>
      </w:hyperlink>
      <w:r>
        <w:t>.</w:t>
      </w:r>
    </w:p>
    <w:p w14:paraId="34318A00" w14:textId="77777777" w:rsidR="004A5708" w:rsidRDefault="00081333">
      <w:pPr>
        <w:pStyle w:val="Bibliography"/>
      </w:pPr>
      <w:bookmarkStart w:id="16" w:name="ref-cooper2010"/>
      <w:bookmarkEnd w:id="15"/>
      <w:r>
        <w:t xml:space="preserve">Cooper, Michael J., Huseyin Gulen, and Alexei V. Ovtchinnikov. 2010. “Corporate Political Contributions and Stock Returns.” </w:t>
      </w:r>
      <w:r>
        <w:rPr>
          <w:i/>
        </w:rPr>
        <w:t>The Journal of Finance</w:t>
      </w:r>
      <w:r>
        <w:t xml:space="preserve"> 65 (2): 687–724. </w:t>
      </w:r>
      <w:hyperlink r:id="rId12">
        <w:r>
          <w:rPr>
            <w:rStyle w:val="Hyperlink"/>
          </w:rPr>
          <w:t>https://doi.org/https://doi.org/10.1111/j.1540-6261.2009.01548.x</w:t>
        </w:r>
      </w:hyperlink>
      <w:r>
        <w:t>.</w:t>
      </w:r>
    </w:p>
    <w:p w14:paraId="6B87E702" w14:textId="77777777" w:rsidR="004A5708" w:rsidRDefault="00081333">
      <w:pPr>
        <w:pStyle w:val="Bibliography"/>
      </w:pPr>
      <w:bookmarkStart w:id="17" w:name="ref-fellowes2004"/>
      <w:bookmarkEnd w:id="16"/>
      <w:r>
        <w:t xml:space="preserve">Fellowes, Matthew C., and Patrick J. Wolf. 2004. “Funding Mechanisms and Policy Instruments: How Business Campaign Contributions Influence Congressional Votes.” </w:t>
      </w:r>
      <w:r>
        <w:rPr>
          <w:i/>
        </w:rPr>
        <w:t xml:space="preserve">Political </w:t>
      </w:r>
      <w:r>
        <w:rPr>
          <w:i/>
        </w:rPr>
        <w:t>Research Quarterly</w:t>
      </w:r>
      <w:r>
        <w:t xml:space="preserve"> 57 (2): 315–24.</w:t>
      </w:r>
    </w:p>
    <w:p w14:paraId="57B61CBB" w14:textId="77777777" w:rsidR="004A5708" w:rsidRDefault="00081333">
      <w:pPr>
        <w:pStyle w:val="Bibliography"/>
      </w:pPr>
      <w:bookmarkStart w:id="18" w:name="ref-fouirnaies2018"/>
      <w:bookmarkEnd w:id="17"/>
      <w:r>
        <w:t xml:space="preserve">Fouirnaies, Alexander. 2018. “When Are Agenda Setters Valuable?” </w:t>
      </w:r>
      <w:r>
        <w:rPr>
          <w:i/>
        </w:rPr>
        <w:t>American Journal of Political Science</w:t>
      </w:r>
      <w:r>
        <w:t xml:space="preserve"> 62 (1): 176–91. </w:t>
      </w:r>
      <w:hyperlink r:id="rId13">
        <w:r>
          <w:rPr>
            <w:rStyle w:val="Hyperlink"/>
          </w:rPr>
          <w:t>https://doi.org/https://doi.org/</w:t>
        </w:r>
        <w:r>
          <w:rPr>
            <w:rStyle w:val="Hyperlink"/>
          </w:rPr>
          <w:t>10.1111/ajps.12316</w:t>
        </w:r>
      </w:hyperlink>
      <w:r>
        <w:t>.</w:t>
      </w:r>
    </w:p>
    <w:p w14:paraId="00790615" w14:textId="77777777" w:rsidR="004A5708" w:rsidRDefault="00081333">
      <w:pPr>
        <w:pStyle w:val="Bibliography"/>
      </w:pPr>
      <w:bookmarkStart w:id="19" w:name="ref-fouirnaies2015"/>
      <w:bookmarkEnd w:id="18"/>
      <w:r>
        <w:t xml:space="preserve">Fouirnaies, Alexander, and Andrew Hall. 2015. “The Exposure Theory of Access: Why Some Firms Seek More Access to Incumbents Than Others.” </w:t>
      </w:r>
      <w:r>
        <w:rPr>
          <w:i/>
        </w:rPr>
        <w:t>SSRN Electronic Journal</w:t>
      </w:r>
      <w:r>
        <w:t xml:space="preserve">, January. </w:t>
      </w:r>
      <w:hyperlink r:id="rId14">
        <w:r>
          <w:rPr>
            <w:rStyle w:val="Hyperlink"/>
          </w:rPr>
          <w:t>https://doi.org/10.2139/ssrn.2652361</w:t>
        </w:r>
      </w:hyperlink>
      <w:r>
        <w:t>.</w:t>
      </w:r>
    </w:p>
    <w:p w14:paraId="3DEB066E" w14:textId="77777777" w:rsidR="004A5708" w:rsidRDefault="00081333">
      <w:pPr>
        <w:pStyle w:val="Bibliography"/>
      </w:pPr>
      <w:bookmarkStart w:id="20" w:name="ref-francia2003"/>
      <w:bookmarkEnd w:id="19"/>
      <w:r>
        <w:t xml:space="preserve">Francia, Peter L., John C. Green, Paul S. Herrnson, Lynda W. Powell, and and Clyde Wilcox. 2003. </w:t>
      </w:r>
      <w:r>
        <w:rPr>
          <w:i/>
        </w:rPr>
        <w:t>The Financiers of Congressional Elections</w:t>
      </w:r>
      <w:r>
        <w:t>. New York, NY: Columbia U</w:t>
      </w:r>
      <w:r>
        <w:t>niversity Press.</w:t>
      </w:r>
    </w:p>
    <w:p w14:paraId="7C6289A4" w14:textId="77777777" w:rsidR="004A5708" w:rsidRDefault="00081333">
      <w:pPr>
        <w:pStyle w:val="Bibliography"/>
      </w:pPr>
      <w:bookmarkStart w:id="21" w:name="ref-freelon2018"/>
      <w:bookmarkEnd w:id="20"/>
      <w:r>
        <w:t xml:space="preserve">Freelon, D, C McIlwain, and M Clark. 2018. “Quantifying the Power and Consequences of Social Media Protest.” </w:t>
      </w:r>
      <w:r>
        <w:rPr>
          <w:i/>
        </w:rPr>
        <w:t>New Media &amp; Society</w:t>
      </w:r>
      <w:r>
        <w:t xml:space="preserve"> 20 (3): 990–1011. </w:t>
      </w:r>
      <w:hyperlink r:id="rId15">
        <w:r>
          <w:rPr>
            <w:rStyle w:val="Hyperlink"/>
          </w:rPr>
          <w:t>https://doi.org/10.1177/14614448</w:t>
        </w:r>
        <w:r>
          <w:rPr>
            <w:rStyle w:val="Hyperlink"/>
          </w:rPr>
          <w:t>16676646</w:t>
        </w:r>
      </w:hyperlink>
      <w:r>
        <w:t>.</w:t>
      </w:r>
    </w:p>
    <w:p w14:paraId="6B476285" w14:textId="77777777" w:rsidR="004A5708" w:rsidRDefault="00081333">
      <w:pPr>
        <w:pStyle w:val="Bibliography"/>
      </w:pPr>
      <w:bookmarkStart w:id="22" w:name="ref-gordon2007"/>
      <w:bookmarkEnd w:id="21"/>
      <w:r>
        <w:lastRenderedPageBreak/>
        <w:t xml:space="preserve">Gordon, Sanford C., Catherine Hafer, and Dimitri Landa. 2007. “Consumption or Investment? On Motivations for Political Giving.” </w:t>
      </w:r>
      <w:r>
        <w:rPr>
          <w:i/>
        </w:rPr>
        <w:t>The Journal of Politics</w:t>
      </w:r>
      <w:r>
        <w:t xml:space="preserve"> 69 (4): 1057–72.</w:t>
      </w:r>
    </w:p>
    <w:p w14:paraId="2C9B7198" w14:textId="77777777" w:rsidR="004A5708" w:rsidRDefault="00081333">
      <w:pPr>
        <w:pStyle w:val="Bibliography"/>
      </w:pPr>
      <w:bookmarkStart w:id="23" w:name="ref-grenzke1989"/>
      <w:bookmarkEnd w:id="22"/>
      <w:r>
        <w:t>Grenzke, Janet M. 1989. “PACs and the Congressional Supermarket: The Currency</w:t>
      </w:r>
      <w:r>
        <w:t xml:space="preserve"> Is Complex.” </w:t>
      </w:r>
      <w:r>
        <w:rPr>
          <w:i/>
        </w:rPr>
        <w:t>American Journal of Political Science</w:t>
      </w:r>
      <w:r>
        <w:t xml:space="preserve"> 33 (1): 1–24. </w:t>
      </w:r>
      <w:hyperlink r:id="rId16">
        <w:r>
          <w:rPr>
            <w:rStyle w:val="Hyperlink"/>
          </w:rPr>
          <w:t>http://www.jstor.org/stable/2111251</w:t>
        </w:r>
      </w:hyperlink>
      <w:r>
        <w:t>.</w:t>
      </w:r>
    </w:p>
    <w:p w14:paraId="62618FA3" w14:textId="77777777" w:rsidR="004A5708" w:rsidRDefault="00081333">
      <w:pPr>
        <w:pStyle w:val="Bibliography"/>
      </w:pPr>
      <w:bookmarkStart w:id="24" w:name="ref-hall1990"/>
      <w:bookmarkEnd w:id="23"/>
      <w:r>
        <w:t xml:space="preserve">Hall, Richard L., and Frank W. Wayman. 1990. “Buying Time: Moneyed Interests and the Mobilization </w:t>
      </w:r>
      <w:r>
        <w:t xml:space="preserve">of Bias in Congressional Committees.” </w:t>
      </w:r>
      <w:r>
        <w:rPr>
          <w:i/>
        </w:rPr>
        <w:t>American Political Science Review</w:t>
      </w:r>
      <w:r>
        <w:t xml:space="preserve"> 84 (3): 797–820. </w:t>
      </w:r>
      <w:hyperlink r:id="rId17">
        <w:r>
          <w:rPr>
            <w:rStyle w:val="Hyperlink"/>
          </w:rPr>
          <w:t>https://doi.org/10.2307/1962767</w:t>
        </w:r>
      </w:hyperlink>
      <w:r>
        <w:t>.</w:t>
      </w:r>
    </w:p>
    <w:p w14:paraId="53D03BA0" w14:textId="77777777" w:rsidR="004A5708" w:rsidRDefault="00081333">
      <w:pPr>
        <w:pStyle w:val="Bibliography"/>
      </w:pPr>
      <w:bookmarkStart w:id="25" w:name="ref-heerwig2016"/>
      <w:bookmarkEnd w:id="24"/>
      <w:r>
        <w:t>Heerwig, Jennifer A. 2016. “Donations and Dependence: Individual Contributor Strate</w:t>
      </w:r>
      <w:r>
        <w:t xml:space="preserve">gies in House Elections.” </w:t>
      </w:r>
      <w:r>
        <w:rPr>
          <w:i/>
        </w:rPr>
        <w:t>Social Science Research</w:t>
      </w:r>
      <w:r>
        <w:t xml:space="preserve"> 60: 181–98. </w:t>
      </w:r>
      <w:hyperlink r:id="rId18">
        <w:r>
          <w:rPr>
            <w:rStyle w:val="Hyperlink"/>
          </w:rPr>
          <w:t>https://doi.org/https://doi.org/10.1016/j.ssresearch.2016.06.001</w:t>
        </w:r>
      </w:hyperlink>
      <w:r>
        <w:t>.</w:t>
      </w:r>
    </w:p>
    <w:p w14:paraId="768C5A0A" w14:textId="77777777" w:rsidR="004A5708" w:rsidRDefault="00081333">
      <w:pPr>
        <w:pStyle w:val="Bibliography"/>
      </w:pPr>
      <w:bookmarkStart w:id="26" w:name="ref-herndon1982"/>
      <w:bookmarkEnd w:id="25"/>
      <w:r>
        <w:t>Herndon, James F. 1982. “Access, Record, and</w:t>
      </w:r>
      <w:r>
        <w:t xml:space="preserve"> Competition as Influences on Interest Group Contributions to Congressional Campaigns.” </w:t>
      </w:r>
      <w:r>
        <w:rPr>
          <w:i/>
        </w:rPr>
        <w:t>The Journal of Politics</w:t>
      </w:r>
      <w:r>
        <w:t xml:space="preserve"> 44 (4): 996–1019.</w:t>
      </w:r>
    </w:p>
    <w:p w14:paraId="01672793" w14:textId="77777777" w:rsidR="004A5708" w:rsidRDefault="00081333">
      <w:pPr>
        <w:pStyle w:val="Bibliography"/>
      </w:pPr>
      <w:bookmarkStart w:id="27" w:name="ref-kalla2015"/>
      <w:bookmarkEnd w:id="26"/>
      <w:r>
        <w:t xml:space="preserve">Kalla, Joshua L., and David E. Broockman. 2016. “Campaign Contributions Facilitate Access to Congressional Officials: A Randomized Field Experiment.” </w:t>
      </w:r>
      <w:r>
        <w:rPr>
          <w:i/>
        </w:rPr>
        <w:t>American Journal of Political Science</w:t>
      </w:r>
      <w:r>
        <w:t xml:space="preserve"> 60 (3): 545–58. </w:t>
      </w:r>
      <w:hyperlink r:id="rId19">
        <w:r>
          <w:rPr>
            <w:rStyle w:val="Hyperlink"/>
          </w:rPr>
          <w:t>https://doi.org/https://doi.org/10.1111/ajps.12180</w:t>
        </w:r>
      </w:hyperlink>
      <w:r>
        <w:t>.</w:t>
      </w:r>
    </w:p>
    <w:p w14:paraId="6D65E247" w14:textId="77777777" w:rsidR="004A5708" w:rsidRDefault="00081333">
      <w:pPr>
        <w:pStyle w:val="Bibliography"/>
      </w:pPr>
      <w:bookmarkStart w:id="28" w:name="ref-rtweet"/>
      <w:bookmarkEnd w:id="27"/>
      <w:r>
        <w:t xml:space="preserve">Kearney, Michael W. 2019. “Rtweet: Collecting and Analyzing Twitter Data.” </w:t>
      </w:r>
      <w:r>
        <w:rPr>
          <w:i/>
        </w:rPr>
        <w:t>Journal of Open Source Software</w:t>
      </w:r>
      <w:r>
        <w:t xml:space="preserve"> 4 (42): 1829. </w:t>
      </w:r>
      <w:hyperlink r:id="rId20">
        <w:r>
          <w:rPr>
            <w:rStyle w:val="Hyperlink"/>
          </w:rPr>
          <w:t>https://do</w:t>
        </w:r>
        <w:r>
          <w:rPr>
            <w:rStyle w:val="Hyperlink"/>
          </w:rPr>
          <w:t>i.org/10.21105/joss.01829</w:t>
        </w:r>
      </w:hyperlink>
      <w:r>
        <w:t>.</w:t>
      </w:r>
    </w:p>
    <w:p w14:paraId="78A6C09E" w14:textId="77777777" w:rsidR="004A5708" w:rsidRDefault="00081333">
      <w:pPr>
        <w:pStyle w:val="Bibliography"/>
      </w:pPr>
      <w:bookmarkStart w:id="29" w:name="ref-langbein1986"/>
      <w:bookmarkEnd w:id="28"/>
      <w:r>
        <w:t xml:space="preserve">Langbein, Laura I. 1986. “Money and Access: Some Empirical Evidence.” </w:t>
      </w:r>
      <w:r>
        <w:rPr>
          <w:i/>
        </w:rPr>
        <w:t>The Journal of Politics</w:t>
      </w:r>
      <w:r>
        <w:t xml:space="preserve"> 40 (4): 1052–62.</w:t>
      </w:r>
    </w:p>
    <w:p w14:paraId="30385853" w14:textId="77777777" w:rsidR="004A5708" w:rsidRDefault="00081333">
      <w:pPr>
        <w:pStyle w:val="Bibliography"/>
      </w:pPr>
      <w:bookmarkStart w:id="30" w:name="ref-lukito2020"/>
      <w:bookmarkEnd w:id="29"/>
      <w:r>
        <w:t xml:space="preserve">Lukito, Josephine. 2020. “Coordinating a Multi-Platform Disinformation Campaign: Internet Research Agency Activity on </w:t>
      </w:r>
      <w:r>
        <w:t xml:space="preserve">Three U.s. Social Media Platforms, 2015 to 2017.” </w:t>
      </w:r>
      <w:r>
        <w:rPr>
          <w:i/>
        </w:rPr>
        <w:t>Political Communication</w:t>
      </w:r>
      <w:r>
        <w:t xml:space="preserve"> 37 (2): 238–55. </w:t>
      </w:r>
      <w:hyperlink r:id="rId21">
        <w:r>
          <w:rPr>
            <w:rStyle w:val="Hyperlink"/>
          </w:rPr>
          <w:t>https://doi.org/10.1080/10584609.2019.1661889</w:t>
        </w:r>
      </w:hyperlink>
      <w:r>
        <w:t>.</w:t>
      </w:r>
    </w:p>
    <w:p w14:paraId="7CA1236B" w14:textId="77777777" w:rsidR="004A5708" w:rsidRDefault="00081333">
      <w:pPr>
        <w:pStyle w:val="Bibliography"/>
      </w:pPr>
      <w:bookmarkStart w:id="31" w:name="ref-milbrath1958"/>
      <w:bookmarkEnd w:id="30"/>
      <w:r>
        <w:t>Milbrath, Lester W. 1958. “The Political Party Activit</w:t>
      </w:r>
      <w:r>
        <w:t xml:space="preserve">y of Washington Lobbyists.” </w:t>
      </w:r>
      <w:r>
        <w:rPr>
          <w:i/>
        </w:rPr>
        <w:t>The Journal of Politics</w:t>
      </w:r>
      <w:r>
        <w:t xml:space="preserve"> 20 (2): 339–52.</w:t>
      </w:r>
    </w:p>
    <w:p w14:paraId="4CD8B3B6" w14:textId="77777777" w:rsidR="004A5708" w:rsidRDefault="00081333">
      <w:pPr>
        <w:pStyle w:val="Bibliography"/>
      </w:pPr>
      <w:bookmarkStart w:id="32" w:name="ref-park2017"/>
      <w:bookmarkEnd w:id="31"/>
      <w:r>
        <w:t xml:space="preserve">Park, J., H. Leung, and K. Ma. 2017. “Information Fusion of Stock Prices and Sentiment in Social Media Using Granger Causality.” In </w:t>
      </w:r>
      <w:r>
        <w:rPr>
          <w:i/>
        </w:rPr>
        <w:t>2017 Ieee International Conference on Multisensor Fusion</w:t>
      </w:r>
      <w:r>
        <w:rPr>
          <w:i/>
        </w:rPr>
        <w:t xml:space="preserve"> and Integration for Intelligent Systems (Mfi)</w:t>
      </w:r>
      <w:r>
        <w:t xml:space="preserve">, 614–19. </w:t>
      </w:r>
      <w:hyperlink r:id="rId22">
        <w:r>
          <w:rPr>
            <w:rStyle w:val="Hyperlink"/>
          </w:rPr>
          <w:t>https://doi.org/10.1109/MFI.2017.8170390</w:t>
        </w:r>
      </w:hyperlink>
      <w:r>
        <w:t>.</w:t>
      </w:r>
    </w:p>
    <w:p w14:paraId="30732010" w14:textId="77777777" w:rsidR="004A5708" w:rsidRDefault="00081333">
      <w:pPr>
        <w:pStyle w:val="Bibliography"/>
      </w:pPr>
      <w:bookmarkStart w:id="33" w:name="ref-roscoe2005"/>
      <w:bookmarkEnd w:id="32"/>
      <w:r>
        <w:t xml:space="preserve">Roscoe, Douglas D., and Shannon Jenkins. 2005. “A Meta-Analysis of Campaign Contributions’ Impact on Roll Call Voting*.” </w:t>
      </w:r>
      <w:r>
        <w:rPr>
          <w:i/>
        </w:rPr>
        <w:t>Social Science Quarterly</w:t>
      </w:r>
      <w:r>
        <w:t xml:space="preserve"> 86 (1): 52–68. </w:t>
      </w:r>
      <w:hyperlink r:id="rId23">
        <w:r>
          <w:rPr>
            <w:rStyle w:val="Hyperlink"/>
          </w:rPr>
          <w:t>https://doi</w:t>
        </w:r>
        <w:r>
          <w:rPr>
            <w:rStyle w:val="Hyperlink"/>
          </w:rPr>
          <w:t>.org/https://doi.org/10.1111/j.0038-4941.2005.00290.x</w:t>
        </w:r>
      </w:hyperlink>
      <w:r>
        <w:t>.</w:t>
      </w:r>
    </w:p>
    <w:p w14:paraId="4BA1E293" w14:textId="77777777" w:rsidR="004A5708" w:rsidRDefault="00081333">
      <w:pPr>
        <w:pStyle w:val="Bibliography"/>
      </w:pPr>
      <w:bookmarkStart w:id="34" w:name="ref-wayman1985"/>
      <w:bookmarkEnd w:id="33"/>
      <w:r>
        <w:t xml:space="preserve">Wayman, Frank Whelon. 1985. “Arms Control and Strategic Arms Voting in the U.s. Senate: Patterns of Change, 1967-1983.” </w:t>
      </w:r>
      <w:r>
        <w:rPr>
          <w:i/>
        </w:rPr>
        <w:t>The Journal of Conflict Resolution</w:t>
      </w:r>
      <w:r>
        <w:t xml:space="preserve"> 29 (2): 225–51. </w:t>
      </w:r>
      <w:hyperlink r:id="rId24">
        <w:r>
          <w:rPr>
            <w:rStyle w:val="Hyperlink"/>
          </w:rPr>
          <w:t>http://www.jstor.org/stable/174100</w:t>
        </w:r>
      </w:hyperlink>
      <w:r>
        <w:t>.</w:t>
      </w:r>
    </w:p>
    <w:p w14:paraId="1C7DF64C" w14:textId="77777777" w:rsidR="004A5708" w:rsidRDefault="00081333">
      <w:pPr>
        <w:pStyle w:val="Bibliography"/>
      </w:pPr>
      <w:bookmarkStart w:id="35" w:name="ref-wright1985"/>
      <w:bookmarkEnd w:id="34"/>
      <w:r>
        <w:lastRenderedPageBreak/>
        <w:t xml:space="preserve">Wright, John R. 1985. “PACs, Contributions, and Roll Calls: An Organizational Perspective.” </w:t>
      </w:r>
      <w:r>
        <w:rPr>
          <w:i/>
        </w:rPr>
        <w:t>American Political Science Review</w:t>
      </w:r>
      <w:r>
        <w:t xml:space="preserve"> 79 (2): 400–414. </w:t>
      </w:r>
      <w:hyperlink r:id="rId25">
        <w:r>
          <w:rPr>
            <w:rStyle w:val="Hyperlink"/>
          </w:rPr>
          <w:t>ht</w:t>
        </w:r>
        <w:r>
          <w:rPr>
            <w:rStyle w:val="Hyperlink"/>
          </w:rPr>
          <w:t>tps://doi.org/10.2307/1956656</w:t>
        </w:r>
      </w:hyperlink>
      <w:r>
        <w:t>.</w:t>
      </w:r>
      <w:bookmarkEnd w:id="11"/>
      <w:bookmarkEnd w:id="35"/>
    </w:p>
    <w:sectPr w:rsidR="004A57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FD531" w14:textId="77777777" w:rsidR="00081333" w:rsidRDefault="00081333">
      <w:pPr>
        <w:spacing w:after="0"/>
      </w:pPr>
      <w:r>
        <w:separator/>
      </w:r>
    </w:p>
  </w:endnote>
  <w:endnote w:type="continuationSeparator" w:id="0">
    <w:p w14:paraId="38465CB1" w14:textId="77777777" w:rsidR="00081333" w:rsidRDefault="000813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514B1" w14:textId="77777777" w:rsidR="00081333" w:rsidRDefault="00081333">
      <w:r>
        <w:separator/>
      </w:r>
    </w:p>
  </w:footnote>
  <w:footnote w:type="continuationSeparator" w:id="0">
    <w:p w14:paraId="2408DD6E" w14:textId="77777777" w:rsidR="00081333" w:rsidRDefault="00081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084E1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1333"/>
    <w:rsid w:val="00372B34"/>
    <w:rsid w:val="004A5708"/>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269369"/>
  <w15:docId w15:val="{586A62D5-F2DB-784E-A819-BF46C429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7-9906.2007.00361.x" TargetMode="External"/><Relationship Id="rId13" Type="http://schemas.openxmlformats.org/officeDocument/2006/relationships/hyperlink" Target="https://doi.org/https://doi.org/10.1111/ajps.12316" TargetMode="External"/><Relationship Id="rId18" Type="http://schemas.openxmlformats.org/officeDocument/2006/relationships/hyperlink" Target="https://doi.org/https://doi.org/10.1016/j.ssresearch.2016.06.0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80/10584609.2019.1661889" TargetMode="External"/><Relationship Id="rId7" Type="http://schemas.openxmlformats.org/officeDocument/2006/relationships/image" Target="media/image1.jpg"/><Relationship Id="rId12" Type="http://schemas.openxmlformats.org/officeDocument/2006/relationships/hyperlink" Target="https://doi.org/https://doi.org/10.1111/j.1540-6261.2009.01548.x" TargetMode="External"/><Relationship Id="rId17" Type="http://schemas.openxmlformats.org/officeDocument/2006/relationships/hyperlink" Target="https://doi.org/10.2307/1962767" TargetMode="External"/><Relationship Id="rId25" Type="http://schemas.openxmlformats.org/officeDocument/2006/relationships/hyperlink" Target="https://doi.org/10.2307/1956656" TargetMode="External"/><Relationship Id="rId2" Type="http://schemas.openxmlformats.org/officeDocument/2006/relationships/styles" Target="styles.xml"/><Relationship Id="rId16" Type="http://schemas.openxmlformats.org/officeDocument/2006/relationships/hyperlink" Target="http://www.jstor.org/stable/2111251" TargetMode="External"/><Relationship Id="rId20" Type="http://schemas.openxmlformats.org/officeDocument/2006/relationships/hyperlink" Target="https://doi.org/10.21105/joss.018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7343469.2018.1518965" TargetMode="External"/><Relationship Id="rId24" Type="http://schemas.openxmlformats.org/officeDocument/2006/relationships/hyperlink" Target="http://www.jstor.org/stable/174100" TargetMode="External"/><Relationship Id="rId5" Type="http://schemas.openxmlformats.org/officeDocument/2006/relationships/footnotes" Target="footnotes.xml"/><Relationship Id="rId15" Type="http://schemas.openxmlformats.org/officeDocument/2006/relationships/hyperlink" Target="https://doi.org/10.1177/1461444816676646" TargetMode="External"/><Relationship Id="rId23" Type="http://schemas.openxmlformats.org/officeDocument/2006/relationships/hyperlink" Target="https://doi.org/https://doi.org/10.1111/j.0038-4941.2005.00290.x" TargetMode="External"/><Relationship Id="rId10" Type="http://schemas.openxmlformats.org/officeDocument/2006/relationships/hyperlink" Target="https://doi.org/10.1111/jcom.12145" TargetMode="External"/><Relationship Id="rId19" Type="http://schemas.openxmlformats.org/officeDocument/2006/relationships/hyperlink" Target="https://doi.org/https://doi.org/10.1111/ajps.12180" TargetMode="External"/><Relationship Id="rId4" Type="http://schemas.openxmlformats.org/officeDocument/2006/relationships/webSettings" Target="webSettings.xml"/><Relationship Id="rId9" Type="http://schemas.openxmlformats.org/officeDocument/2006/relationships/hyperlink" Target="https://cran.r-project.org/web/packages/Rfacebook/Rfacebook.pdf" TargetMode="External"/><Relationship Id="rId14" Type="http://schemas.openxmlformats.org/officeDocument/2006/relationships/hyperlink" Target="https://doi.org/10.2139/ssrn.2652361" TargetMode="External"/><Relationship Id="rId22" Type="http://schemas.openxmlformats.org/officeDocument/2006/relationships/hyperlink" Target="https://doi.org/10.1109/MFI.2017.817039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3003</Words>
  <Characters>17123</Characters>
  <Application>Microsoft Office Word</Application>
  <DocSecurity>0</DocSecurity>
  <Lines>142</Lines>
  <Paragraphs>40</Paragraphs>
  <ScaleCrop>false</ScaleCrop>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Donor Motivations and Social Media: A Time Series Analysis</dc:title>
  <dc:creator>Ross Dahlke</dc:creator>
  <cp:keywords/>
  <cp:lastModifiedBy>Ross Dahlke</cp:lastModifiedBy>
  <cp:revision>2</cp:revision>
  <dcterms:created xsi:type="dcterms:W3CDTF">2021-01-25T17:02:00Z</dcterms:created>
  <dcterms:modified xsi:type="dcterms:W3CDTF">2021-01-25T17:02:00Z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two predominant theories of political donor motivations are the access-oriented model and the consumption model. This paper combines political donation records and social media posts from politicians to test whether either behavior is observed. In the</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January 25,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