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July 13, 2026 (the “Effective Date”) by and between Lanternfield Media LLC, an Illinois limited liability company with offices in Evanston, Illinois (“Lanternfield”), and Halcyra Biologics Inc., a Delaware corporation with offices in Cambridge, Massachusetts (“Halcyra”).</w:t>
      </w:r>
    </w:p>
    <w:p>
      <w:r>
        <w:t>Background. Lanternfield and Halcyra wish to explore a potential services relationship concerning marketing and creative services. In the course of their discussions each party expects to disclose confidential information to the other, and each party wishes to protect its information on the terms below.</w:t>
      </w:r>
    </w:p>
    <w:p>
      <w:r>
        <w:t>The parties therefore agree as follows:</w:t>
      </w:r>
    </w:p>
    <w:p>
      <w:pPr>
        <w:keepNext/>
        <w:spacing w:before="120"/>
        <w:jc w:val="both"/>
      </w:pPr>
      <w:r>
        <w:rPr>
          <w:b/>
        </w:rPr>
        <w:t>Section 1. Definitions.</w:t>
      </w:r>
    </w:p>
    <w:p>
      <w:pPr>
        <w:ind w:left="432"/>
        <w:jc w:val="both"/>
      </w:pPr>
      <w:r>
        <w:t>(a) “Confidential Information” means all non-public business, technical, and financial information disclosed by or on behalf of a Disclosing Party to the Receiving Party that is marked or identified as confidential or that a reasonable person would understand to be confidential. Information disclosed orally or visually is Confidential Information only if the Disclosing Party summarizes it in writing, marked as confidential, and delivers the summary to the Receiving Party within five (5) days after disclosure.</w:t>
      </w:r>
    </w:p>
    <w:p>
      <w:pPr>
        <w:ind w:left="432"/>
        <w:jc w:val="both"/>
      </w:pPr>
      <w:r>
        <w:t>(b) “Purpose” means the evaluation, negotiation, and performance of a potential services relationship between the parties concerning marketing and creative services.</w:t>
      </w:r>
    </w:p>
    <w:p>
      <w:pPr>
        <w:keepNext/>
        <w:spacing w:before="120"/>
        <w:jc w:val="both"/>
      </w:pPr>
      <w:r>
        <w:rPr>
          <w:b/>
        </w:rPr>
        <w:t>Section 2. Mutual Obligations.</w:t>
      </w:r>
    </w:p>
    <w:p>
      <w:pPr>
        <w:jc w:val="both"/>
      </w:pPr>
      <w:r>
        <w:t>Each party may disclose Confidential Information to the other party in connection with the Purpose. A party disclosing Confidential Information is the “Disclosing Party”, and a party receiving it is the “Receiving Party”. Lanternfield shall hold all Confidential Information disclosed by Halcyra in strict confidence and shall not disclose it except as permitted by this Agreement.</w:t>
      </w:r>
    </w:p>
    <w:p>
      <w:pPr>
        <w:keepNext/>
        <w:spacing w:before="120"/>
        <w:jc w:val="both"/>
      </w:pPr>
      <w:r>
        <w:rPr>
          <w:b/>
        </w:rPr>
        <w:t>Section 3. Exclusions.</w:t>
      </w:r>
    </w:p>
    <w:p>
      <w:pPr>
        <w:jc w:val="both"/>
      </w:pP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keepNext/>
        <w:spacing w:before="120"/>
        <w:jc w:val="both"/>
      </w:pPr>
      <w:r>
        <w:rPr>
          <w:b/>
        </w:rPr>
        <w:t>Section 4. Use of Confidential Information.</w:t>
      </w:r>
    </w:p>
    <w:p>
      <w:pPr>
        <w:jc w:val="both"/>
      </w:pPr>
      <w:r>
        <w:t>The Receiving Party shall use the Disclosing Party’s Confidential Information solely for the Purpose and for no other purpose.</w:t>
      </w:r>
    </w:p>
    <w:p>
      <w:pPr>
        <w:keepNext/>
        <w:spacing w:before="120"/>
        <w:jc w:val="both"/>
      </w:pPr>
      <w:r>
        <w:rPr>
          <w:b/>
        </w:rPr>
        <w:t>Section 5. Disclosure to Representatives.</w:t>
      </w:r>
    </w:p>
    <w:p>
      <w:pPr>
        <w:jc w:val="both"/>
      </w:pP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shall not otherwise disclose Confidential Information to any third party without the Disclosing Party’s prior written consent. The Receiving Party is responsible for any breach of this Agreement by its Representatives.</w:t>
      </w:r>
    </w:p>
    <w:p>
      <w:pPr>
        <w:keepNext/>
        <w:spacing w:before="120"/>
        <w:jc w:val="both"/>
      </w:pPr>
      <w:r>
        <w:rPr>
          <w:b/>
        </w:rPr>
        <w:t>Section 6. Term and Survival.</w:t>
      </w:r>
    </w:p>
    <w:p>
      <w:pPr>
        <w:jc w:val="both"/>
      </w:pPr>
      <w:r>
        <w:t>This Agreement covers Confidential Information disclosed during the two (2) years following the Effective Date. Either party may terminate this Agreement earlier on thirty (30) days’ written notice to the other party. The Receiving Party’s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Section 7. Return or Destruction.</w:t>
      </w:r>
    </w:p>
    <w:p>
      <w:pPr>
        <w:jc w:val="both"/>
      </w:pPr>
      <w:r>
        <w:t>Within thirty (30) days after the Disclosing Party’s written request, or after this Agreement expires or is terminated, the Receiving Party shall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Section 8.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Section 9.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Section 10. Assignment.</w:t>
      </w:r>
    </w:p>
    <w:p>
      <w:pPr>
        <w:jc w:val="both"/>
      </w:pP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keepNext/>
        <w:spacing w:before="120"/>
        <w:jc w:val="both"/>
      </w:pPr>
      <w:r>
        <w:rPr>
          <w:b/>
        </w:rPr>
        <w:t>Section 11. Governing Law and Venue.</w:t>
      </w:r>
    </w:p>
    <w:p>
      <w:pPr>
        <w:jc w:val="both"/>
      </w:pPr>
      <w:r>
        <w:t>This Agreement is governed by the laws of the State of Delaware. Any dispute arising out of or relating to this Agreement shall be resolved exclusively by binding arbitration administered in Chicago, Illinois under the commercial arbitration rules then in effect, and judgment on the award may be entered in any court having jurisdiction.</w:t>
      </w:r>
    </w:p>
    <w:p>
      <w:pPr>
        <w:keepNext/>
        <w:spacing w:before="120"/>
        <w:jc w:val="both"/>
      </w:pPr>
      <w:r>
        <w:rPr>
          <w:b/>
        </w:rPr>
        <w:t>Section 12. Notices.</w:t>
      </w:r>
    </w:p>
    <w:p>
      <w:pPr>
        <w:jc w:val="both"/>
      </w:pP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keepNext/>
        <w:spacing w:before="120"/>
        <w:jc w:val="both"/>
      </w:pPr>
      <w:r>
        <w:rPr>
          <w:b/>
        </w:rPr>
        <w:t>Section 13. Entire Agreement.</w:t>
      </w:r>
    </w:p>
    <w:p>
      <w:pPr>
        <w:jc w:val="both"/>
      </w:pPr>
      <w:r>
        <w:t>This Agreement is the entire agreement of the parties regarding its subject matter and supersedes all prior discussions and understandings regarding that subject matter. It may be amended only in a writing signed by both parties.</w:t>
      </w:r>
    </w:p>
    <w:p>
      <w:pPr>
        <w:keepNext/>
        <w:spacing w:before="120"/>
        <w:jc w:val="both"/>
      </w:pPr>
      <w:r>
        <w:rPr>
          <w:b/>
        </w:rPr>
        <w:t>Section 14. Severability and Waiver.</w:t>
      </w:r>
    </w:p>
    <w:p>
      <w:pPr>
        <w:jc w:val="both"/>
      </w:pPr>
      <w:r>
        <w:t>If any provision of this Agreement is held unenforceable, the remaining provisions remain in effect. No failure or delay in exercising any right under this Agreement operates as a waiver of that right.</w:t>
      </w:r>
    </w:p>
    <w:p>
      <w:pPr>
        <w:keepNext/>
        <w:spacing w:before="120"/>
        <w:jc w:val="both"/>
      </w:pPr>
      <w:r>
        <w:rPr>
          <w:b/>
        </w:rPr>
        <w:t>Section 15. Counterparts.</w:t>
      </w:r>
    </w:p>
    <w:p>
      <w:pPr>
        <w:jc w:val="both"/>
      </w:pPr>
      <w:r>
        <w:t>This Agreement may be signed in counterparts, including by electronic signature, each of which is an original and all of which together are one instrument.</w:t>
      </w:r>
    </w:p>
    <w:p>
      <w:pPr>
        <w:keepNext/>
        <w:spacing w:before="120"/>
        <w:jc w:val="both"/>
      </w:pPr>
      <w:r>
        <w:rPr>
          <w:b/>
        </w:rPr>
        <w:t>Section 16. Relationship of the Parties.</w:t>
      </w:r>
    </w:p>
    <w:p>
      <w:pPr>
        <w:jc w:val="both"/>
      </w:pPr>
      <w:r>
        <w:t>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Lanternfield Media LLC</w:t>
            </w:r>
          </w:p>
        </w:tc>
        <w:tc>
          <w:tcPr>
            <w:tcW w:type="dxa" w:w="4680"/>
          </w:tcPr>
          <w:p>
            <w:r>
              <w:t>Halcyra Biologics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Evanston, Illinois</w:t>
            </w:r>
          </w:p>
        </w:tc>
        <w:tc>
          <w:tcPr>
            <w:tcW w:type="dxa" w:w="4680"/>
          </w:tcPr>
          <w:p>
            <w:r>
              <w:t>Notice address: Cambridge, Massachusetts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