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March 23, 2026 (the "Effective Date") by and between Northbask Manufacturing Co., a Wisconsin corporation with offices in Milwaukee, Wisconsin ("Northbask"), and Glimmerton Labs Inc., a Delaware corporation with offices in San Jose, California ("Glimmerton").</w:t>
      </w:r>
    </w:p>
    <w:p>
      <w:r>
        <w:t>The parties are talking about quality inspection software services and will share confidential information with each other while they do. They agree as follows.</w:t>
      </w:r>
    </w:p>
    <w:p>
      <w:pPr>
        <w:jc w:val="left"/>
      </w:pPr>
      <w:r>
        <w:rPr>
          <w:b/>
        </w:rPr>
        <w:t xml:space="preserve">1. Mutual Obligations. </w:t>
      </w:r>
      <w:r>
        <w:t>Each party may disclose Confidential Information to the other party in connection with the Purpose. A party disclosing Confidential Information is the "Disclosing Party", and a party receiving it is the "Receiving Party". Each party, when acting as Receiving Party, will hold the other party's Confidential Information in strict confidence, and the obligations in this Agreement apply equally to both parties.</w:t>
      </w:r>
    </w:p>
    <w:p>
      <w:pPr>
        <w:jc w:val="left"/>
      </w:pPr>
      <w:r>
        <w:rPr>
          <w:b/>
        </w:rPr>
        <w:t xml:space="preserve">2. Confidential Information. </w:t>
      </w:r>
      <w:r>
        <w:t>"Confidential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jc w:val="left"/>
      </w:pPr>
      <w:r>
        <w:rPr>
          <w:b/>
        </w:rPr>
        <w:t xml:space="preserve">3. Exclusions. </w:t>
      </w: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or (c) is rightfully received by the Receiving Party from a third party without a duty of confidentiality.</w:t>
      </w:r>
    </w:p>
    <w:p>
      <w:pPr>
        <w:jc w:val="left"/>
      </w:pPr>
      <w:r>
        <w:rPr>
          <w:b/>
        </w:rPr>
        <w:t xml:space="preserve">4. Use of Confidential Information. </w:t>
      </w:r>
      <w:r>
        <w:t>The Receiving Party will use the Disclosing Party's Confidential Information solely for the purpose of evaluating, negotiating, and performing a potential services relationship between the parties concerning quality inspection software services (the "Purpose"), and may also use Confidential Information to train, test, and improve its machine learning models, provided that those models do not disclose Confidential Information to third parties.</w:t>
      </w:r>
    </w:p>
    <w:p>
      <w:pPr>
        <w:jc w:val="left"/>
      </w:pPr>
      <w:r>
        <w:rPr>
          <w:b/>
        </w:rPr>
        <w:t xml:space="preserve">5. Disclosure to Representatives. </w:t>
      </w: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will not otherwise disclose Confidential Information to any third party without the Disclosing Party's prior written consent. The Receiving Party is responsible for any breach of this Agreement by its Representatives.</w:t>
      </w:r>
    </w:p>
    <w:p>
      <w:pPr>
        <w:jc w:val="left"/>
      </w:pPr>
      <w:r>
        <w:rPr>
          <w:b/>
        </w:rPr>
        <w:t xml:space="preserve">6. Compelled Disclosure. </w:t>
      </w:r>
      <w:r>
        <w:t>If the Receiving Party or any of its Representatives is required by law, regulation, subpoena, or court order to disclose any Confidential Information, the Receiving Party will,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jc w:val="left"/>
      </w:pPr>
      <w:r>
        <w:rPr>
          <w:b/>
        </w:rPr>
        <w:t xml:space="preserve">7. Return or Destruction. </w:t>
      </w:r>
      <w:r>
        <w:t>Within thirty (30) days after the Disclosing Party's written request, or after this Agreement expires or is terminated, the Receiving Party will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jc w:val="left"/>
      </w:pPr>
      <w:r>
        <w:rPr>
          <w:b/>
        </w:rPr>
        <w:t xml:space="preserve">8. Term and Survival. </w:t>
      </w: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jc w:val="left"/>
      </w:pPr>
      <w:r>
        <w:rPr>
          <w:b/>
        </w:rPr>
        <w:t xml:space="preserve">9. Remedies. </w:t>
      </w: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will bear its own attorneys' fees and costs in any dispute under this Agreement.</w:t>
      </w:r>
    </w:p>
    <w:p>
      <w:pPr>
        <w:jc w:val="left"/>
      </w:pPr>
      <w:r>
        <w:rPr>
          <w:b/>
        </w:rPr>
        <w:t xml:space="preserve">10. Governing Law and Venue. </w:t>
      </w:r>
      <w:r>
        <w:t>This Agreement is governed by the laws of the State of Wisconsin, without regard to its conflict of laws principles. Each party submits to the exclusive jurisdiction of the state and federal courts located in Milwaukee County, Wisconsin for any action arising out of this Agreement.</w:t>
      </w:r>
    </w:p>
    <w:p>
      <w:pPr>
        <w:jc w:val="left"/>
      </w:pPr>
      <w:r>
        <w:rPr>
          <w:b/>
        </w:rPr>
        <w:t xml:space="preserve">11. Assignment. </w:t>
      </w: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jc w:val="left"/>
      </w:pPr>
      <w:r>
        <w:rPr>
          <w:b/>
        </w:rPr>
        <w:t xml:space="preserve">12. No License; No Warranty; No Obligation. </w:t>
      </w: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jc w:val="left"/>
      </w:pPr>
      <w:r>
        <w:rPr>
          <w:b/>
        </w:rPr>
        <w:t xml:space="preserve">13. Notices. </w:t>
      </w: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jc w:val="left"/>
      </w:pPr>
      <w:r>
        <w:rPr>
          <w:b/>
        </w:rPr>
        <w:t xml:space="preserve">14. Entire Agreement. </w:t>
      </w:r>
      <w:r>
        <w:t>This Agreement is the entire agreement of the parties regarding its subject matter and supersedes all prior discussions and understandings regarding that subject matter. It may be amended only in a writing signed by both parties.</w:t>
      </w:r>
    </w:p>
    <w:p>
      <w:pPr>
        <w:jc w:val="left"/>
      </w:pPr>
      <w:r>
        <w:rPr>
          <w:b/>
        </w:rPr>
        <w:t xml:space="preserve">15. Severability and Waiver. </w:t>
      </w:r>
      <w:r>
        <w:t>If any provision of this Agreement is held unenforceable, the remaining provisions remain in effect. No failure or delay in exercising any right under this Agreement operates as a waiver of that right.</w:t>
      </w:r>
    </w:p>
    <w:p>
      <w:pPr>
        <w:jc w:val="left"/>
      </w:pPr>
      <w:r>
        <w:rPr>
          <w:b/>
        </w:rPr>
        <w:t xml:space="preserve">16. Counterparts. </w:t>
      </w:r>
      <w:r>
        <w:t>This Agreement may be signed in counterparts, including by electronic signature, each of which is an original and all of which together are one instrument.</w:t>
      </w:r>
    </w:p>
    <w:p>
      <w:pPr>
        <w:jc w:val="left"/>
      </w:pPr>
      <w:r>
        <w:rPr>
          <w:b/>
        </w:rPr>
        <w:t xml:space="preserve">17. Relationship of the Parties. </w:t>
      </w:r>
      <w:r>
        <w:t>The parties are independent contractors. Nothing in this Agreement creates an agency, partnership, or joint venture between them.</w:t>
      </w:r>
    </w:p>
    <w:p>
      <w:r>
        <w:t>Signed by the parties as of the Effective Date.</w:t>
      </w:r>
    </w:p>
    <w:tbl>
      <w:tblPr>
        <w:tblW w:type="auto" w:w="0"/>
        <w:tblLook w:firstColumn="1" w:firstRow="1" w:lastColumn="0" w:lastRow="0" w:noHBand="0" w:noVBand="1" w:val="04A0"/>
      </w:tblPr>
      <w:tblGrid>
        <w:gridCol w:w="4680"/>
        <w:gridCol w:w="4680"/>
      </w:tblGrid>
      <w:tr>
        <w:tc>
          <w:tcPr>
            <w:tcW w:type="dxa" w:w="4680"/>
          </w:tcPr>
          <w:p>
            <w:r>
              <w:t>Northbask Manufacturing Co.</w:t>
            </w:r>
          </w:p>
        </w:tc>
        <w:tc>
          <w:tcPr>
            <w:tcW w:type="dxa" w:w="4680"/>
          </w:tcPr>
          <w:p>
            <w:r>
              <w:t>Glimmerton Labs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Milwaukee, Wisconsin</w:t>
            </w:r>
          </w:p>
        </w:tc>
        <w:tc>
          <w:tcPr>
            <w:tcW w:type="dxa" w:w="4680"/>
          </w:tcPr>
          <w:p>
            <w:r>
              <w:t>Notice address: San Jose, California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