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CONFIDENTIALITY AGREEMENT</w:t>
      </w:r>
    </w:p>
    <w:p>
      <w:r>
        <w:t>This Mutual Confidentiality Agreement (the “Agreement”) is entered into as of September 8, 2026 (the “Effective Date”) by and between Ironpeak Construction Services LLC, a Delaware limited liability company with offices in Boise, Idaho (“Ironpeak”), and Duskwater Transit LLC, an Oregon limited liability company with offices in Portland, Oregon (“Duskwater”).</w:t>
      </w:r>
    </w:p>
    <w:p>
      <w:r>
        <w:t>Background. Ironpeak and Duskwater wish to explore a potential services relationship concerning fleet maintenance scheduling services. In the course of their discussions each party expects to disclose confidential information to the other, and each party wishes to protect its information on the terms below.</w:t>
      </w:r>
    </w:p>
    <w:p>
      <w:r>
        <w:t>The parties therefore agree as follows:</w:t>
      </w:r>
    </w:p>
    <w:p>
      <w:pPr>
        <w:keepNext/>
        <w:spacing w:before="120"/>
        <w:jc w:val="both"/>
      </w:pPr>
      <w:r>
        <w:rPr>
          <w:b/>
        </w:rPr>
        <w:t>Section 1. Definitions.</w:t>
      </w:r>
    </w:p>
    <w:p>
      <w:pPr>
        <w:ind w:left="432"/>
        <w:jc w:val="both"/>
      </w:pPr>
      <w:r>
        <w:t>(a) “Confidential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(b) “Purpose” means the evaluation, negotiation, and performance of a potential services relationship between the parties concerning fleet maintenance scheduling services.</w:t>
      </w:r>
    </w:p>
    <w:p>
      <w:pPr>
        <w:ind w:left="432"/>
        <w:jc w:val="both"/>
      </w:pPr>
      <w:r>
        <w:t>(c) “Disclosing Party” means Ironpeak and its affiliates.</w:t>
      </w:r>
    </w:p>
    <w:p>
      <w:pPr>
        <w:ind w:left="432"/>
        <w:jc w:val="both"/>
      </w:pPr>
      <w:r>
        <w:t>(d) “Receiving Party” means Duskwater.</w:t>
      </w:r>
    </w:p>
    <w:p>
      <w:pPr>
        <w:keepNext/>
        <w:spacing w:before="120"/>
        <w:jc w:val="both"/>
      </w:pPr>
      <w:r>
        <w:rPr>
          <w:b/>
        </w:rPr>
        <w:t>Section 2. Mutual Obligations.</w:t>
      </w:r>
    </w:p>
    <w:p>
      <w:pPr>
        <w:jc w:val="both"/>
      </w:pPr>
      <w:r>
        <w:t>The Receiving Party shall hold the Disclosing Party’s Confidential Information in strict confidence and shall not disclose it except as permitted by this Agreement. The parties intend this Agreement to protect the information exchanged in their discussions.</w:t>
      </w:r>
    </w:p>
    <w:p>
      <w:pPr>
        <w:keepNext/>
        <w:spacing w:before="120"/>
        <w:jc w:val="both"/>
      </w:pPr>
      <w:r>
        <w:rPr>
          <w:b/>
        </w:rPr>
        <w:t>Section 3. Exclusions.</w:t>
      </w:r>
    </w:p>
    <w:p>
      <w:pPr>
        <w:jc w:val="both"/>
      </w:pP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keepNext/>
        <w:spacing w:before="120"/>
        <w:jc w:val="both"/>
      </w:pPr>
      <w:r>
        <w:rPr>
          <w:b/>
        </w:rPr>
        <w:t>Section 4. Use of Confidential Information.</w:t>
      </w:r>
    </w:p>
    <w:p>
      <w:pPr>
        <w:jc w:val="both"/>
      </w:pPr>
      <w:r>
        <w:t>The Receiving Party shall use the Disclosing Party’s Confidential Information solely for the Purpose and for no other purpose.</w:t>
      </w:r>
    </w:p>
    <w:p>
      <w:pPr>
        <w:keepNext/>
        <w:spacing w:before="120"/>
        <w:jc w:val="both"/>
      </w:pPr>
      <w:r>
        <w:rPr>
          <w:b/>
        </w:rPr>
        <w:t>Section 5. Disclosure to Representatives.</w:t>
      </w:r>
    </w:p>
    <w:p>
      <w:pPr>
        <w:jc w:val="both"/>
      </w:pP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shall not otherwise disclose Confidential Information to any third party without the Disclosing Party’s prior written consent. The Receiving Party is responsible for any breach of this Agreement by its Representatives.</w:t>
      </w:r>
    </w:p>
    <w:p>
      <w:pPr>
        <w:keepNext/>
        <w:spacing w:before="120"/>
        <w:jc w:val="both"/>
      </w:pPr>
      <w:r>
        <w:rPr>
          <w:b/>
        </w:rPr>
        <w:t>Section 6. Compelled Disclosure.</w:t>
      </w:r>
    </w:p>
    <w:p>
      <w:pPr>
        <w:jc w:val="both"/>
      </w:pPr>
      <w:r>
        <w:t>If the Receiving Party or any of its Representatives is required by law, regulation, subpoena, or court order to disclose any Confidential Information, the Receiving Party shall,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keepNext/>
        <w:spacing w:before="120"/>
        <w:jc w:val="both"/>
      </w:pPr>
      <w:r>
        <w:rPr>
          <w:b/>
        </w:rPr>
        <w:t>Section 7. Term and Survival.</w:t>
      </w:r>
    </w:p>
    <w:p>
      <w:pPr>
        <w:jc w:val="both"/>
      </w:pPr>
      <w:r>
        <w:t>This Agreement covers Confidential Information disclosed during the two (2) years following the Effective Date. Either party may terminate this Agreement earlier on thirty (30) days’ written notice to the other party. The Receiving Party’s obligations under this Agreement survive for three (3) years after expiration or termination, and obligations with respect to trade secrets survive for as long as the information remains a trade secret under applicable law.</w:t>
      </w:r>
    </w:p>
    <w:p>
      <w:pPr>
        <w:keepNext/>
        <w:spacing w:before="120"/>
        <w:jc w:val="both"/>
      </w:pPr>
      <w:r>
        <w:rPr>
          <w:b/>
        </w:rPr>
        <w:t>Section 8. Return or Destruction.</w:t>
      </w:r>
    </w:p>
    <w:p>
      <w:pPr>
        <w:jc w:val="both"/>
      </w:pPr>
      <w:r>
        <w:t>Within thirty (30) days after the Disclosing Party’s written request, or after this Agreement expires or is terminated, the Receiving Party shall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Section 9.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Section 10.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Section 11. Assignment.</w:t>
      </w:r>
    </w:p>
    <w:p>
      <w:pPr>
        <w:jc w:val="both"/>
      </w:pP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keepNext/>
        <w:spacing w:before="120"/>
        <w:jc w:val="both"/>
      </w:pPr>
      <w:r>
        <w:rPr>
          <w:b/>
        </w:rPr>
        <w:t>Section 12. Governing Law and Venue.</w:t>
      </w:r>
    </w:p>
    <w:p>
      <w:pPr>
        <w:jc w:val="both"/>
      </w:pPr>
      <w:r>
        <w:t>This Agreement is governed by the laws of the State of Delaware, without regard to its conflict of laws principles. Each party submits to the exclusive jurisdiction of the state and federal courts located in Wilmington, Delaware for any action arising out of this Agreement.</w:t>
      </w:r>
    </w:p>
    <w:p>
      <w:pPr>
        <w:keepNext/>
        <w:spacing w:before="120"/>
        <w:jc w:val="both"/>
      </w:pPr>
      <w:r>
        <w:rPr>
          <w:b/>
        </w:rPr>
        <w:t>Section 13. Notices.</w:t>
      </w:r>
    </w:p>
    <w:p>
      <w:pPr>
        <w:jc w:val="both"/>
      </w:pP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keepNext/>
        <w:spacing w:before="120"/>
        <w:jc w:val="both"/>
      </w:pPr>
      <w:r>
        <w:rPr>
          <w:b/>
        </w:rPr>
        <w:t>Section 14. Entire Agreement.</w:t>
      </w:r>
    </w:p>
    <w:p>
      <w:pPr>
        <w:jc w:val="both"/>
      </w:pPr>
      <w:r>
        <w:t>This Agreement is the entire agreement of the parties regarding its subject matter and supersedes all prior discussions and understandings regarding that subject matter. It may be amended only in a writing signed by both parties.</w:t>
      </w:r>
    </w:p>
    <w:p>
      <w:pPr>
        <w:keepNext/>
        <w:spacing w:before="120"/>
        <w:jc w:val="both"/>
      </w:pPr>
      <w:r>
        <w:rPr>
          <w:b/>
        </w:rPr>
        <w:t>Section 15. Severability and Waiver.</w:t>
      </w:r>
    </w:p>
    <w:p>
      <w:pPr>
        <w:jc w:val="both"/>
      </w:pPr>
      <w:r>
        <w:t>If any provision of this Agreement is held unenforceable, the remaining provisions remain in effect. No failure or delay in exercising any right under this Agreement operates as a waiver of that right.</w:t>
      </w:r>
    </w:p>
    <w:p>
      <w:pPr>
        <w:keepNext/>
        <w:spacing w:before="120"/>
        <w:jc w:val="both"/>
      </w:pPr>
      <w:r>
        <w:rPr>
          <w:b/>
        </w:rPr>
        <w:t>Section 16. Counterparts.</w:t>
      </w:r>
    </w:p>
    <w:p>
      <w:pPr>
        <w:jc w:val="both"/>
      </w:pPr>
      <w:r>
        <w:t>This Agreement may be signed in counterparts, including by electronic signature, each of which is an original and all of which together are one instrument.</w:t>
      </w:r>
    </w:p>
    <w:p>
      <w:pPr>
        <w:keepNext/>
        <w:spacing w:before="120"/>
        <w:jc w:val="both"/>
      </w:pPr>
      <w:r>
        <w:rPr>
          <w:b/>
        </w:rPr>
        <w:t>Section 17. Relationship of the Parties.</w:t>
      </w:r>
    </w:p>
    <w:p>
      <w:pPr>
        <w:jc w:val="both"/>
      </w:pPr>
      <w:r>
        <w:t>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Ironpeak Construction Services LLC</w:t>
            </w:r>
          </w:p>
        </w:tc>
        <w:tc>
          <w:tcPr>
            <w:tcW w:type="dxa" w:w="4680"/>
          </w:tcPr>
          <w:p>
            <w:r>
              <w:t>Duskwater Transit LLC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Boise, Idaho</w:t>
            </w:r>
          </w:p>
        </w:tc>
        <w:tc>
          <w:tcPr>
            <w:tcW w:type="dxa" w:w="4680"/>
          </w:tcPr>
          <w:p>
            <w:r>
              <w:t>Notice address: Portland, Oregon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