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Mutual Confidentiality Agreement</w:t>
      </w:r>
    </w:p>
    <w:p>
      <w:r>
        <w:t>This Mutual Confidentiality Agreement (the "Agreement") is entered into as of August 24, 2026 (the "Effective Date") by and between Hollisford Water Technologies Inc., a Delaware corporation with offices in Cleveland, Ohio ("Hollisford"), and Emberly Field Services LLC, a Kentucky limited liability company with offices in Louisville, Kentucky ("Emberly").</w:t>
      </w:r>
    </w:p>
    <w:p>
      <w:r>
        <w:t>The parties are talking about pump station monitoring services and will share confidential information with each other while they do. They agree as follows.</w:t>
      </w:r>
    </w:p>
    <w:p>
      <w:pPr>
        <w:jc w:val="left"/>
      </w:pPr>
      <w:r>
        <w:rPr>
          <w:b/>
        </w:rPr>
        <w:t xml:space="preserve">1. Mutual Obligations. </w:t>
      </w:r>
      <w:r>
        <w:t>Each party may disclose Confidential Information to the other party in connection with the Purpose. A party disclosing Confidential Information is the "Disclosing Party", and a party receiving it is the "Receiving Party". Each party, when acting as Receiving Party, will hold the other party's Confidential Information in strict confidence, and the obligations in this Agreement apply equally to both parties.</w:t>
      </w:r>
    </w:p>
    <w:p>
      <w:pPr>
        <w:jc w:val="left"/>
      </w:pPr>
      <w:r>
        <w:rPr>
          <w:b/>
        </w:rPr>
        <w:t xml:space="preserve">2. Confidential Information. </w:t>
      </w:r>
      <w:r>
        <w:t>"Confidential Information" means all non-public business, technical, and financial information disclosed by or on behalf of a Disclosing Party to the Receiving Party, in any form, whether written, electronic, oral, or visual, that is marked or identified as confidential or that a reasonable person would understand to be confidential given the nature of the information and the circumstances of disclosure. Oral and visual disclosures are covered whether or not they are later summarized in writing.</w:t>
      </w:r>
    </w:p>
    <w:p>
      <w:pPr>
        <w:jc w:val="left"/>
      </w:pPr>
      <w:r>
        <w:rPr>
          <w:b/>
        </w:rPr>
        <w:t xml:space="preserve">3. Exclusions. </w:t>
      </w:r>
      <w:r>
        <w:t>The obligations in this Agreement do not apply to information that the Receiving Party can demonstrate by written records: (a) is or becomes publicly available through no breach of this Agreement by the Receiving Party or its Representatives; (b) was known to the Receiving Party without restriction before disclosure by the Disclosing Party; (c) is independently developed by the Receiving Party without use of or reference to the Disclosing Party's Confidential Information; or (d) is rightfully received by the Receiving Party from a third party without a duty of confidentiality.</w:t>
      </w:r>
    </w:p>
    <w:p>
      <w:pPr>
        <w:jc w:val="left"/>
      </w:pPr>
      <w:r>
        <w:rPr>
          <w:b/>
        </w:rPr>
        <w:t xml:space="preserve">4. Use of Confidential Information. </w:t>
      </w:r>
      <w:r>
        <w:t>The Receiving Party will use the Disclosing Party's Confidential Information solely for the purpose of evaluating, negotiating, and performing a potential services relationship between the parties concerning pump station monitoring services (the "Purpose") and for no other purpose.</w:t>
      </w:r>
    </w:p>
    <w:p>
      <w:pPr>
        <w:jc w:val="left"/>
      </w:pPr>
      <w:r>
        <w:rPr>
          <w:b/>
        </w:rPr>
        <w:t xml:space="preserve">5. Disclosure to Representatives. </w:t>
      </w:r>
      <w:r>
        <w:t>The Receiving Party may disclose Confidential Information to its and its affiliates' employees, officers, directors, contractors, and professional advisors who need to know it for the Purpose (collectively, "Representatives"), but only after each Representative has signed a joinder to this Agreement in a form approved by the Disclosing Party. The Receiving Party is responsible for any breach of this Agreement by its Representatives.</w:t>
      </w:r>
    </w:p>
    <w:p>
      <w:pPr>
        <w:jc w:val="left"/>
      </w:pPr>
      <w:r>
        <w:rPr>
          <w:b/>
        </w:rPr>
        <w:t xml:space="preserve">6. Compelled Disclosure. </w:t>
      </w:r>
      <w:r>
        <w:t>If the Receiving Party or any of its Representatives is required by law, regulation, subpoena, or court order to disclose any Confidential Information, the Receiving Party will, to the extent legally permitted, give the Disclosing Party prompt written notice so that the Disclosing Party may seek a protective order or other remedy, reasonably cooperate with those efforts at the Disclosing Party's expense, and disclose only the portion of the Confidential Information that it is legally required to disclose.</w:t>
      </w:r>
    </w:p>
    <w:p>
      <w:pPr>
        <w:jc w:val="left"/>
      </w:pPr>
      <w:r>
        <w:rPr>
          <w:b/>
        </w:rPr>
        <w:t xml:space="preserve">7. Return or Destruction. </w:t>
      </w:r>
      <w:r>
        <w:t>Within five (5) business days after the Disclosing Party's written request, the Receiving Party will return or destroy all of the Disclosing Party's Confidential Information, and an officer of the Receiving Party will certify the destruction in writing under penalty of perjury. The Receiving Party is not required to delete Confidential Information held in automatic electronic backup systems, provided that any retained Confidential Information remains subject to this Agreement.</w:t>
      </w:r>
    </w:p>
    <w:p>
      <w:pPr>
        <w:jc w:val="left"/>
      </w:pPr>
      <w:r>
        <w:rPr>
          <w:b/>
        </w:rPr>
        <w:t xml:space="preserve">8. Term and Survival. </w:t>
      </w:r>
      <w:r>
        <w:t>This Agreement covers Confidential Information disclosed during the two (2) years following the Effective Date. Either party may terminate this Agreement earlier on thirty (30) days' written notice to the other party. The Receiving Party's obligations under this Agreement survive for three (3) years after expiration or termination, and obligations with respect to trade secrets survive for as long as the information remains a trade secret under applicable law.</w:t>
      </w:r>
    </w:p>
    <w:p>
      <w:pPr>
        <w:jc w:val="left"/>
      </w:pPr>
      <w:r>
        <w:rPr>
          <w:b/>
        </w:rPr>
        <w:t xml:space="preserve">9. Remedies. </w:t>
      </w:r>
      <w:r>
        <w:t>Each party acknowledges that unauthorized use or disclosure of the other party's Confidential Information may cause irreparable harm for which monetary damages would be an inadequate remedy. The non-breaching party may therefore seek injunctive or other equitable relief, without the necessity of proving actual damages, in addition to any other remedy available at law or in equity. Each party will bear its own attorneys' fees and costs in any dispute under this Agreement.</w:t>
      </w:r>
    </w:p>
    <w:p>
      <w:pPr>
        <w:jc w:val="left"/>
      </w:pPr>
      <w:r>
        <w:rPr>
          <w:b/>
        </w:rPr>
        <w:t xml:space="preserve">10. Governing Law and Venue. </w:t>
      </w:r>
      <w:r>
        <w:t>This Agreement is governed by the laws of the State of Ohio, without regard to its conflict of laws principles. Each party submits to the exclusive jurisdiction of the state and federal courts located in Cuyahoga County, Ohio for any action arising out of this Agreement.</w:t>
      </w:r>
    </w:p>
    <w:p>
      <w:pPr>
        <w:jc w:val="left"/>
      </w:pPr>
      <w:r>
        <w:rPr>
          <w:b/>
        </w:rPr>
        <w:t xml:space="preserve">11. Assignment. </w:t>
      </w:r>
      <w:r>
        <w:t>Neither party may assign this Agreement without the other party's prior written consent, except that either party may assign this Agreement without consent to an affiliate or to a successor in connection with a merger, acquisition, or sale of all or substantially all of its assets, on written notice to the other party. This Agreement binds and benefits the parties and their permitted successors and assigns.</w:t>
      </w:r>
    </w:p>
    <w:p>
      <w:pPr>
        <w:jc w:val="left"/>
      </w:pPr>
      <w:r>
        <w:rPr>
          <w:b/>
        </w:rPr>
        <w:t xml:space="preserve">12. No License; No Warranty; No Obligation. </w:t>
      </w:r>
      <w:r>
        <w:t>No license under any patent, copyright, or other intellectual property right is granted by this Agreement, except that all feedback, suggestions, and improvements that either party provides regarding the other party's products or services are hereby assigned to the party receiving them. All Confidential Information is provided "as is", without warranty of any kind. Neither party is obligated to enter into any further agreement or transaction.</w:t>
      </w:r>
    </w:p>
    <w:p>
      <w:pPr>
        <w:jc w:val="left"/>
      </w:pPr>
      <w:r>
        <w:rPr>
          <w:b/>
        </w:rPr>
        <w:t xml:space="preserve">13. Notices. </w:t>
      </w:r>
      <w:r>
        <w:t>All notices under this Agreement must be in writing and are effective when delivered by hand, by nationally recognized courier, or by email with confirmation of receipt, to the address shown below a party's signature or to another address that party designates by notice.</w:t>
      </w:r>
    </w:p>
    <w:p>
      <w:pPr>
        <w:jc w:val="left"/>
      </w:pPr>
      <w:r>
        <w:rPr>
          <w:b/>
        </w:rPr>
        <w:t xml:space="preserve">14. Entire Agreement. </w:t>
      </w:r>
      <w:r>
        <w:t>This Agreement is the entire agreement of the parties regarding its subject matter and supersedes all prior discussions and understandings regarding that subject matter. It may be amended only in a writing signed by both parties.</w:t>
      </w:r>
    </w:p>
    <w:p>
      <w:pPr>
        <w:jc w:val="left"/>
      </w:pPr>
      <w:r>
        <w:rPr>
          <w:b/>
        </w:rPr>
        <w:t xml:space="preserve">15. Severability and Waiver. </w:t>
      </w:r>
      <w:r>
        <w:t>If any provision of this Agreement is held unenforceable, the remaining provisions remain in effect. No failure or delay in exercising any right under this Agreement operates as a waiver of that right.</w:t>
      </w:r>
    </w:p>
    <w:p>
      <w:pPr>
        <w:jc w:val="left"/>
      </w:pPr>
      <w:r>
        <w:rPr>
          <w:b/>
        </w:rPr>
        <w:t xml:space="preserve">16. Counterparts. </w:t>
      </w:r>
      <w:r>
        <w:t>This Agreement may be signed in counterparts, including by electronic signature, each of which is an original and all of which together are one instrument.</w:t>
      </w:r>
    </w:p>
    <w:p>
      <w:pPr>
        <w:jc w:val="left"/>
      </w:pPr>
      <w:r>
        <w:rPr>
          <w:b/>
        </w:rPr>
        <w:t xml:space="preserve">17. Relationship of the Parties. </w:t>
      </w:r>
      <w:r>
        <w:t>The parties are independent contractors. Nothing in this Agreement creates an agency, partnership, or joint venture between them.</w:t>
      </w:r>
    </w:p>
    <w:p>
      <w:r>
        <w:t>Signed by the parties as of the Effective Date.</w:t>
      </w:r>
    </w:p>
    <w:tbl>
      <w:tblPr>
        <w:tblW w:type="auto" w:w="0"/>
        <w:tblLook w:firstColumn="1" w:firstRow="1" w:lastColumn="0" w:lastRow="0" w:noHBand="0" w:noVBand="1" w:val="04A0"/>
      </w:tblPr>
      <w:tblGrid>
        <w:gridCol w:w="4680"/>
        <w:gridCol w:w="4680"/>
      </w:tblGrid>
      <w:tr>
        <w:tc>
          <w:tcPr>
            <w:tcW w:type="dxa" w:w="4680"/>
          </w:tcPr>
          <w:p>
            <w:r>
              <w:t>Hollisford Water Technologies Inc.</w:t>
            </w:r>
          </w:p>
        </w:tc>
        <w:tc>
          <w:tcPr>
            <w:tcW w:type="dxa" w:w="4680"/>
          </w:tcPr>
          <w:p>
            <w:r>
              <w:t>Emberly Field Services LLC</w:t>
            </w:r>
          </w:p>
        </w:tc>
      </w:tr>
      <w:tr>
        <w:tc>
          <w:tcPr>
            <w:tcW w:type="dxa" w:w="4680"/>
          </w:tcPr>
          <w:p>
            <w:r>
              <w:t>By: ______________________________</w:t>
            </w:r>
          </w:p>
        </w:tc>
        <w:tc>
          <w:tcPr>
            <w:tcW w:type="dxa" w:w="4680"/>
          </w:tcPr>
          <w:p>
            <w:r>
              <w:t>By: ______________________________</w:t>
            </w:r>
          </w:p>
        </w:tc>
      </w:tr>
      <w:tr>
        <w:tc>
          <w:tcPr>
            <w:tcW w:type="dxa" w:w="4680"/>
          </w:tcPr>
          <w:p>
            <w:r>
              <w:t>Name:</w:t>
            </w:r>
          </w:p>
        </w:tc>
        <w:tc>
          <w:tcPr>
            <w:tcW w:type="dxa" w:w="4680"/>
          </w:tcPr>
          <w:p>
            <w:r>
              <w:t>Name:</w:t>
            </w:r>
          </w:p>
        </w:tc>
      </w:tr>
      <w:tr>
        <w:tc>
          <w:tcPr>
            <w:tcW w:type="dxa" w:w="4680"/>
          </w:tcPr>
          <w:p>
            <w:r>
              <w:t>Title:</w:t>
            </w:r>
          </w:p>
        </w:tc>
        <w:tc>
          <w:tcPr>
            <w:tcW w:type="dxa" w:w="4680"/>
          </w:tcPr>
          <w:p>
            <w:r>
              <w:t>Title:</w:t>
            </w:r>
          </w:p>
        </w:tc>
      </w:tr>
      <w:tr>
        <w:tc>
          <w:tcPr>
            <w:tcW w:type="dxa" w:w="4680"/>
          </w:tcPr>
          <w:p>
            <w:r>
              <w:t>Date:</w:t>
            </w:r>
          </w:p>
        </w:tc>
        <w:tc>
          <w:tcPr>
            <w:tcW w:type="dxa" w:w="4680"/>
          </w:tcPr>
          <w:p>
            <w:r>
              <w:t>Date:</w:t>
            </w:r>
          </w:p>
        </w:tc>
      </w:tr>
      <w:tr>
        <w:tc>
          <w:tcPr>
            <w:tcW w:type="dxa" w:w="4680"/>
          </w:tcPr>
          <w:p>
            <w:r>
              <w:t>Notice address: Cleveland, Ohio</w:t>
            </w:r>
          </w:p>
        </w:tc>
        <w:tc>
          <w:tcPr>
            <w:tcW w:type="dxa" w:w="4680"/>
          </w:tcPr>
          <w:p>
            <w:r>
              <w:t>Notice address: Louisville, Kentucky</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