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RELEASE_NO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TITLE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cand se face documentul</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draft</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 UI</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NAR_ID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RELEASE_NO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RELEASE_NO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TITLE</w:t>
      </w:r>
    </w:p>
    <w:p>
      <w:pPr>
        <w:spacing w:before="0" w:after="200" w:line="276"/>
        <w:ind w:right="0" w:left="0" w:firstLine="0"/>
        <w:jc w:val="left"/>
        <w:rPr>
          <w:rFonts w:ascii="JetBrains Mono" w:hAnsi="JetBrains Mono" w:cs="JetBrains Mono" w:eastAsia="JetBrains Mono"/>
          <w:color w:val="6A8759"/>
          <w:spacing w:val="0"/>
          <w:position w:val="0"/>
          <w:sz w:val="20"/>
          <w:shd w:fill="FFFF00" w:val="clear"/>
        </w:rPr>
      </w:pPr>
      <w:r>
        <w:rPr>
          <w:rFonts w:ascii="JetBrains Mono" w:hAnsi="JetBrains Mono" w:cs="JetBrains Mono" w:eastAsia="JetBrains Mono"/>
          <w:color w:val="6A8759"/>
          <w:spacing w:val="0"/>
          <w:position w:val="0"/>
          <w:sz w:val="20"/>
          <w:shd w:fill="FFFF00" w:val="clear"/>
        </w:rPr>
        <w:t xml:space="preserve">RELEASE_DATE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REGION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