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840C" w14:textId="77777777" w:rsidR="007601A3" w:rsidRPr="00DF446C" w:rsidRDefault="00000000">
      <w:pPr>
        <w:pStyle w:val="Ttulo1"/>
        <w:rPr>
          <w:lang w:val="pt-BR"/>
        </w:rPr>
      </w:pPr>
      <w:bookmarkStart w:id="0" w:name="business-plan-ask"/>
      <w:r w:rsidRPr="00DF446C">
        <w:rPr>
          <w:lang w:val="pt-BR"/>
        </w:rPr>
        <w:t>Business Plan — ASK</w:t>
      </w:r>
    </w:p>
    <w:p w14:paraId="6426840D" w14:textId="77777777" w:rsidR="007601A3" w:rsidRPr="00DF446C" w:rsidRDefault="00000000">
      <w:pPr>
        <w:pStyle w:val="Ttulo2"/>
        <w:rPr>
          <w:lang w:val="pt-BR"/>
        </w:rPr>
      </w:pPr>
      <w:bookmarkStart w:id="1" w:name="X5f8f0eddbd1b6ee382c351c8207162992271aef"/>
      <w:r w:rsidRPr="00DF446C">
        <w:rPr>
          <w:lang w:val="pt-BR"/>
        </w:rPr>
        <w:t>Blueprint de Estrutura Agêntica de Consulta de Dados + ASK Revendas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18"/>
        <w:gridCol w:w="7536"/>
      </w:tblGrid>
      <w:tr w:rsidR="007601A3" w14:paraId="64268410" w14:textId="77777777" w:rsidTr="00760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26840E" w14:textId="6576DC4F" w:rsidR="007601A3" w:rsidRDefault="007601A3">
            <w:pPr>
              <w:pStyle w:val="Compact"/>
            </w:pPr>
          </w:p>
        </w:tc>
        <w:tc>
          <w:tcPr>
            <w:tcW w:w="0" w:type="auto"/>
          </w:tcPr>
          <w:p w14:paraId="6426840F" w14:textId="7D273DB2" w:rsidR="007601A3" w:rsidRDefault="007601A3">
            <w:pPr>
              <w:pStyle w:val="Compact"/>
            </w:pPr>
          </w:p>
        </w:tc>
      </w:tr>
      <w:tr w:rsidR="007601A3" w:rsidRPr="00DF446C" w14:paraId="64268413" w14:textId="77777777">
        <w:tc>
          <w:tcPr>
            <w:tcW w:w="0" w:type="auto"/>
          </w:tcPr>
          <w:p w14:paraId="64268411" w14:textId="77777777" w:rsidR="007601A3" w:rsidRDefault="00000000">
            <w:pPr>
              <w:pStyle w:val="Compact"/>
            </w:pPr>
            <w:r>
              <w:rPr>
                <w:b/>
                <w:bCs/>
              </w:rPr>
              <w:t>Produto</w:t>
            </w:r>
          </w:p>
        </w:tc>
        <w:tc>
          <w:tcPr>
            <w:tcW w:w="0" w:type="auto"/>
          </w:tcPr>
          <w:p w14:paraId="64268412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ASK (blueprint) e ASK Revendas (MVP aplicado)</w:t>
            </w:r>
          </w:p>
        </w:tc>
      </w:tr>
      <w:tr w:rsidR="007601A3" w14:paraId="64268416" w14:textId="77777777">
        <w:tc>
          <w:tcPr>
            <w:tcW w:w="0" w:type="auto"/>
          </w:tcPr>
          <w:p w14:paraId="64268414" w14:textId="77777777" w:rsidR="007601A3" w:rsidRDefault="00000000">
            <w:pPr>
              <w:pStyle w:val="Compact"/>
            </w:pPr>
            <w:r>
              <w:rPr>
                <w:b/>
                <w:bCs/>
              </w:rPr>
              <w:t>Programa</w:t>
            </w:r>
          </w:p>
        </w:tc>
        <w:tc>
          <w:tcPr>
            <w:tcW w:w="0" w:type="auto"/>
          </w:tcPr>
          <w:p w14:paraId="64268415" w14:textId="77777777" w:rsidR="007601A3" w:rsidRDefault="00000000">
            <w:pPr>
              <w:pStyle w:val="Compact"/>
            </w:pPr>
            <w:r>
              <w:t>INOVA 3.0 — ScanSource Brasil</w:t>
            </w:r>
          </w:p>
        </w:tc>
      </w:tr>
      <w:tr w:rsidR="007601A3" w:rsidRPr="00DF446C" w14:paraId="64268419" w14:textId="77777777">
        <w:tc>
          <w:tcPr>
            <w:tcW w:w="0" w:type="auto"/>
          </w:tcPr>
          <w:p w14:paraId="64268417" w14:textId="77777777" w:rsidR="007601A3" w:rsidRDefault="00000000">
            <w:pPr>
              <w:pStyle w:val="Compact"/>
            </w:pPr>
            <w:r>
              <w:rPr>
                <w:b/>
                <w:bCs/>
              </w:rPr>
              <w:t>Equipe</w:t>
            </w:r>
          </w:p>
        </w:tc>
        <w:tc>
          <w:tcPr>
            <w:tcW w:w="0" w:type="auto"/>
          </w:tcPr>
          <w:p w14:paraId="64268418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Equipe 3 — Robson Sanchez, João Andrade, Jessica Magalhães</w:t>
            </w:r>
          </w:p>
        </w:tc>
      </w:tr>
      <w:tr w:rsidR="007601A3" w14:paraId="6426841C" w14:textId="77777777">
        <w:tc>
          <w:tcPr>
            <w:tcW w:w="0" w:type="auto"/>
          </w:tcPr>
          <w:p w14:paraId="6426841A" w14:textId="77777777" w:rsidR="007601A3" w:rsidRDefault="00000000">
            <w:pPr>
              <w:pStyle w:val="Compact"/>
            </w:pPr>
            <w:r>
              <w:rPr>
                <w:b/>
                <w:bCs/>
              </w:rPr>
              <w:t>Versão</w:t>
            </w:r>
          </w:p>
        </w:tc>
        <w:tc>
          <w:tcPr>
            <w:tcW w:w="0" w:type="auto"/>
          </w:tcPr>
          <w:p w14:paraId="6426841B" w14:textId="77777777" w:rsidR="007601A3" w:rsidRDefault="00000000">
            <w:pPr>
              <w:pStyle w:val="Compact"/>
            </w:pPr>
            <w:r>
              <w:t>0.1</w:t>
            </w:r>
          </w:p>
        </w:tc>
      </w:tr>
    </w:tbl>
    <w:p w14:paraId="6426841D" w14:textId="77777777" w:rsidR="007601A3" w:rsidRDefault="00000000">
      <w:r>
        <w:pict w14:anchorId="6426849A">
          <v:rect id="_x0000_i1025" style="width:0;height:1.5pt" o:hralign="center" o:hrstd="t" o:hr="t"/>
        </w:pict>
      </w:r>
    </w:p>
    <w:p w14:paraId="6426841E" w14:textId="77777777" w:rsidR="007601A3" w:rsidRPr="00DF446C" w:rsidRDefault="00000000">
      <w:pPr>
        <w:pStyle w:val="Ttulo2"/>
        <w:rPr>
          <w:lang w:val="pt-BR"/>
        </w:rPr>
      </w:pPr>
      <w:bookmarkStart w:id="2" w:name="sumário-executivo"/>
      <w:bookmarkEnd w:id="1"/>
      <w:r w:rsidRPr="00DF446C">
        <w:rPr>
          <w:lang w:val="pt-BR"/>
        </w:rPr>
        <w:t>1. Sumário Executivo</w:t>
      </w:r>
    </w:p>
    <w:p w14:paraId="6426841F" w14:textId="77777777" w:rsidR="007601A3" w:rsidRPr="00DF446C" w:rsidRDefault="00000000">
      <w:pPr>
        <w:pStyle w:val="FirstParagraph"/>
        <w:rPr>
          <w:lang w:val="pt-BR"/>
        </w:rPr>
      </w:pPr>
      <w:r w:rsidRPr="00DF446C">
        <w:rPr>
          <w:lang w:val="pt-BR"/>
        </w:rPr>
        <w:t>A ScanSource distribui produtos e soluções de mais de 500 fabricantes através de suas revendas no Brasil e LATAM. O gargalo comercial recorrente não é falta de portfólio — é a dificuldade de localizar rapidamente, dentro desse portfólio disperso, a solução certa, o produto certo e o preço certo para uma necessidade específica de cliente.</w:t>
      </w:r>
    </w:p>
    <w:p w14:paraId="64268420" w14:textId="77777777" w:rsidR="007601A3" w:rsidRPr="00DF446C" w:rsidRDefault="00000000">
      <w:pPr>
        <w:pStyle w:val="Corpodetexto"/>
        <w:rPr>
          <w:lang w:val="pt-BR"/>
        </w:rPr>
      </w:pPr>
      <w:r w:rsidRPr="00DF446C">
        <w:rPr>
          <w:b/>
          <w:bCs/>
          <w:lang w:val="pt-BR"/>
        </w:rPr>
        <w:t>ASK</w:t>
      </w:r>
      <w:r w:rsidRPr="00DF446C">
        <w:rPr>
          <w:lang w:val="pt-BR"/>
        </w:rPr>
        <w:t xml:space="preserve"> é um blueprint de estrutura agêntica — adaptado de um modelo de referência aberto de mercado — que resolve esse problema por composição e integração, sem exigir reescrita dos sistemas existentes de cada fabricante. </w:t>
      </w:r>
      <w:r w:rsidRPr="00DF446C">
        <w:rPr>
          <w:b/>
          <w:bCs/>
          <w:lang w:val="pt-BR"/>
        </w:rPr>
        <w:t>ASK Revendas</w:t>
      </w:r>
      <w:r w:rsidRPr="00DF446C">
        <w:rPr>
          <w:lang w:val="pt-BR"/>
        </w:rPr>
        <w:t xml:space="preserve"> é a primeira aplicação concreta desse blueprint: um assistente de pesquisa de soluções e precificação, validado com um fabricante piloto.</w:t>
      </w:r>
    </w:p>
    <w:p w14:paraId="64268421" w14:textId="77777777" w:rsidR="007601A3" w:rsidRPr="00DF446C" w:rsidRDefault="00000000">
      <w:pPr>
        <w:pStyle w:val="Corpodetexto"/>
        <w:rPr>
          <w:lang w:val="pt-BR"/>
        </w:rPr>
      </w:pPr>
      <w:r w:rsidRPr="00DF446C">
        <w:rPr>
          <w:lang w:val="pt-BR"/>
        </w:rPr>
        <w:t>A proposta se apresenta como dois produtos distintos e complementares:</w:t>
      </w:r>
    </w:p>
    <w:p w14:paraId="64268422" w14:textId="77777777" w:rsidR="007601A3" w:rsidRPr="00DF446C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DF446C">
        <w:rPr>
          <w:b/>
          <w:bCs/>
          <w:lang w:val="pt-BR"/>
        </w:rPr>
        <w:t>ASK (Blueprint)</w:t>
      </w:r>
      <w:r w:rsidRPr="00DF446C">
        <w:rPr>
          <w:lang w:val="pt-BR"/>
        </w:rPr>
        <w:t xml:space="preserve"> — entra na lista de ofertas de serviço da ScanSource como ativo reaplicável, vendável de novo a cada novo caso de uso ou revenda</w:t>
      </w:r>
    </w:p>
    <w:p w14:paraId="64268423" w14:textId="77777777" w:rsidR="007601A3" w:rsidRPr="00DF446C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DF446C">
        <w:rPr>
          <w:b/>
          <w:bCs/>
          <w:lang w:val="pt-BR"/>
        </w:rPr>
        <w:t>ASK Revendas (MVP)</w:t>
      </w:r>
      <w:r w:rsidRPr="00DF446C">
        <w:rPr>
          <w:lang w:val="pt-BR"/>
        </w:rPr>
        <w:t xml:space="preserve"> — a prova concreta de que o blueprint funciona, aplicada ao caso de pesquisa de produtos e soluções</w:t>
      </w:r>
    </w:p>
    <w:p w14:paraId="64268424" w14:textId="77777777" w:rsidR="007601A3" w:rsidRDefault="00000000">
      <w:r>
        <w:pict w14:anchorId="6426849B">
          <v:rect id="_x0000_i1026" style="width:0;height:1.5pt" o:hralign="center" o:hrstd="t" o:hr="t"/>
        </w:pict>
      </w:r>
    </w:p>
    <w:p w14:paraId="64268425" w14:textId="77777777" w:rsidR="007601A3" w:rsidRDefault="00000000">
      <w:pPr>
        <w:pStyle w:val="Ttulo2"/>
      </w:pPr>
      <w:bookmarkStart w:id="3" w:name="o-problema"/>
      <w:bookmarkEnd w:id="2"/>
      <w:r>
        <w:t>2. O Problema</w:t>
      </w:r>
    </w:p>
    <w:p w14:paraId="64268426" w14:textId="77777777" w:rsidR="007601A3" w:rsidRPr="00DF446C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DF446C">
        <w:rPr>
          <w:lang w:val="pt-BR"/>
        </w:rPr>
        <w:t>Times de pré-vendas e GDN gastam tempo desproporcional interpretando solicitações incompletas de clientes e localizando a solução correta entre centenas de fabricantes</w:t>
      </w:r>
    </w:p>
    <w:p w14:paraId="64268427" w14:textId="77777777" w:rsidR="007601A3" w:rsidRPr="00DF446C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DF446C">
        <w:rPr>
          <w:lang w:val="pt-BR"/>
        </w:rPr>
        <w:t>Documentação técnica, regras comerciais e price lists vivem em formatos e sistemas diferentes por fabricante, sem padronização</w:t>
      </w:r>
    </w:p>
    <w:p w14:paraId="64268428" w14:textId="77777777" w:rsidR="007601A3" w:rsidRPr="00DF446C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DF446C">
        <w:rPr>
          <w:lang w:val="pt-BR"/>
        </w:rPr>
        <w:t>Respostas a clientes variam em qualidade e consistência conforme o conhecimento individual de quem atende</w:t>
      </w:r>
    </w:p>
    <w:p w14:paraId="64268429" w14:textId="5798F46D" w:rsidR="007601A3" w:rsidRPr="00DF446C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DF446C">
        <w:rPr>
          <w:lang w:val="pt-BR"/>
        </w:rPr>
        <w:t>Nenhum time centralizado consegue, de forma sustentável, dominar o portfólio de 500+ fabricantes — a estrutura atual depende de conhecimento individual concentrado em poucas pessoas</w:t>
      </w:r>
      <w:r w:rsidR="005C7498">
        <w:rPr>
          <w:lang w:val="pt-BR"/>
        </w:rPr>
        <w:t>.</w:t>
      </w:r>
    </w:p>
    <w:p w14:paraId="6426842A" w14:textId="77777777" w:rsidR="007601A3" w:rsidRDefault="00000000">
      <w:r>
        <w:pict w14:anchorId="6426849C">
          <v:rect id="_x0000_i1027" style="width:0;height:1.5pt" o:hralign="center" o:hrstd="t" o:hr="t"/>
        </w:pict>
      </w:r>
    </w:p>
    <w:p w14:paraId="6426842B" w14:textId="77777777" w:rsidR="007601A3" w:rsidRPr="00DF446C" w:rsidRDefault="00000000">
      <w:pPr>
        <w:pStyle w:val="Ttulo2"/>
        <w:rPr>
          <w:lang w:val="pt-BR"/>
        </w:rPr>
      </w:pPr>
      <w:bookmarkStart w:id="4" w:name="a-solução"/>
      <w:bookmarkEnd w:id="3"/>
      <w:r w:rsidRPr="00DF446C">
        <w:rPr>
          <w:lang w:val="pt-BR"/>
        </w:rPr>
        <w:lastRenderedPageBreak/>
        <w:t>3. A Solução</w:t>
      </w:r>
    </w:p>
    <w:p w14:paraId="6426842C" w14:textId="77777777" w:rsidR="007601A3" w:rsidRPr="00DF446C" w:rsidRDefault="00000000">
      <w:pPr>
        <w:pStyle w:val="Ttulo3"/>
        <w:rPr>
          <w:lang w:val="pt-BR"/>
        </w:rPr>
      </w:pPr>
      <w:bookmarkStart w:id="5" w:name="princípio-de-design"/>
      <w:r w:rsidRPr="00DF446C">
        <w:rPr>
          <w:lang w:val="pt-BR"/>
        </w:rPr>
        <w:t>3.1 Princípio de design</w:t>
      </w:r>
    </w:p>
    <w:p w14:paraId="6426842D" w14:textId="77777777" w:rsidR="007601A3" w:rsidRPr="00DF446C" w:rsidRDefault="00000000">
      <w:pPr>
        <w:pStyle w:val="FirstParagraph"/>
        <w:rPr>
          <w:lang w:val="pt-BR"/>
        </w:rPr>
      </w:pPr>
      <w:r w:rsidRPr="00DF446C">
        <w:rPr>
          <w:i/>
          <w:iCs/>
          <w:lang w:val="pt-BR"/>
        </w:rPr>
        <w:t>Colcha de retalhos bem feita</w:t>
      </w:r>
      <w:r w:rsidRPr="00DF446C">
        <w:rPr>
          <w:lang w:val="pt-BR"/>
        </w:rPr>
        <w:t>: integrar e orquestrar o conhecimento já existente em cada fabricante, sem reescrever ou substituir nada. O valor está na composição, não na centralização.</w:t>
      </w:r>
    </w:p>
    <w:p w14:paraId="6426842E" w14:textId="77777777" w:rsidR="007601A3" w:rsidRPr="00DF446C" w:rsidRDefault="00000000">
      <w:pPr>
        <w:pStyle w:val="Ttulo3"/>
        <w:rPr>
          <w:lang w:val="pt-BR"/>
        </w:rPr>
      </w:pPr>
      <w:bookmarkStart w:id="6" w:name="Xeda5512c89ebbd4fc00aad7358be9152465f319"/>
      <w:bookmarkEnd w:id="5"/>
      <w:r w:rsidRPr="00DF446C">
        <w:rPr>
          <w:lang w:val="pt-BR"/>
        </w:rPr>
        <w:t>3.2 Arquitetura (versão simplificada para apresentação)</w:t>
      </w:r>
    </w:p>
    <w:p w14:paraId="6426842F" w14:textId="77777777" w:rsidR="007601A3" w:rsidRPr="00DF446C" w:rsidRDefault="00000000">
      <w:pPr>
        <w:pStyle w:val="SourceCode"/>
        <w:rPr>
          <w:lang w:val="pt-BR"/>
        </w:rPr>
      </w:pPr>
      <w:r w:rsidRPr="00DF446C">
        <w:rPr>
          <w:rStyle w:val="VerbatimChar"/>
          <w:lang w:val="pt-BR"/>
        </w:rPr>
        <w:t>Usuário (pré-vendas) → Classificador → Orquestrador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                       │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       ┌───────────────┴───────────────┐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       ▼                                ▼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Agente Pré-vendas                Agente Arquiteto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(produto, preço,                 (cenário técnico,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disponibilidade)                 desenho de solução)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       │                                │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       └───────────────┬────────────────┘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                        ▼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         Bases de conhecimento por fabricante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       (documentação técnica + regras comerciais)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                        │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                        ▼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             Avaliador de resposta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         (rejeita resposta sem fonte citada)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                        │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                        ▼</w:t>
      </w:r>
      <w:r w:rsidRPr="00DF446C">
        <w:rPr>
          <w:lang w:val="pt-BR"/>
        </w:rPr>
        <w:br/>
      </w:r>
      <w:r w:rsidRPr="00DF446C">
        <w:rPr>
          <w:rStyle w:val="VerbatimChar"/>
          <w:lang w:val="pt-BR"/>
        </w:rPr>
        <w:t xml:space="preserve">                          Resposta final + citação da fonte consultada</w:t>
      </w:r>
    </w:p>
    <w:p w14:paraId="64268430" w14:textId="77777777" w:rsidR="007601A3" w:rsidRPr="00DF446C" w:rsidRDefault="00000000">
      <w:pPr>
        <w:pStyle w:val="Ttulo3"/>
        <w:rPr>
          <w:lang w:val="pt-BR"/>
        </w:rPr>
      </w:pPr>
      <w:bookmarkStart w:id="7" w:name="Xca7e6b5a5ad40d41ac9c9a60d7a223f1c097454"/>
      <w:bookmarkEnd w:id="6"/>
      <w:r w:rsidRPr="00DF446C">
        <w:rPr>
          <w:lang w:val="pt-BR"/>
        </w:rPr>
        <w:t>3.3 Modelo de propriedade federado (diferencial de escalabilidade)</w:t>
      </w:r>
    </w:p>
    <w:p w14:paraId="64268431" w14:textId="77777777" w:rsidR="007601A3" w:rsidRPr="00DF446C" w:rsidRDefault="00000000">
      <w:pPr>
        <w:pStyle w:val="FirstParagraph"/>
        <w:rPr>
          <w:lang w:val="pt-BR"/>
        </w:rPr>
      </w:pPr>
      <w:r w:rsidRPr="00DF446C">
        <w:rPr>
          <w:lang w:val="pt-BR"/>
        </w:rPr>
        <w:t xml:space="preserve">Nenhum time central mantém as bases de conhecimento. Cada base e nó especializado é de responsabilidade do próprio time de arquitetos e pré-vendas do fabricante correspondente. A inclusão de um novo fabricante acontece via </w:t>
      </w:r>
      <w:r w:rsidRPr="00DF446C">
        <w:rPr>
          <w:b/>
          <w:bCs/>
          <w:lang w:val="pt-BR"/>
        </w:rPr>
        <w:t>formulário de intake self-service</w:t>
      </w:r>
      <w:r w:rsidRPr="00DF446C">
        <w:rPr>
          <w:lang w:val="pt-BR"/>
        </w:rPr>
        <w:t xml:space="preserve"> — sem exigir código ou configuração técnica de quem não é do time de desenvolvimento. É este mecanismo, mais do que o agente de resposta isoladamente, que torna a solução escalável para 500+ fabricantes sem crescer o time central.</w:t>
      </w:r>
    </w:p>
    <w:p w14:paraId="64268432" w14:textId="77777777" w:rsidR="007601A3" w:rsidRPr="00DF446C" w:rsidRDefault="00000000">
      <w:pPr>
        <w:pStyle w:val="Ttulo3"/>
        <w:rPr>
          <w:lang w:val="pt-BR"/>
        </w:rPr>
      </w:pPr>
      <w:bookmarkStart w:id="8" w:name="adaptação-técnica-principal"/>
      <w:bookmarkEnd w:id="7"/>
      <w:r w:rsidRPr="00DF446C">
        <w:rPr>
          <w:lang w:val="pt-BR"/>
        </w:rPr>
        <w:t>3.4 Adaptação técnica principal</w:t>
      </w:r>
    </w:p>
    <w:p w14:paraId="64268433" w14:textId="77777777" w:rsidR="007601A3" w:rsidRPr="00DF446C" w:rsidRDefault="00000000">
      <w:pPr>
        <w:pStyle w:val="FirstParagraph"/>
        <w:rPr>
          <w:lang w:val="pt-BR"/>
        </w:rPr>
      </w:pPr>
      <w:r w:rsidRPr="00DF446C">
        <w:rPr>
          <w:lang w:val="pt-BR"/>
        </w:rPr>
        <w:t xml:space="preserve">O blueprint de referência original depende de infraestrutura de inferência específica de um único fornecedor (licenciamento próprio). A adaptação da ScanSource substitui essa camada por </w:t>
      </w:r>
      <w:r w:rsidRPr="00DF446C">
        <w:rPr>
          <w:b/>
          <w:bCs/>
          <w:lang w:val="pt-BR"/>
        </w:rPr>
        <w:t>modelos gerenciados nativos de cloud (Azure, com portabilidade documentada para OCI)</w:t>
      </w:r>
      <w:r w:rsidRPr="00DF446C">
        <w:rPr>
          <w:lang w:val="pt-BR"/>
        </w:rPr>
        <w:t>, eliminando a dependência de licenciamento adicional do cliente final — ampliando o público de revendas que conseguem adotar a solução, independentemente de terem ou não licenças de plataformas de IA corporativa mais restritivas.</w:t>
      </w:r>
    </w:p>
    <w:p w14:paraId="64268434" w14:textId="77777777" w:rsidR="007601A3" w:rsidRDefault="00000000">
      <w:r>
        <w:pict w14:anchorId="6426849D">
          <v:rect id="_x0000_i1028" style="width:0;height:1.5pt" o:hralign="center" o:hrstd="t" o:hr="t"/>
        </w:pict>
      </w:r>
    </w:p>
    <w:p w14:paraId="64268435" w14:textId="77777777" w:rsidR="007601A3" w:rsidRDefault="00000000">
      <w:pPr>
        <w:pStyle w:val="Ttulo2"/>
      </w:pPr>
      <w:bookmarkStart w:id="9" w:name="mercado-e-público-alvo"/>
      <w:bookmarkEnd w:id="4"/>
      <w:bookmarkEnd w:id="8"/>
      <w:r>
        <w:lastRenderedPageBreak/>
        <w:t>4. Mercado e Público-Alvo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73"/>
        <w:gridCol w:w="3809"/>
        <w:gridCol w:w="2472"/>
      </w:tblGrid>
      <w:tr w:rsidR="007601A3" w14:paraId="64268439" w14:textId="77777777" w:rsidTr="00760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268436" w14:textId="77777777" w:rsidR="007601A3" w:rsidRDefault="00000000">
            <w:pPr>
              <w:pStyle w:val="Compact"/>
            </w:pPr>
            <w:r>
              <w:t>Segmento</w:t>
            </w:r>
          </w:p>
        </w:tc>
        <w:tc>
          <w:tcPr>
            <w:tcW w:w="0" w:type="auto"/>
          </w:tcPr>
          <w:p w14:paraId="64268437" w14:textId="77777777" w:rsidR="007601A3" w:rsidRDefault="00000000">
            <w:pPr>
              <w:pStyle w:val="Compact"/>
            </w:pPr>
            <w:r>
              <w:t>Necessidade</w:t>
            </w:r>
          </w:p>
        </w:tc>
        <w:tc>
          <w:tcPr>
            <w:tcW w:w="0" w:type="auto"/>
          </w:tcPr>
          <w:p w14:paraId="64268438" w14:textId="77777777" w:rsidR="007601A3" w:rsidRDefault="00000000">
            <w:pPr>
              <w:pStyle w:val="Compact"/>
            </w:pPr>
            <w:r>
              <w:t>Como o ASK atende</w:t>
            </w:r>
          </w:p>
        </w:tc>
      </w:tr>
      <w:tr w:rsidR="007601A3" w:rsidRPr="00DF446C" w14:paraId="6426843D" w14:textId="77777777">
        <w:tc>
          <w:tcPr>
            <w:tcW w:w="0" w:type="auto"/>
          </w:tcPr>
          <w:p w14:paraId="6426843A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Times de pré-vendas ScanSource</w:t>
            </w:r>
          </w:p>
        </w:tc>
        <w:tc>
          <w:tcPr>
            <w:tcW w:w="0" w:type="auto"/>
          </w:tcPr>
          <w:p w14:paraId="6426843B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Resposta rápida sobre produto/preço/licenciamento</w:t>
            </w:r>
          </w:p>
        </w:tc>
        <w:tc>
          <w:tcPr>
            <w:tcW w:w="0" w:type="auto"/>
          </w:tcPr>
          <w:p w14:paraId="6426843C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Agente pré-vendas com resposta citada</w:t>
            </w:r>
          </w:p>
        </w:tc>
      </w:tr>
      <w:tr w:rsidR="007601A3" w:rsidRPr="00DF446C" w14:paraId="64268441" w14:textId="77777777">
        <w:tc>
          <w:tcPr>
            <w:tcW w:w="0" w:type="auto"/>
          </w:tcPr>
          <w:p w14:paraId="6426843E" w14:textId="77777777" w:rsidR="007601A3" w:rsidRDefault="00000000">
            <w:pPr>
              <w:pStyle w:val="Compact"/>
            </w:pPr>
            <w:r>
              <w:t>Arquitetos de solução ScanSource</w:t>
            </w:r>
          </w:p>
        </w:tc>
        <w:tc>
          <w:tcPr>
            <w:tcW w:w="0" w:type="auto"/>
          </w:tcPr>
          <w:p w14:paraId="6426843F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Desenho de cenários multi-produto</w:t>
            </w:r>
          </w:p>
        </w:tc>
        <w:tc>
          <w:tcPr>
            <w:tcW w:w="0" w:type="auto"/>
          </w:tcPr>
          <w:p w14:paraId="64268440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Agente arquiteto, caminho de pesquisa aprofundada</w:t>
            </w:r>
          </w:p>
        </w:tc>
      </w:tr>
      <w:tr w:rsidR="007601A3" w:rsidRPr="00DF446C" w14:paraId="64268445" w14:textId="77777777">
        <w:tc>
          <w:tcPr>
            <w:tcW w:w="0" w:type="auto"/>
          </w:tcPr>
          <w:p w14:paraId="64268442" w14:textId="77777777" w:rsidR="007601A3" w:rsidRDefault="00000000">
            <w:pPr>
              <w:pStyle w:val="Compact"/>
            </w:pPr>
            <w:r>
              <w:t>Revendas parceiras</w:t>
            </w:r>
          </w:p>
        </w:tc>
        <w:tc>
          <w:tcPr>
            <w:tcW w:w="0" w:type="auto"/>
          </w:tcPr>
          <w:p w14:paraId="64268443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Acesso a conhecimento de fabricantes sem dominar todo o portfólio</w:t>
            </w:r>
          </w:p>
        </w:tc>
        <w:tc>
          <w:tcPr>
            <w:tcW w:w="0" w:type="auto"/>
          </w:tcPr>
          <w:p w14:paraId="64268444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Oferta de agente disponibilizada com volume de chamadas definido, cobrável</w:t>
            </w:r>
          </w:p>
        </w:tc>
      </w:tr>
      <w:tr w:rsidR="007601A3" w14:paraId="64268449" w14:textId="77777777">
        <w:tc>
          <w:tcPr>
            <w:tcW w:w="0" w:type="auto"/>
          </w:tcPr>
          <w:p w14:paraId="64268446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Times de fabricantes/arquitetos por vendor</w:t>
            </w:r>
          </w:p>
        </w:tc>
        <w:tc>
          <w:tcPr>
            <w:tcW w:w="0" w:type="auto"/>
          </w:tcPr>
          <w:p w14:paraId="64268447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Manter seu próprio conhecimento atualizado sem depender de time central</w:t>
            </w:r>
          </w:p>
        </w:tc>
        <w:tc>
          <w:tcPr>
            <w:tcW w:w="0" w:type="auto"/>
          </w:tcPr>
          <w:p w14:paraId="64268448" w14:textId="77777777" w:rsidR="007601A3" w:rsidRDefault="00000000">
            <w:pPr>
              <w:pStyle w:val="Compact"/>
            </w:pPr>
            <w:r>
              <w:t>Onboarding self-service via intake</w:t>
            </w:r>
          </w:p>
        </w:tc>
      </w:tr>
    </w:tbl>
    <w:p w14:paraId="6426844A" w14:textId="77777777" w:rsidR="007601A3" w:rsidRDefault="00000000">
      <w:r>
        <w:pict w14:anchorId="6426849E">
          <v:rect id="_x0000_i1029" style="width:0;height:1.5pt" o:hralign="center" o:hrstd="t" o:hr="t"/>
        </w:pict>
      </w:r>
    </w:p>
    <w:p w14:paraId="6426844B" w14:textId="77777777" w:rsidR="007601A3" w:rsidRPr="00DF446C" w:rsidRDefault="00000000">
      <w:pPr>
        <w:pStyle w:val="Ttulo2"/>
        <w:rPr>
          <w:lang w:val="pt-BR"/>
        </w:rPr>
      </w:pPr>
      <w:bookmarkStart w:id="10" w:name="modelo-de-negócio"/>
      <w:bookmarkEnd w:id="9"/>
      <w:r w:rsidRPr="00DF446C">
        <w:rPr>
          <w:lang w:val="pt-BR"/>
        </w:rPr>
        <w:t>5. Modelo de Negócio</w:t>
      </w:r>
    </w:p>
    <w:p w14:paraId="6426844C" w14:textId="77777777" w:rsidR="007601A3" w:rsidRPr="00DF446C" w:rsidRDefault="00000000">
      <w:pPr>
        <w:pStyle w:val="Ttulo3"/>
        <w:rPr>
          <w:lang w:val="pt-BR"/>
        </w:rPr>
      </w:pPr>
      <w:bookmarkStart w:id="11" w:name="duas-frentes-de-receita"/>
      <w:r w:rsidRPr="00DF446C">
        <w:rPr>
          <w:lang w:val="pt-BR"/>
        </w:rPr>
        <w:t>5.1 Duas frentes de receita</w:t>
      </w:r>
    </w:p>
    <w:p w14:paraId="6426844D" w14:textId="77777777" w:rsidR="007601A3" w:rsidRPr="00DF446C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DF446C">
        <w:rPr>
          <w:b/>
          <w:bCs/>
          <w:lang w:val="pt-BR"/>
        </w:rPr>
        <w:t>Blueprint ASK como oferta de serviço</w:t>
      </w:r>
      <w:r w:rsidRPr="00DF446C">
        <w:rPr>
          <w:lang w:val="pt-BR"/>
        </w:rPr>
        <w:t xml:space="preserve"> — implementação para novos casos de uso internos ou para revendas que queiram estrutura própria, cobrada como projeto de implementação</w:t>
      </w:r>
    </w:p>
    <w:p w14:paraId="6426844E" w14:textId="77777777" w:rsidR="007601A3" w:rsidRPr="00DF446C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DF446C">
        <w:rPr>
          <w:b/>
          <w:bCs/>
          <w:lang w:val="pt-BR"/>
        </w:rPr>
        <w:t>ASK Revendas como serviço consumível</w:t>
      </w:r>
      <w:r w:rsidRPr="00DF446C">
        <w:rPr>
          <w:lang w:val="pt-BR"/>
        </w:rPr>
        <w:t xml:space="preserve"> — a Scan disponibiliza o agente às revendas com quantidade definida de chamadas por dia, cobrando pelo serviço; aumenta receita por consumo de cloud, alinhado à prioridade estratégica já sinalizada por Microsoft e Oracle de crescimento de consumo</w:t>
      </w:r>
    </w:p>
    <w:p w14:paraId="6426844F" w14:textId="77777777" w:rsidR="007601A3" w:rsidRDefault="00000000">
      <w:pPr>
        <w:pStyle w:val="Ttulo3"/>
      </w:pPr>
      <w:bookmarkStart w:id="12" w:name="estrutura-de-custo"/>
      <w:bookmarkEnd w:id="11"/>
      <w:r>
        <w:t>5.2 Estrutura de custo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792"/>
        <w:gridCol w:w="5262"/>
      </w:tblGrid>
      <w:tr w:rsidR="007601A3" w14:paraId="64268452" w14:textId="77777777" w:rsidTr="00760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268450" w14:textId="77777777" w:rsidR="007601A3" w:rsidRDefault="00000000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64268451" w14:textId="77777777" w:rsidR="007601A3" w:rsidRDefault="00000000">
            <w:pPr>
              <w:pStyle w:val="Compact"/>
            </w:pPr>
            <w:r>
              <w:t>Natureza do custo</w:t>
            </w:r>
          </w:p>
        </w:tc>
      </w:tr>
      <w:tr w:rsidR="007601A3" w:rsidRPr="00DF446C" w14:paraId="64268455" w14:textId="77777777">
        <w:tc>
          <w:tcPr>
            <w:tcW w:w="0" w:type="auto"/>
          </w:tcPr>
          <w:p w14:paraId="64268453" w14:textId="77777777" w:rsidR="007601A3" w:rsidRDefault="00000000">
            <w:pPr>
              <w:pStyle w:val="Compact"/>
            </w:pPr>
            <w:r>
              <w:t>Compute (modelo gerenciado Azure)</w:t>
            </w:r>
          </w:p>
        </w:tc>
        <w:tc>
          <w:tcPr>
            <w:tcW w:w="0" w:type="auto"/>
          </w:tcPr>
          <w:p w14:paraId="64268454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Variável, por hora de compute/chamada — mais previsível que custo por token de API hospedada externamente</w:t>
            </w:r>
          </w:p>
        </w:tc>
      </w:tr>
      <w:tr w:rsidR="007601A3" w:rsidRPr="00DF446C" w14:paraId="64268458" w14:textId="77777777">
        <w:tc>
          <w:tcPr>
            <w:tcW w:w="0" w:type="auto"/>
          </w:tcPr>
          <w:p w14:paraId="64268456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Assinatura de terceiros (ex. Adobe, se adotado para Base X documental)</w:t>
            </w:r>
          </w:p>
        </w:tc>
        <w:tc>
          <w:tcPr>
            <w:tcW w:w="0" w:type="auto"/>
          </w:tcPr>
          <w:p w14:paraId="64268457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Fixa mensal, baixo valor unitário</w:t>
            </w:r>
          </w:p>
        </w:tc>
      </w:tr>
      <w:tr w:rsidR="007601A3" w:rsidRPr="00DF446C" w14:paraId="6426845B" w14:textId="77777777">
        <w:tc>
          <w:tcPr>
            <w:tcW w:w="0" w:type="auto"/>
          </w:tcPr>
          <w:p w14:paraId="64268459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Manutenção das bases de conhecimento</w:t>
            </w:r>
          </w:p>
        </w:tc>
        <w:tc>
          <w:tcPr>
            <w:tcW w:w="0" w:type="auto"/>
          </w:tcPr>
          <w:p w14:paraId="6426845A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Distribuída — cada fabricante mantém a própria (custo não centralizado na ScanSource)</w:t>
            </w:r>
          </w:p>
        </w:tc>
      </w:tr>
      <w:tr w:rsidR="007601A3" w:rsidRPr="00DF446C" w14:paraId="6426845E" w14:textId="77777777">
        <w:tc>
          <w:tcPr>
            <w:tcW w:w="0" w:type="auto"/>
          </w:tcPr>
          <w:p w14:paraId="6426845C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Time de desenvolvimento do blueprint</w:t>
            </w:r>
          </w:p>
        </w:tc>
        <w:tc>
          <w:tcPr>
            <w:tcW w:w="0" w:type="auto"/>
          </w:tcPr>
          <w:p w14:paraId="6426845D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Interno, já alocado (sem headcount adicional na fase de MVP)</w:t>
            </w:r>
          </w:p>
        </w:tc>
      </w:tr>
    </w:tbl>
    <w:p w14:paraId="6426845F" w14:textId="77777777" w:rsidR="007601A3" w:rsidRPr="00DF446C" w:rsidRDefault="00000000">
      <w:pPr>
        <w:pStyle w:val="Textoembloco"/>
        <w:rPr>
          <w:lang w:val="pt-BR"/>
        </w:rPr>
      </w:pPr>
      <w:r w:rsidRPr="00DF446C">
        <w:rPr>
          <w:lang w:val="pt-BR"/>
        </w:rPr>
        <w:t>Metodologia detalhada de precificação por chamada/revenda será formalizada no Canvas Financeiro (documento complementar).</w:t>
      </w:r>
    </w:p>
    <w:p w14:paraId="64268460" w14:textId="77777777" w:rsidR="007601A3" w:rsidRDefault="00000000">
      <w:r>
        <w:pict w14:anchorId="6426849F">
          <v:rect id="_x0000_i1030" style="width:0;height:1.5pt" o:hralign="center" o:hrstd="t" o:hr="t"/>
        </w:pict>
      </w:r>
    </w:p>
    <w:p w14:paraId="64268461" w14:textId="77777777" w:rsidR="007601A3" w:rsidRPr="00DF446C" w:rsidRDefault="00000000">
      <w:pPr>
        <w:pStyle w:val="Ttulo2"/>
        <w:rPr>
          <w:lang w:val="pt-BR"/>
        </w:rPr>
      </w:pPr>
      <w:bookmarkStart w:id="13" w:name="diferenciação"/>
      <w:bookmarkEnd w:id="10"/>
      <w:bookmarkEnd w:id="12"/>
      <w:r w:rsidRPr="00DF446C">
        <w:rPr>
          <w:lang w:val="pt-BR"/>
        </w:rPr>
        <w:lastRenderedPageBreak/>
        <w:t>6. Diferenciação</w:t>
      </w:r>
    </w:p>
    <w:p w14:paraId="64268462" w14:textId="77777777" w:rsidR="007601A3" w:rsidRPr="00DF446C" w:rsidRDefault="00000000">
      <w:pPr>
        <w:pStyle w:val="FirstParagraph"/>
        <w:rPr>
          <w:lang w:val="pt-BR"/>
        </w:rPr>
      </w:pPr>
      <w:r w:rsidRPr="00DF446C">
        <w:rPr>
          <w:b/>
          <w:bCs/>
          <w:lang w:val="pt-BR"/>
        </w:rPr>
        <w:t>Pergunta esperada da banca: “isso não é apenas o produto de um fornecedor de mercado?”</w:t>
      </w:r>
    </w:p>
    <w:p w14:paraId="64268463" w14:textId="77777777" w:rsidR="007601A3" w:rsidRPr="00DF446C" w:rsidRDefault="00000000">
      <w:pPr>
        <w:pStyle w:val="Corpodetexto"/>
        <w:rPr>
          <w:lang w:val="pt-BR"/>
        </w:rPr>
      </w:pPr>
      <w:r w:rsidRPr="00DF446C">
        <w:rPr>
          <w:lang w:val="pt-BR"/>
        </w:rPr>
        <w:t>Resposta: o motor de orquestração é adaptado de um modelo de referência aberto, mas o valor proprietário da ScanSource está em três elementos que não vêm prontos: 1. A curadoria e estruturação das bases de conhecimento por fabricante, específicas do portfólio ScanSource 2. O framework de intake self-service que permite escalar para 500+ fabricantes sem crescer o time central 3. A adaptação de hospedagem que remove a dependência de licenciamento proprietário adicional, ampliando o público de revendas capazes de adotar a solução</w:t>
      </w:r>
    </w:p>
    <w:p w14:paraId="64268464" w14:textId="77777777" w:rsidR="007601A3" w:rsidRDefault="00000000">
      <w:r>
        <w:pict w14:anchorId="642684A0">
          <v:rect id="_x0000_i1031" style="width:0;height:1.5pt" o:hralign="center" o:hrstd="t" o:hr="t"/>
        </w:pict>
      </w:r>
    </w:p>
    <w:p w14:paraId="64268465" w14:textId="77777777" w:rsidR="007601A3" w:rsidRDefault="00000000">
      <w:pPr>
        <w:pStyle w:val="Ttulo2"/>
      </w:pPr>
      <w:bookmarkStart w:id="14" w:name="riscos-e-mitigação"/>
      <w:bookmarkEnd w:id="13"/>
      <w:r>
        <w:t>7. Riscos e Mitigação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135"/>
        <w:gridCol w:w="4919"/>
      </w:tblGrid>
      <w:tr w:rsidR="007601A3" w14:paraId="64268468" w14:textId="77777777" w:rsidTr="00760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268466" w14:textId="77777777" w:rsidR="007601A3" w:rsidRDefault="00000000">
            <w:pPr>
              <w:pStyle w:val="Compact"/>
            </w:pPr>
            <w:r>
              <w:t>Risco</w:t>
            </w:r>
          </w:p>
        </w:tc>
        <w:tc>
          <w:tcPr>
            <w:tcW w:w="0" w:type="auto"/>
          </w:tcPr>
          <w:p w14:paraId="64268467" w14:textId="77777777" w:rsidR="007601A3" w:rsidRDefault="00000000">
            <w:pPr>
              <w:pStyle w:val="Compact"/>
            </w:pPr>
            <w:r>
              <w:t>Mitigação</w:t>
            </w:r>
          </w:p>
        </w:tc>
      </w:tr>
      <w:tr w:rsidR="007601A3" w:rsidRPr="00DF446C" w14:paraId="6426846B" w14:textId="77777777">
        <w:tc>
          <w:tcPr>
            <w:tcW w:w="0" w:type="auto"/>
          </w:tcPr>
          <w:p w14:paraId="64268469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Dependência de disponibilidade dos times de fabricante para alimentar suas bases</w:t>
            </w:r>
          </w:p>
        </w:tc>
        <w:tc>
          <w:tcPr>
            <w:tcW w:w="0" w:type="auto"/>
          </w:tcPr>
          <w:p w14:paraId="6426846A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Modelo de intake reduz o esforço necessário; validação de sucesso do onboarding é critério de aceite do MVP</w:t>
            </w:r>
          </w:p>
        </w:tc>
      </w:tr>
      <w:tr w:rsidR="007601A3" w:rsidRPr="00DF446C" w14:paraId="6426846E" w14:textId="77777777">
        <w:tc>
          <w:tcPr>
            <w:tcW w:w="0" w:type="auto"/>
          </w:tcPr>
          <w:p w14:paraId="6426846C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Custo de inferência escalar com volume de chamadas em cenário de produção</w:t>
            </w:r>
          </w:p>
        </w:tc>
        <w:tc>
          <w:tcPr>
            <w:tcW w:w="0" w:type="auto"/>
          </w:tcPr>
          <w:p w14:paraId="6426846D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Modelo de custo por compute gerenciado, mais previsível que custo variável por token; monitorar volume real no piloto</w:t>
            </w:r>
          </w:p>
        </w:tc>
      </w:tr>
      <w:tr w:rsidR="007601A3" w:rsidRPr="00DF446C" w14:paraId="64268471" w14:textId="77777777">
        <w:tc>
          <w:tcPr>
            <w:tcW w:w="0" w:type="auto"/>
          </w:tcPr>
          <w:p w14:paraId="6426846F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Qualidade de resposta inconsistente entre fabricantes com documentação desorganizada</w:t>
            </w:r>
          </w:p>
        </w:tc>
        <w:tc>
          <w:tcPr>
            <w:tcW w:w="0" w:type="auto"/>
          </w:tcPr>
          <w:p w14:paraId="64268470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Avaliador de resposta rejeita respostas sem fonte citada, forçando qualidade mínima antes da entrega ao usuário</w:t>
            </w:r>
          </w:p>
        </w:tc>
      </w:tr>
      <w:tr w:rsidR="007601A3" w:rsidRPr="00DF446C" w14:paraId="64268474" w14:textId="77777777">
        <w:tc>
          <w:tcPr>
            <w:tcW w:w="0" w:type="auto"/>
          </w:tcPr>
          <w:p w14:paraId="64268472" w14:textId="77777777" w:rsidR="007601A3" w:rsidRDefault="00000000">
            <w:pPr>
              <w:pStyle w:val="Compact"/>
            </w:pPr>
            <w:r>
              <w:t>Adoção lenta por revendas</w:t>
            </w:r>
          </w:p>
        </w:tc>
        <w:tc>
          <w:tcPr>
            <w:tcW w:w="0" w:type="auto"/>
          </w:tcPr>
          <w:p w14:paraId="64268473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Começar com fabricante piloto de alta relevância comercial e casos de uso concretos e mensuráveis</w:t>
            </w:r>
          </w:p>
        </w:tc>
      </w:tr>
    </w:tbl>
    <w:p w14:paraId="64268475" w14:textId="77777777" w:rsidR="007601A3" w:rsidRDefault="00000000">
      <w:r>
        <w:pict w14:anchorId="642684A1">
          <v:rect id="_x0000_i1032" style="width:0;height:1.5pt" o:hralign="center" o:hrstd="t" o:hr="t"/>
        </w:pict>
      </w:r>
    </w:p>
    <w:p w14:paraId="64268476" w14:textId="77777777" w:rsidR="007601A3" w:rsidRDefault="00000000">
      <w:pPr>
        <w:pStyle w:val="Ttulo2"/>
      </w:pPr>
      <w:bookmarkStart w:id="15" w:name="plano-de-escala"/>
      <w:bookmarkEnd w:id="14"/>
      <w:r>
        <w:t>8. Plano de Escala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54"/>
        <w:gridCol w:w="7700"/>
      </w:tblGrid>
      <w:tr w:rsidR="007601A3" w14:paraId="64268479" w14:textId="77777777" w:rsidTr="00760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268477" w14:textId="77777777" w:rsidR="007601A3" w:rsidRDefault="00000000">
            <w:pPr>
              <w:pStyle w:val="Compact"/>
            </w:pPr>
            <w:r>
              <w:t>Horizonte</w:t>
            </w:r>
          </w:p>
        </w:tc>
        <w:tc>
          <w:tcPr>
            <w:tcW w:w="0" w:type="auto"/>
          </w:tcPr>
          <w:p w14:paraId="64268478" w14:textId="77777777" w:rsidR="007601A3" w:rsidRDefault="00000000">
            <w:pPr>
              <w:pStyle w:val="Compact"/>
            </w:pPr>
            <w:r>
              <w:t>Objetivo</w:t>
            </w:r>
          </w:p>
        </w:tc>
      </w:tr>
      <w:tr w:rsidR="007601A3" w:rsidRPr="00DF446C" w14:paraId="6426847C" w14:textId="77777777">
        <w:tc>
          <w:tcPr>
            <w:tcW w:w="0" w:type="auto"/>
          </w:tcPr>
          <w:p w14:paraId="6426847A" w14:textId="77777777" w:rsidR="007601A3" w:rsidRDefault="00000000">
            <w:pPr>
              <w:pStyle w:val="Compact"/>
            </w:pPr>
            <w:r>
              <w:rPr>
                <w:b/>
                <w:bCs/>
              </w:rPr>
              <w:t>0–90 dias</w:t>
            </w:r>
          </w:p>
        </w:tc>
        <w:tc>
          <w:tcPr>
            <w:tcW w:w="0" w:type="auto"/>
          </w:tcPr>
          <w:p w14:paraId="6426847B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Validação do MVP com o fabricante piloto; onboarding de 1–2 fabricantes adicionais via intake self-service</w:t>
            </w:r>
          </w:p>
        </w:tc>
      </w:tr>
      <w:tr w:rsidR="007601A3" w:rsidRPr="00DF446C" w14:paraId="6426847F" w14:textId="77777777">
        <w:tc>
          <w:tcPr>
            <w:tcW w:w="0" w:type="auto"/>
          </w:tcPr>
          <w:p w14:paraId="6426847D" w14:textId="77777777" w:rsidR="007601A3" w:rsidRDefault="00000000">
            <w:pPr>
              <w:pStyle w:val="Compact"/>
            </w:pPr>
            <w:r>
              <w:rPr>
                <w:b/>
                <w:bCs/>
              </w:rPr>
              <w:t>90–180 dias</w:t>
            </w:r>
          </w:p>
        </w:tc>
        <w:tc>
          <w:tcPr>
            <w:tcW w:w="0" w:type="auto"/>
          </w:tcPr>
          <w:p w14:paraId="6426847E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Expansão para um grupo definido de fabricantes prioritários; formalização do modelo de cobrança por consumo com revendas piloto</w:t>
            </w:r>
          </w:p>
        </w:tc>
      </w:tr>
      <w:tr w:rsidR="007601A3" w:rsidRPr="00DF446C" w14:paraId="64268482" w14:textId="77777777">
        <w:tc>
          <w:tcPr>
            <w:tcW w:w="0" w:type="auto"/>
          </w:tcPr>
          <w:p w14:paraId="64268480" w14:textId="77777777" w:rsidR="007601A3" w:rsidRDefault="00000000">
            <w:pPr>
              <w:pStyle w:val="Compact"/>
            </w:pPr>
            <w:r>
              <w:rPr>
                <w:b/>
                <w:bCs/>
              </w:rPr>
              <w:t>180–365 dias</w:t>
            </w:r>
          </w:p>
        </w:tc>
        <w:tc>
          <w:tcPr>
            <w:tcW w:w="0" w:type="auto"/>
          </w:tcPr>
          <w:p w14:paraId="64268481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Disponibilização do blueprint como oferta de catálogo formal da ScanSource; expansão a revendas conforme plano de entrada no mercado (contato com número definido de revendas, demonstrações estruturadas, campanhas de geração de demanda)</w:t>
            </w:r>
          </w:p>
        </w:tc>
      </w:tr>
    </w:tbl>
    <w:p w14:paraId="64268483" w14:textId="77777777" w:rsidR="007601A3" w:rsidRDefault="00000000">
      <w:r>
        <w:pict w14:anchorId="642684A2">
          <v:rect id="_x0000_i1033" style="width:0;height:1.5pt" o:hralign="center" o:hrstd="t" o:hr="t"/>
        </w:pict>
      </w:r>
    </w:p>
    <w:p w14:paraId="64268484" w14:textId="77777777" w:rsidR="007601A3" w:rsidRDefault="00000000">
      <w:pPr>
        <w:pStyle w:val="Ttulo2"/>
      </w:pPr>
      <w:bookmarkStart w:id="16" w:name="indicadores-de-sucesso"/>
      <w:bookmarkEnd w:id="15"/>
      <w:r>
        <w:lastRenderedPageBreak/>
        <w:t>9. Indicadores de Sucesso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46"/>
        <w:gridCol w:w="3708"/>
      </w:tblGrid>
      <w:tr w:rsidR="007601A3" w14:paraId="64268487" w14:textId="77777777" w:rsidTr="00760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268485" w14:textId="77777777" w:rsidR="007601A3" w:rsidRDefault="00000000">
            <w:pPr>
              <w:pStyle w:val="Compact"/>
            </w:pPr>
            <w:r>
              <w:t>Indicador</w:t>
            </w:r>
          </w:p>
        </w:tc>
        <w:tc>
          <w:tcPr>
            <w:tcW w:w="0" w:type="auto"/>
          </w:tcPr>
          <w:p w14:paraId="64268486" w14:textId="77777777" w:rsidR="007601A3" w:rsidRDefault="00000000">
            <w:pPr>
              <w:pStyle w:val="Compact"/>
            </w:pPr>
            <w:r>
              <w:t>Meta inicial</w:t>
            </w:r>
          </w:p>
        </w:tc>
      </w:tr>
      <w:tr w:rsidR="007601A3" w:rsidRPr="00DF446C" w14:paraId="6426848A" w14:textId="77777777">
        <w:tc>
          <w:tcPr>
            <w:tcW w:w="0" w:type="auto"/>
          </w:tcPr>
          <w:p w14:paraId="64268488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Tempo médio de resposta a uma solicitação de pré-vendas</w:t>
            </w:r>
          </w:p>
        </w:tc>
        <w:tc>
          <w:tcPr>
            <w:tcW w:w="0" w:type="auto"/>
          </w:tcPr>
          <w:p w14:paraId="64268489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Redução mensurável frente ao processo manual atual</w:t>
            </w:r>
          </w:p>
        </w:tc>
      </w:tr>
      <w:tr w:rsidR="007601A3" w14:paraId="6426848D" w14:textId="77777777">
        <w:tc>
          <w:tcPr>
            <w:tcW w:w="0" w:type="auto"/>
          </w:tcPr>
          <w:p w14:paraId="6426848B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Nº de fabricantes onboardados via intake self-service sem intervenção do time central</w:t>
            </w:r>
          </w:p>
        </w:tc>
        <w:tc>
          <w:tcPr>
            <w:tcW w:w="0" w:type="auto"/>
          </w:tcPr>
          <w:p w14:paraId="6426848C" w14:textId="77777777" w:rsidR="007601A3" w:rsidRDefault="00000000">
            <w:pPr>
              <w:pStyle w:val="Compact"/>
            </w:pPr>
            <w:r>
              <w:t>≥ 2 até o Demo Day</w:t>
            </w:r>
          </w:p>
        </w:tc>
      </w:tr>
      <w:tr w:rsidR="007601A3" w:rsidRPr="00DF446C" w14:paraId="64268490" w14:textId="77777777">
        <w:tc>
          <w:tcPr>
            <w:tcW w:w="0" w:type="auto"/>
          </w:tcPr>
          <w:p w14:paraId="6426848E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Taxa de respostas com fonte citada e aprovadas pelo avaliador</w:t>
            </w:r>
          </w:p>
        </w:tc>
        <w:tc>
          <w:tcPr>
            <w:tcW w:w="0" w:type="auto"/>
          </w:tcPr>
          <w:p w14:paraId="6426848F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Alta, como prova de confiabilidade</w:t>
            </w:r>
          </w:p>
        </w:tc>
      </w:tr>
      <w:tr w:rsidR="007601A3" w14:paraId="64268493" w14:textId="77777777">
        <w:tc>
          <w:tcPr>
            <w:tcW w:w="0" w:type="auto"/>
          </w:tcPr>
          <w:p w14:paraId="64268491" w14:textId="77777777" w:rsidR="007601A3" w:rsidRPr="00DF446C" w:rsidRDefault="00000000">
            <w:pPr>
              <w:pStyle w:val="Compact"/>
              <w:rPr>
                <w:lang w:val="pt-BR"/>
              </w:rPr>
            </w:pPr>
            <w:r w:rsidRPr="00DF446C">
              <w:rPr>
                <w:lang w:val="pt-BR"/>
              </w:rPr>
              <w:t>Interesse formal de ao menos uma revenda em ser piloto pós-hackathon</w:t>
            </w:r>
          </w:p>
        </w:tc>
        <w:tc>
          <w:tcPr>
            <w:tcW w:w="0" w:type="auto"/>
          </w:tcPr>
          <w:p w14:paraId="64268492" w14:textId="77777777" w:rsidR="007601A3" w:rsidRDefault="00000000">
            <w:pPr>
              <w:pStyle w:val="Compact"/>
            </w:pPr>
            <w:r>
              <w:t>1</w:t>
            </w:r>
          </w:p>
        </w:tc>
      </w:tr>
    </w:tbl>
    <w:p w14:paraId="64268494" w14:textId="77777777" w:rsidR="007601A3" w:rsidRDefault="00000000">
      <w:r>
        <w:pict w14:anchorId="642684A3">
          <v:rect id="_x0000_i1034" style="width:0;height:1.5pt" o:hralign="center" o:hrstd="t" o:hr="t"/>
        </w:pict>
      </w:r>
    </w:p>
    <w:p w14:paraId="64268495" w14:textId="77777777" w:rsidR="007601A3" w:rsidRDefault="00000000">
      <w:pPr>
        <w:pStyle w:val="Ttulo2"/>
      </w:pPr>
      <w:bookmarkStart w:id="17" w:name="próximos-passos-imediatos"/>
      <w:bookmarkEnd w:id="16"/>
      <w:r>
        <w:t>10. Próximos Passos Imediatos</w:t>
      </w:r>
    </w:p>
    <w:p w14:paraId="64268496" w14:textId="77777777" w:rsidR="007601A3" w:rsidRPr="00DF446C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DF446C">
        <w:rPr>
          <w:lang w:val="pt-BR"/>
        </w:rPr>
        <w:t>Confirmar fabricante piloto e disponibilidade de seus times de arquitetura/pré-vendas</w:t>
      </w:r>
    </w:p>
    <w:p w14:paraId="64268497" w14:textId="77777777" w:rsidR="007601A3" w:rsidRPr="00DF446C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DF446C">
        <w:rPr>
          <w:lang w:val="pt-BR"/>
        </w:rPr>
        <w:t>Fechar decisão sobre uso de oferta Adobe para a base documental</w:t>
      </w:r>
    </w:p>
    <w:p w14:paraId="64268498" w14:textId="77777777" w:rsidR="007601A3" w:rsidRPr="00DF446C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DF446C">
        <w:rPr>
          <w:lang w:val="pt-BR"/>
        </w:rPr>
        <w:t>Provisionar acesso ao modelo gerenciado no Azure</w:t>
      </w:r>
    </w:p>
    <w:p w14:paraId="64268499" w14:textId="77777777" w:rsidR="007601A3" w:rsidRPr="00DF446C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DF446C">
        <w:rPr>
          <w:lang w:val="pt-BR"/>
        </w:rPr>
        <w:t>Validar com a liderança do INOVA se há orçamento/crédito corporativo de cloud já alocado ao squad</w:t>
      </w:r>
      <w:bookmarkEnd w:id="0"/>
      <w:bookmarkEnd w:id="17"/>
    </w:p>
    <w:sectPr w:rsidR="007601A3" w:rsidRPr="00DF446C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B9C25" w14:textId="77777777" w:rsidR="00A93F86" w:rsidRDefault="00A93F86">
      <w:pPr>
        <w:spacing w:after="0"/>
      </w:pPr>
      <w:r>
        <w:separator/>
      </w:r>
    </w:p>
  </w:endnote>
  <w:endnote w:type="continuationSeparator" w:id="0">
    <w:p w14:paraId="394CF9C2" w14:textId="77777777" w:rsidR="00A93F86" w:rsidRDefault="00A93F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08EB5" w14:textId="77777777" w:rsidR="00A93F86" w:rsidRDefault="00A93F86">
      <w:r>
        <w:separator/>
      </w:r>
    </w:p>
  </w:footnote>
  <w:footnote w:type="continuationSeparator" w:id="0">
    <w:p w14:paraId="41C0A8DC" w14:textId="77777777" w:rsidR="00A93F86" w:rsidRDefault="00A93F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EA11C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BFC04A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4206D1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6808802">
    <w:abstractNumId w:val="0"/>
  </w:num>
  <w:num w:numId="2" w16cid:durableId="1215046585">
    <w:abstractNumId w:val="1"/>
  </w:num>
  <w:num w:numId="3" w16cid:durableId="1795177383">
    <w:abstractNumId w:val="1"/>
  </w:num>
  <w:num w:numId="4" w16cid:durableId="8995593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492854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1A3"/>
    <w:rsid w:val="003C03C9"/>
    <w:rsid w:val="005C7498"/>
    <w:rsid w:val="007601A3"/>
    <w:rsid w:val="00A93F86"/>
    <w:rsid w:val="00DF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26840C"/>
  <w15:docId w15:val="{60441B4B-75C4-4D46-B74A-86BA7348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1390</Words>
  <Characters>7512</Characters>
  <Application>Microsoft Office Word</Application>
  <DocSecurity>0</DocSecurity>
  <Lines>62</Lines>
  <Paragraphs>17</Paragraphs>
  <ScaleCrop>false</ScaleCrop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Robson Sanchez</cp:lastModifiedBy>
  <cp:revision>3</cp:revision>
  <dcterms:created xsi:type="dcterms:W3CDTF">2026-09-17T13:45:00Z</dcterms:created>
  <dcterms:modified xsi:type="dcterms:W3CDTF">2026-09-17T14:10:00Z</dcterms:modified>
</cp:coreProperties>
</file>