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termo-de-abertura-de-projeto-tap"/>
    <w:p>
      <w:pPr>
        <w:pStyle w:val="Heading1"/>
      </w:pPr>
      <w:r>
        <w:t xml:space="preserve">Termo de Abertura de Projeto (TAP)</w:t>
      </w:r>
    </w:p>
    <w:bookmarkStart w:id="20" w:name="X3ed9f7ee65f0cdb1be77078bec502881e37a877"/>
    <w:p>
      <w:pPr>
        <w:pStyle w:val="Heading2"/>
      </w:pPr>
      <w:r>
        <w:t xml:space="preserve">ASK — Blueprint de Estrutura Agêntica de Consulta de Dados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 — Blueprint + MVP ASK Revendas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INOVA 3.0 — ScanSource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Gerente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Sanchez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Patrocinador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Liderança executiva do INOVA 3.0 / Banca avaliadora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de abertura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04/09/2026 (Kickoff)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 de encerramento prevista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23/11/2026 (Demo Day)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— para aprovação da equipe antes de submissão formal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justificativa-do-projeto"/>
    <w:p>
      <w:pPr>
        <w:pStyle w:val="Heading2"/>
      </w:pPr>
      <w:r>
        <w:t xml:space="preserve">1. Justificativa do Projeto</w:t>
      </w:r>
    </w:p>
    <w:p>
      <w:pPr>
        <w:pStyle w:val="FirstParagraph"/>
      </w:pPr>
      <w:r>
        <w:t xml:space="preserve">A ScanSource distribui produtos de mais de 500 fabricantes. Times de pré-vendas e revendas enfrentam dificuldade recorrente para localizar rapidamente a solução, o produto e o preço corretos dentro desse portfólio — o gargalo não é falta de informação, é a dispersão dela entre bases, formatos e times diferentes, sem fonte única confiável.</w:t>
      </w:r>
    </w:p>
    <w:p>
      <w:pPr>
        <w:pStyle w:val="BodyText"/>
      </w:pPr>
      <w:r>
        <w:t xml:space="preserve">O programa INOVA 3.0 busca soluções escaláveis, replicáveis e com impacto financeiro mensurável para o portfólio de serviços da ScanSource. Este projeto propõe uma estrutura agêntica de consulta de dados — adaptada de um blueprint de referência aberto — capaz de responder a essa dispersão sem depender de reescrita dos sistemas existentes dos fabricantes ou de um time central que não escala para 500+ fornecedores.</w:t>
      </w:r>
    </w:p>
    <w:p>
      <w:r>
        <w:pict>
          <v:rect style="width:0;height:1.5pt" o:hralign="center" o:hrstd="t" o:hr="t"/>
        </w:pict>
      </w:r>
    </w:p>
    <w:bookmarkEnd w:id="21"/>
    <w:bookmarkStart w:id="22" w:name="objetivo-do-projeto"/>
    <w:p>
      <w:pPr>
        <w:pStyle w:val="Heading2"/>
      </w:pPr>
      <w:r>
        <w:t xml:space="preserve">2. Objetivo do Projeto</w:t>
      </w:r>
    </w:p>
    <w:p>
      <w:pPr>
        <w:pStyle w:val="FirstParagraph"/>
      </w:pPr>
      <w:r>
        <w:t xml:space="preserve">Entregar, até o Demo Day (23/11/2026):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Blueprint ASK</w:t>
      </w:r>
      <w:r>
        <w:t xml:space="preserve"> </w:t>
      </w:r>
      <w:r>
        <w:t xml:space="preserve">— especificação reaplicável da arquitetura agêntica (nós, framework de intake, modelo de customização), documentada para entrar na lista de ofertas de serviço da ScanSource.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MVP ASK Revendas</w:t>
      </w:r>
      <w:r>
        <w:t xml:space="preserve"> </w:t>
      </w:r>
      <w:r>
        <w:t xml:space="preserve">— instância funcional do blueprint, aplicada a um fabricante piloto, demonstrando pesquisa de solução e precificação via estrutura agêntica.</w:t>
      </w:r>
    </w:p>
    <w:p>
      <w:pPr>
        <w:numPr>
          <w:ilvl w:val="0"/>
          <w:numId w:val="1001"/>
        </w:numPr>
        <w:pStyle w:val="Compact"/>
      </w:pPr>
      <w:r>
        <w:t xml:space="preserve">Os 5 entregáveis obrigatórios do INOVA: Problem Statement, Business Case, MVP, Canvas Financeiro, Plano de Escala.</w:t>
      </w:r>
    </w:p>
    <w:p>
      <w:r>
        <w:pict>
          <v:rect style="width:0;height:1.5pt" o:hralign="center" o:hrstd="t" o:hr="t"/>
        </w:pict>
      </w:r>
    </w:p>
    <w:bookmarkEnd w:id="22"/>
    <w:bookmarkStart w:id="25" w:name="escopo"/>
    <w:p>
      <w:pPr>
        <w:pStyle w:val="Heading2"/>
      </w:pPr>
      <w:r>
        <w:t xml:space="preserve">3. Escopo</w:t>
      </w:r>
    </w:p>
    <w:bookmarkStart w:id="23" w:name="dentro-do-escopo"/>
    <w:p>
      <w:pPr>
        <w:pStyle w:val="Heading3"/>
      </w:pPr>
      <w:r>
        <w:t xml:space="preserve">Dentro do escopo</w:t>
      </w:r>
    </w:p>
    <w:p>
      <w:pPr>
        <w:numPr>
          <w:ilvl w:val="0"/>
          <w:numId w:val="1002"/>
        </w:numPr>
        <w:pStyle w:val="Compact"/>
      </w:pPr>
      <w:r>
        <w:t xml:space="preserve">Blueprint documentado: diagrama de nós, YAML de configuração de exemplo, framework de intake self-service para onboarding de novo fabricante</w:t>
      </w:r>
    </w:p>
    <w:p>
      <w:pPr>
        <w:numPr>
          <w:ilvl w:val="0"/>
          <w:numId w:val="1002"/>
        </w:numPr>
        <w:pStyle w:val="Compact"/>
      </w:pPr>
      <w:r>
        <w:t xml:space="preserve">MVP funcional: classificador → orquestrador → agentes pré-vendas/arquiteto → bases de conhecimento (documentação + regras comerciais) → avaliador de resposta, para</w:t>
      </w:r>
      <w:r>
        <w:t xml:space="preserve"> </w:t>
      </w:r>
      <w:r>
        <w:rPr>
          <w:bCs/>
          <w:b/>
        </w:rPr>
        <w:t xml:space="preserve">um fabricante piloto</w:t>
      </w:r>
    </w:p>
    <w:p>
      <w:pPr>
        <w:numPr>
          <w:ilvl w:val="0"/>
          <w:numId w:val="1002"/>
        </w:numPr>
        <w:pStyle w:val="Compact"/>
      </w:pPr>
      <w:r>
        <w:t xml:space="preserve">Hospedagem via modelo gerenciado nativo de cloud (Azure), sem dependência de licença NVIDIA AI Enterprise</w:t>
      </w:r>
    </w:p>
    <w:p>
      <w:pPr>
        <w:numPr>
          <w:ilvl w:val="0"/>
          <w:numId w:val="1002"/>
        </w:numPr>
        <w:pStyle w:val="Compact"/>
      </w:pPr>
      <w:r>
        <w:t xml:space="preserve">Demonstração ao vivo em Azure; portabilidade para OCI documentada (não necessariamente ao vivo)</w:t>
      </w:r>
    </w:p>
    <w:p>
      <w:pPr>
        <w:numPr>
          <w:ilvl w:val="0"/>
          <w:numId w:val="1002"/>
        </w:numPr>
        <w:pStyle w:val="Compact"/>
      </w:pPr>
      <w:r>
        <w:t xml:space="preserve">Onboarding de um segundo fabricante via formulário de intake, demonstrado na Construção, para provar o modelo de propriedade federado</w:t>
      </w:r>
    </w:p>
    <w:bookmarkEnd w:id="23"/>
    <w:bookmarkStart w:id="24" w:name="fora-do-escopo-nesta-entrega"/>
    <w:p>
      <w:pPr>
        <w:pStyle w:val="Heading3"/>
      </w:pPr>
      <w:r>
        <w:t xml:space="preserve">Fora do escopo (nesta entrega)</w:t>
      </w:r>
    </w:p>
    <w:p>
      <w:pPr>
        <w:numPr>
          <w:ilvl w:val="0"/>
          <w:numId w:val="1003"/>
        </w:numPr>
        <w:pStyle w:val="Compact"/>
      </w:pPr>
      <w:r>
        <w:t xml:space="preserve">Suporte simultâneo a múltiplos fabricantes em produção</w:t>
      </w:r>
    </w:p>
    <w:p>
      <w:pPr>
        <w:numPr>
          <w:ilvl w:val="0"/>
          <w:numId w:val="1003"/>
        </w:numPr>
        <w:pStyle w:val="Compact"/>
      </w:pPr>
      <w:r>
        <w:t xml:space="preserve">Deploy self-hosted via NIM/GPU própria</w:t>
      </w:r>
    </w:p>
    <w:p>
      <w:pPr>
        <w:numPr>
          <w:ilvl w:val="0"/>
          <w:numId w:val="1003"/>
        </w:numPr>
        <w:pStyle w:val="Compact"/>
      </w:pPr>
      <w:r>
        <w:t xml:space="preserve">Discovery automatizado de infraestrutura do cliente</w:t>
      </w:r>
    </w:p>
    <w:p>
      <w:pPr>
        <w:numPr>
          <w:ilvl w:val="0"/>
          <w:numId w:val="1003"/>
        </w:numPr>
        <w:pStyle w:val="Compact"/>
      </w:pPr>
      <w:r>
        <w:t xml:space="preserve">Geração ou implementação automática de código em sistemas de terceiros</w:t>
      </w:r>
    </w:p>
    <w:p>
      <w:pPr>
        <w:numPr>
          <w:ilvl w:val="0"/>
          <w:numId w:val="1003"/>
        </w:numPr>
        <w:pStyle w:val="Compact"/>
      </w:pPr>
      <w:r>
        <w:t xml:space="preserve">Interface de produção polida — o MVP é prova de conceito funcional, não produto acabado</w:t>
      </w:r>
    </w:p>
    <w:p>
      <w:pPr>
        <w:numPr>
          <w:ilvl w:val="0"/>
          <w:numId w:val="1003"/>
        </w:numPr>
        <w:pStyle w:val="Compact"/>
      </w:pPr>
      <w:r>
        <w:t xml:space="preserve">Manutenção contínua das bases de conhecimento pelo time do projeto (responsabilidade federada aos times de arquitetos/pré-vendas de cada fabricante — ver seção 8, Premissa P3)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entregáveis"/>
    <w:p>
      <w:pPr>
        <w:pStyle w:val="Heading2"/>
      </w:pPr>
      <w:r>
        <w:t xml:space="preserve">4. Entregáveis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1 página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Case / Business 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3 (rascunho), Semana 8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Blueprint ASK documentado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Diagrama + YAML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 ASK Revendas funcional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ao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6 (parcial), Semana 8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Documento/planilha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Pitch de apresentação (30 min + 5 min Q&amp;A)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23/11/2026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ronograma-e-marcos"/>
    <w:p>
      <w:pPr>
        <w:pStyle w:val="Heading2"/>
      </w:pPr>
      <w:r>
        <w:t xml:space="preserve">5. Cronograma e Marcos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M1 — Kickoff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 piloto definido, acesso Azure provisionado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— Fim da Descoberta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Adobe fechada, intake de onboarding desenhado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 — Apresentação 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~09/10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Classificador, orquestrador e agente pré-vendas funcionando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M4 — Validação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Testado com solicitações reais, Canvas Financeiro preenchido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M5 — Demo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Apresentação executiva final</w:t>
            </w:r>
          </w:p>
        </w:tc>
      </w:tr>
    </w:tbl>
    <w:p>
      <w:pPr>
        <w:pStyle w:val="BodyText"/>
      </w:pPr>
      <w:r>
        <w:t xml:space="preserve">Cronograma detalhado por semana mantido no Plano de Ação Segmentado (documento complementar já em elaboração pela equipe).</w:t>
      </w:r>
    </w:p>
    <w:p>
      <w:r>
        <w:pict>
          <v:rect style="width:0;height:1.5pt" o:hralign="center" o:hrstd="t" o:hr="t"/>
        </w:pict>
      </w:r>
    </w:p>
    <w:bookmarkEnd w:id="27"/>
    <w:bookmarkStart w:id="28" w:name="estrutura-da-equipe-e-responsabilidades"/>
    <w:p>
      <w:pPr>
        <w:pStyle w:val="Heading2"/>
      </w:pPr>
      <w:r>
        <w:t xml:space="preserve">6. Estrutura da Equipe e Responsabilidades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Foco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Projeto / 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Sanchez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Arquitetura, orquestrador, avaliador, deployment Azure, Business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João Andrade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conhecimento, integração do fabricante piloto, Canvas Financeiro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Qualidade e Escala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Magalhães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Classificador, testes, Plano de Escala, avaliação da oferta Adobe</w:t>
            </w:r>
          </w:p>
        </w:tc>
      </w:tr>
    </w:tbl>
    <w:p>
      <w:pPr>
        <w:pStyle w:val="BodyText"/>
      </w:pPr>
      <w:r>
        <w:rPr>
          <w:bCs/>
          <w:b/>
        </w:rPr>
        <w:t xml:space="preserve">Capacidade declarada:</w:t>
      </w:r>
      <w:r>
        <w:t xml:space="preserve"> </w:t>
      </w:r>
      <w:r>
        <w:t xml:space="preserve">2h/semana por pessoa (~6h/semana de equipe), conforme cadência oficial do INOVA (sextas-feiras).</w:t>
      </w:r>
    </w:p>
    <w:p>
      <w:r>
        <w:pict>
          <v:rect style="width:0;height:1.5pt" o:hralign="center" o:hrstd="t" o:hr="t"/>
        </w:pict>
      </w:r>
    </w:p>
    <w:bookmarkEnd w:id="28"/>
    <w:bookmarkStart w:id="29" w:name="orçamento-e-recursos"/>
    <w:p>
      <w:pPr>
        <w:pStyle w:val="Heading2"/>
      </w:pPr>
      <w:r>
        <w:t xml:space="preserve">7. Orçamento e Recursos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Azure (modelo gerenciado, sem NIM)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confirmar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 de volume de chamadas do MVP e do fabricante piloto escolhido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Licença/assinatura Adobe (se D5 for aprovada)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~R$60/mês (estimativa preliminar da 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Sujeito a validação de escopo real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Recursos humanos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interno já alocado (2h/semana x 3 pessoas)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contratação externa prevista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Infraestrutura OCI (portabilidade documentada)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custo de execução — documentação apenas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deploy ao vivo previsto para o Demo Day</w:t>
            </w:r>
          </w:p>
        </w:tc>
      </w:tr>
    </w:tbl>
    <w:p>
      <w:pPr>
        <w:pStyle w:val="BlockText"/>
      </w:pPr>
      <w:r>
        <w:t xml:space="preserve">⚠️ Orçamento formal de cloud ainda não confirmado com a liderança do INOVA. Recomenda-se levantar se existe budget/crédito corporativo already alocado para squads do programa antes da Semana 1.</w:t>
      </w:r>
    </w:p>
    <w:p>
      <w:r>
        <w:pict>
          <v:rect style="width:0;height:1.5pt" o:hralign="center" o:hrstd="t" o:hr="t"/>
        </w:pict>
      </w:r>
    </w:p>
    <w:bookmarkEnd w:id="29"/>
    <w:bookmarkStart w:id="30" w:name="premissas"/>
    <w:p>
      <w:pPr>
        <w:pStyle w:val="Heading2"/>
      </w:pPr>
      <w:r>
        <w:t xml:space="preserve">8. Premissas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Premissa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time terá acesso a uma subscription Azure (ou trial/sandbox) com permissão para deployment de modelo gerenciado desde a 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fabricante piloto estará disponível com documentação técnica e regras comerciais minimamente organizadas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 de arquitetos/pré-vendas de fabricantes específicos estarão disponíveis para validar e eventualmente alimentar seus próprios nós/bases, conforme modelo de propriedade federado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data do Demo Day (23/11) está confirmada e não sofrerá alteração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haverá expansão do time além das 3 pessoas designadas durante o projeto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strições"/>
    <w:p>
      <w:pPr>
        <w:pStyle w:val="Heading2"/>
      </w:pPr>
      <w:r>
        <w:t xml:space="preserve">9. Restrições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2h/semana por pessoa, 8 semanas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deliberadamente restrito a um fabricante piloto e a um subconjunto de nós do blueprint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uso de NIM/licença NVIDIA AI Enterprise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Hospedagem via modelo gerenciado nativo de cloud — maior ponto de adaptação do blueprint de 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contratação ou alocação adicional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entrega depende exclusivamente da capacidade da Equipe 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riscos-iniciais"/>
    <w:p>
      <w:pPr>
        <w:pStyle w:val="Heading2"/>
      </w:pPr>
      <w:r>
        <w:t xml:space="preserve">10. Riscos Iniciais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Adobe (D5) não fecha a tempo, travando a stack da Base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Definir prazo-limite (fim da Semana 3) com fallback determinado previamente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Fabricante piloto não disponibiliza dados organizados a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Escolher fabricante com relacionamento já próximo do time na Semana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Ambiguidade entre o que está</w:t>
            </w:r>
            <w:r>
              <w:t xml:space="preserve"> </w:t>
            </w:r>
            <w:r>
              <w:t xml:space="preserve">“</w:t>
            </w:r>
            <w:r>
              <w:t xml:space="preserve">ativo na demo</w:t>
            </w:r>
            <w:r>
              <w:t xml:space="preserve">”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t xml:space="preserve">“</w:t>
            </w:r>
            <w:r>
              <w:t xml:space="preserve">documentado no blueprint</w:t>
            </w:r>
            <w:r>
              <w:t xml:space="preserve">”</w:t>
            </w:r>
            <w:r>
              <w:t xml:space="preserve"> </w:t>
            </w:r>
            <w:r>
              <w:t xml:space="preserve">gera pergunta difícil da banca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Baixa/controlável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explícita no pitch definindo o que está ativo vs. roadmap (já mapeado no Plano de Ação)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Onboarding self-service (segundo fabricante) não fica pronto a tempo de provar o modelo federado ao vivo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Priorizado no cronograma da Semana 5; se atrasar, mover para Semana 6-7, nunca cortar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RK5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de cloud não confirmado pela liderança do INOVA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validar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Levantar formalmente na Semana 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critérios-de-aceite-sucesso-do-projeto"/>
    <w:p>
      <w:pPr>
        <w:pStyle w:val="Heading2"/>
      </w:pPr>
      <w:r>
        <w:t xml:space="preserve">11. Critérios de Aceite / Sucesso do Projeto</w:t>
      </w:r>
    </w:p>
    <w:p>
      <w:pPr>
        <w:numPr>
          <w:ilvl w:val="0"/>
          <w:numId w:val="1004"/>
        </w:numPr>
        <w:pStyle w:val="Compact"/>
      </w:pPr>
      <w:r>
        <w:t xml:space="preserve">MVP funcional demonstrado ao vivo com pelo menos um fabricante piloto, respondendo com citação de fonte</w:t>
      </w:r>
    </w:p>
    <w:p>
      <w:pPr>
        <w:numPr>
          <w:ilvl w:val="0"/>
          <w:numId w:val="1004"/>
        </w:numPr>
        <w:pStyle w:val="Compact"/>
      </w:pPr>
      <w:r>
        <w:t xml:space="preserve">Onboarding de um segundo fabricante demonstrado via formulário de intake, sem intervenção de código</w:t>
      </w:r>
    </w:p>
    <w:p>
      <w:pPr>
        <w:numPr>
          <w:ilvl w:val="0"/>
          <w:numId w:val="1004"/>
        </w:numPr>
        <w:pStyle w:val="Compact"/>
      </w:pPr>
      <w:r>
        <w:t xml:space="preserve">Os 5 entregáveis obrigatórios do INOVA submetidos dentro do prazo</w:t>
      </w:r>
    </w:p>
    <w:p>
      <w:pPr>
        <w:numPr>
          <w:ilvl w:val="0"/>
          <w:numId w:val="1004"/>
        </w:numPr>
        <w:pStyle w:val="Compact"/>
      </w:pPr>
      <w:r>
        <w:t xml:space="preserve">Blueprint documentado de forma suficiente para ser reaplicado por outro time sem depender da Equipe 3</w:t>
      </w:r>
    </w:p>
    <w:p>
      <w:r>
        <w:pict>
          <v:rect style="width:0;height:1.5pt" o:hralign="center" o:hrstd="t" o:hr="t"/>
        </w:pict>
      </w:r>
    </w:p>
    <w:bookmarkEnd w:id="33"/>
    <w:bookmarkStart w:id="34" w:name="aprovação"/>
    <w:p>
      <w:pPr>
        <w:pStyle w:val="Heading2"/>
      </w:pPr>
      <w:r>
        <w:t xml:space="preserve">12. Aprovação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Gerente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Sanchez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da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João Andrade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Membro da 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Jessica Magalhães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Patrocinador / Banca INOVA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Pendências antes da submissão formal:</w:t>
      </w:r>
      <w:r>
        <w:t xml:space="preserve"> </w:t>
      </w:r>
      <w:r>
        <w:t xml:space="preserve">confirmar orçamento de cloud (seção 7) e validar disponibilidade do fabricante piloto (Premissa P2) junto ao respectivo time de pré-vendas.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2026-09-17T13:45:42Z</dcterms:created>
  <dcterms:modified xsi:type="dcterms:W3CDTF">2026-09-17T13:45:42Z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