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89" w:rsidRDefault="002B5589" w:rsidP="002B558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2B5589" w:rsidRDefault="002B5589" w:rsidP="002B558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2B5589" w:rsidRDefault="002B5589" w:rsidP="002B558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2B5589" w:rsidRDefault="002B5589" w:rsidP="002B558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2B5589" w:rsidRDefault="002B5589" w:rsidP="002B558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2B5589" w:rsidRDefault="002B5589" w:rsidP="002B558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2B5589" w:rsidRPr="00DA78BB" w:rsidRDefault="00266BB6" w:rsidP="002B5589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ANNUAL 2021</w:t>
      </w:r>
    </w:p>
    <w:p w:rsidR="002B5589" w:rsidRPr="00DA78BB" w:rsidRDefault="002B5589" w:rsidP="002B5589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DA78BB">
        <w:rPr>
          <w:rFonts w:ascii="Times New Roman" w:hAnsi="Times New Roman" w:cs="Times New Roman"/>
          <w:b/>
          <w:bCs/>
          <w:sz w:val="32"/>
          <w:szCs w:val="24"/>
        </w:rPr>
        <w:t>Accomplishment report</w:t>
      </w: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32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78BB">
        <w:rPr>
          <w:rFonts w:ascii="Times New Roman" w:hAnsi="Times New Roman" w:cs="Times New Roman"/>
          <w:sz w:val="24"/>
          <w:szCs w:val="24"/>
        </w:rPr>
        <w:t xml:space="preserve">Dr. Dandy Ian </w:t>
      </w:r>
      <w:proofErr w:type="spellStart"/>
      <w:r w:rsidRPr="00DA78BB">
        <w:rPr>
          <w:rFonts w:ascii="Times New Roman" w:hAnsi="Times New Roman" w:cs="Times New Roman"/>
          <w:sz w:val="24"/>
          <w:szCs w:val="24"/>
        </w:rPr>
        <w:t>Calingasan</w:t>
      </w:r>
      <w:proofErr w:type="spellEnd"/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78BB">
        <w:rPr>
          <w:rFonts w:ascii="Times New Roman" w:hAnsi="Times New Roman" w:cs="Times New Roman"/>
          <w:sz w:val="24"/>
          <w:szCs w:val="24"/>
          <w:lang w:val="en-US"/>
        </w:rPr>
        <w:t>Medical Program Coordinator</w:t>
      </w:r>
    </w:p>
    <w:p w:rsidR="002B5589" w:rsidRDefault="002B5589" w:rsidP="002B55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5589" w:rsidRDefault="002B5589" w:rsidP="002B55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78BB">
        <w:rPr>
          <w:rFonts w:ascii="Times New Roman" w:hAnsi="Times New Roman" w:cs="Times New Roman"/>
          <w:sz w:val="24"/>
          <w:szCs w:val="24"/>
          <w:lang w:val="en-US"/>
        </w:rPr>
        <w:t xml:space="preserve">Jasmin T. Dimasacat </w:t>
      </w: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78BB">
        <w:rPr>
          <w:rFonts w:ascii="Times New Roman" w:hAnsi="Times New Roman" w:cs="Times New Roman"/>
          <w:sz w:val="24"/>
          <w:szCs w:val="24"/>
          <w:lang w:val="en-US"/>
        </w:rPr>
        <w:t>Nurse Program Coordinator</w:t>
      </w:r>
    </w:p>
    <w:p w:rsidR="002B5589" w:rsidRDefault="002B5589" w:rsidP="002B55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5589" w:rsidRDefault="002B5589" w:rsidP="002B55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78BB">
        <w:rPr>
          <w:rFonts w:ascii="Times New Roman" w:hAnsi="Times New Roman" w:cs="Times New Roman"/>
          <w:sz w:val="24"/>
          <w:szCs w:val="24"/>
          <w:lang w:val="en-US"/>
        </w:rPr>
        <w:t xml:space="preserve">Lucia </w:t>
      </w:r>
      <w:proofErr w:type="spellStart"/>
      <w:r w:rsidRPr="00DA78BB">
        <w:rPr>
          <w:rFonts w:ascii="Times New Roman" w:hAnsi="Times New Roman" w:cs="Times New Roman"/>
          <w:sz w:val="24"/>
          <w:szCs w:val="24"/>
          <w:lang w:val="en-US"/>
        </w:rPr>
        <w:t>Resuello</w:t>
      </w:r>
      <w:proofErr w:type="spellEnd"/>
      <w:r w:rsidRPr="00DA78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B5589" w:rsidRPr="00DA78BB" w:rsidRDefault="002B5589" w:rsidP="002B5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78BB">
        <w:rPr>
          <w:rFonts w:ascii="Times New Roman" w:hAnsi="Times New Roman" w:cs="Times New Roman"/>
          <w:sz w:val="24"/>
          <w:szCs w:val="24"/>
          <w:lang w:val="en-US"/>
        </w:rPr>
        <w:t>Alternate Nurse Program Coordinator</w:t>
      </w:r>
    </w:p>
    <w:p w:rsidR="002B5589" w:rsidRDefault="002B5589" w:rsidP="002B5589">
      <w:pPr>
        <w:rPr>
          <w:rFonts w:ascii="Times New Roman" w:hAnsi="Times New Roman" w:cs="Times New Roman"/>
          <w:sz w:val="24"/>
          <w:szCs w:val="24"/>
        </w:rPr>
      </w:pPr>
    </w:p>
    <w:p w:rsidR="002B5589" w:rsidRDefault="002B5589" w:rsidP="002B5589">
      <w:pPr>
        <w:rPr>
          <w:rFonts w:ascii="Times New Roman" w:hAnsi="Times New Roman" w:cs="Times New Roman"/>
          <w:sz w:val="24"/>
          <w:szCs w:val="24"/>
        </w:rPr>
      </w:pPr>
    </w:p>
    <w:p w:rsidR="002B5589" w:rsidRPr="008B302C" w:rsidRDefault="002B5589" w:rsidP="002B5589">
      <w:pPr>
        <w:jc w:val="both"/>
        <w:rPr>
          <w:rFonts w:ascii="Times New Roman" w:hAnsi="Times New Roman" w:cs="Times New Roman"/>
          <w:sz w:val="24"/>
          <w:szCs w:val="24"/>
        </w:rPr>
      </w:pPr>
      <w:r w:rsidRPr="008B302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8B302C">
        <w:rPr>
          <w:rFonts w:ascii="Times New Roman" w:hAnsi="Times New Roman" w:cs="Times New Roman"/>
          <w:sz w:val="24"/>
          <w:szCs w:val="24"/>
        </w:rPr>
        <w:t xml:space="preserve">Total of </w:t>
      </w:r>
      <w:r w:rsidR="008B302C" w:rsidRPr="008B302C">
        <w:rPr>
          <w:rFonts w:ascii="Times New Roman" w:hAnsi="Times New Roman" w:cs="Times New Roman"/>
          <w:sz w:val="24"/>
          <w:szCs w:val="24"/>
        </w:rPr>
        <w:t>261</w:t>
      </w:r>
      <w:r w:rsidRPr="008B302C">
        <w:rPr>
          <w:rFonts w:ascii="Times New Roman" w:hAnsi="Times New Roman" w:cs="Times New Roman"/>
          <w:sz w:val="24"/>
          <w:szCs w:val="24"/>
        </w:rPr>
        <w:t xml:space="preserve"> dengue cases where report</w:t>
      </w:r>
      <w:r w:rsidR="00266BB6">
        <w:rPr>
          <w:rFonts w:ascii="Times New Roman" w:hAnsi="Times New Roman" w:cs="Times New Roman"/>
          <w:sz w:val="24"/>
          <w:szCs w:val="24"/>
        </w:rPr>
        <w:t>ed from January to December 2021</w:t>
      </w:r>
      <w:r w:rsidRPr="008B302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B302C">
        <w:rPr>
          <w:rFonts w:ascii="Times New Roman" w:hAnsi="Times New Roman" w:cs="Times New Roman"/>
          <w:sz w:val="24"/>
          <w:szCs w:val="24"/>
        </w:rPr>
        <w:t xml:space="preserve"> Barangay with the most reported </w:t>
      </w:r>
      <w:r w:rsidR="007A4910">
        <w:rPr>
          <w:rFonts w:ascii="Times New Roman" w:hAnsi="Times New Roman" w:cs="Times New Roman"/>
          <w:sz w:val="24"/>
          <w:szCs w:val="24"/>
        </w:rPr>
        <w:t xml:space="preserve">number of cases is </w:t>
      </w:r>
      <w:proofErr w:type="spellStart"/>
      <w:r w:rsidR="007A4910">
        <w:rPr>
          <w:rFonts w:ascii="Times New Roman" w:hAnsi="Times New Roman" w:cs="Times New Roman"/>
          <w:sz w:val="24"/>
          <w:szCs w:val="24"/>
        </w:rPr>
        <w:t>Alangilan</w:t>
      </w:r>
      <w:proofErr w:type="spellEnd"/>
      <w:r w:rsidR="007A4910">
        <w:rPr>
          <w:rFonts w:ascii="Times New Roman" w:hAnsi="Times New Roman" w:cs="Times New Roman"/>
          <w:sz w:val="24"/>
          <w:szCs w:val="24"/>
        </w:rPr>
        <w:t xml:space="preserve"> </w:t>
      </w:r>
      <w:r w:rsidR="008B302C">
        <w:rPr>
          <w:rFonts w:ascii="Times New Roman" w:hAnsi="Times New Roman" w:cs="Times New Roman"/>
          <w:sz w:val="24"/>
          <w:szCs w:val="24"/>
        </w:rPr>
        <w:t>(</w:t>
      </w:r>
      <w:r w:rsidR="00266BB6">
        <w:rPr>
          <w:rFonts w:ascii="Times New Roman" w:hAnsi="Times New Roman" w:cs="Times New Roman"/>
          <w:sz w:val="24"/>
          <w:szCs w:val="24"/>
        </w:rPr>
        <w:t xml:space="preserve">37), </w:t>
      </w:r>
      <w:proofErr w:type="spellStart"/>
      <w:r w:rsidR="00266BB6">
        <w:rPr>
          <w:rFonts w:ascii="Times New Roman" w:hAnsi="Times New Roman" w:cs="Times New Roman"/>
          <w:sz w:val="24"/>
          <w:szCs w:val="24"/>
        </w:rPr>
        <w:t>Kumintang</w:t>
      </w:r>
      <w:proofErr w:type="spellEnd"/>
      <w:r w:rsidR="0026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B6">
        <w:rPr>
          <w:rFonts w:ascii="Times New Roman" w:hAnsi="Times New Roman" w:cs="Times New Roman"/>
          <w:sz w:val="24"/>
          <w:szCs w:val="24"/>
        </w:rPr>
        <w:t>Ibaba</w:t>
      </w:r>
      <w:proofErr w:type="spellEnd"/>
      <w:r w:rsidR="00266BB6">
        <w:rPr>
          <w:rFonts w:ascii="Times New Roman" w:hAnsi="Times New Roman" w:cs="Times New Roman"/>
          <w:sz w:val="24"/>
          <w:szCs w:val="24"/>
        </w:rPr>
        <w:t xml:space="preserve"> (23)</w:t>
      </w:r>
      <w:proofErr w:type="gramStart"/>
      <w:r w:rsidR="00266BB6">
        <w:rPr>
          <w:rFonts w:ascii="Times New Roman" w:hAnsi="Times New Roman" w:cs="Times New Roman"/>
          <w:sz w:val="24"/>
          <w:szCs w:val="24"/>
        </w:rPr>
        <w:t>,Sta</w:t>
      </w:r>
      <w:proofErr w:type="gramEnd"/>
      <w:r w:rsidR="00266BB6">
        <w:rPr>
          <w:rFonts w:ascii="Times New Roman" w:hAnsi="Times New Roman" w:cs="Times New Roman"/>
          <w:sz w:val="24"/>
          <w:szCs w:val="24"/>
        </w:rPr>
        <w:t xml:space="preserve">. Rita </w:t>
      </w:r>
      <w:proofErr w:type="spellStart"/>
      <w:r w:rsidR="00266BB6">
        <w:rPr>
          <w:rFonts w:ascii="Times New Roman" w:hAnsi="Times New Roman" w:cs="Times New Roman"/>
          <w:sz w:val="24"/>
          <w:szCs w:val="24"/>
        </w:rPr>
        <w:t>Karsada</w:t>
      </w:r>
      <w:proofErr w:type="spellEnd"/>
      <w:r w:rsidR="00266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66BB6">
        <w:rPr>
          <w:rFonts w:ascii="Times New Roman" w:hAnsi="Times New Roman" w:cs="Times New Roman"/>
          <w:sz w:val="24"/>
          <w:szCs w:val="24"/>
        </w:rPr>
        <w:t>Soro-soro</w:t>
      </w:r>
      <w:proofErr w:type="spellEnd"/>
      <w:r w:rsidR="0026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B6">
        <w:rPr>
          <w:rFonts w:ascii="Times New Roman" w:hAnsi="Times New Roman" w:cs="Times New Roman"/>
          <w:sz w:val="24"/>
          <w:szCs w:val="24"/>
        </w:rPr>
        <w:t>Ilaya</w:t>
      </w:r>
      <w:proofErr w:type="spellEnd"/>
      <w:r w:rsidR="00266BB6">
        <w:rPr>
          <w:rFonts w:ascii="Times New Roman" w:hAnsi="Times New Roman" w:cs="Times New Roman"/>
          <w:sz w:val="24"/>
          <w:szCs w:val="24"/>
        </w:rPr>
        <w:t xml:space="preserve"> (19</w:t>
      </w:r>
      <w:r w:rsidR="007A4910">
        <w:rPr>
          <w:rFonts w:ascii="Times New Roman" w:hAnsi="Times New Roman" w:cs="Times New Roman"/>
          <w:sz w:val="24"/>
          <w:szCs w:val="24"/>
        </w:rPr>
        <w:t>)</w:t>
      </w:r>
      <w:r w:rsidR="008B302C">
        <w:rPr>
          <w:rFonts w:ascii="Times New Roman" w:hAnsi="Times New Roman" w:cs="Times New Roman"/>
          <w:sz w:val="24"/>
          <w:szCs w:val="24"/>
        </w:rPr>
        <w:t>.</w:t>
      </w:r>
      <w:r w:rsidR="007A4910">
        <w:rPr>
          <w:rFonts w:ascii="Times New Roman" w:hAnsi="Times New Roman" w:cs="Times New Roman"/>
          <w:sz w:val="24"/>
          <w:szCs w:val="24"/>
        </w:rPr>
        <w:t xml:space="preserve">  </w:t>
      </w:r>
      <w:r w:rsidR="008B302C">
        <w:rPr>
          <w:rFonts w:ascii="Times New Roman" w:hAnsi="Times New Roman" w:cs="Times New Roman"/>
          <w:sz w:val="24"/>
          <w:szCs w:val="24"/>
        </w:rPr>
        <w:t>With 0</w:t>
      </w:r>
      <w:r w:rsidRPr="008B302C">
        <w:rPr>
          <w:rFonts w:ascii="Times New Roman" w:hAnsi="Times New Roman" w:cs="Times New Roman"/>
          <w:sz w:val="24"/>
          <w:szCs w:val="24"/>
        </w:rPr>
        <w:t xml:space="preserve"> reported death. </w:t>
      </w:r>
    </w:p>
    <w:p w:rsidR="007A4910" w:rsidRDefault="002B5589" w:rsidP="007A49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8BB">
        <w:rPr>
          <w:rFonts w:ascii="Times New Roman" w:hAnsi="Times New Roman" w:cs="Times New Roman"/>
          <w:b/>
          <w:sz w:val="24"/>
          <w:szCs w:val="24"/>
        </w:rPr>
        <w:t xml:space="preserve">Distribution of Dengue </w:t>
      </w:r>
      <w:r w:rsidR="003A3ABD">
        <w:rPr>
          <w:rFonts w:ascii="Times New Roman" w:hAnsi="Times New Roman" w:cs="Times New Roman"/>
          <w:b/>
          <w:sz w:val="24"/>
          <w:szCs w:val="24"/>
        </w:rPr>
        <w:t xml:space="preserve">Cases </w:t>
      </w:r>
    </w:p>
    <w:p w:rsidR="002B5589" w:rsidRDefault="003A3ABD" w:rsidP="007A49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Morbi</w:t>
      </w:r>
      <w:r w:rsidR="00666551">
        <w:rPr>
          <w:rFonts w:ascii="Times New Roman" w:hAnsi="Times New Roman" w:cs="Times New Roman"/>
          <w:b/>
          <w:sz w:val="24"/>
          <w:szCs w:val="24"/>
        </w:rPr>
        <w:t>dity Month (2017, 2018, 2019,</w:t>
      </w:r>
      <w:r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="00666551">
        <w:rPr>
          <w:rFonts w:ascii="Times New Roman" w:hAnsi="Times New Roman" w:cs="Times New Roman"/>
          <w:b/>
          <w:sz w:val="24"/>
          <w:szCs w:val="24"/>
        </w:rPr>
        <w:t xml:space="preserve"> and 2021</w:t>
      </w:r>
      <w:r w:rsidR="002B5589" w:rsidRPr="00DA78BB">
        <w:rPr>
          <w:rFonts w:ascii="Times New Roman" w:hAnsi="Times New Roman" w:cs="Times New Roman"/>
          <w:b/>
          <w:sz w:val="24"/>
          <w:szCs w:val="24"/>
        </w:rPr>
        <w:t>),</w:t>
      </w:r>
      <w:r w:rsidR="007A49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B5589" w:rsidRPr="00DA78BB">
        <w:rPr>
          <w:rFonts w:ascii="Times New Roman" w:hAnsi="Times New Roman" w:cs="Times New Roman"/>
          <w:b/>
          <w:sz w:val="24"/>
          <w:szCs w:val="24"/>
        </w:rPr>
        <w:t>Batangas</w:t>
      </w:r>
      <w:proofErr w:type="spellEnd"/>
      <w:r w:rsidR="002B5589" w:rsidRPr="00DA78BB">
        <w:rPr>
          <w:rFonts w:ascii="Times New Roman" w:hAnsi="Times New Roman" w:cs="Times New Roman"/>
          <w:b/>
          <w:sz w:val="24"/>
          <w:szCs w:val="24"/>
        </w:rPr>
        <w:t xml:space="preserve"> City</w:t>
      </w:r>
    </w:p>
    <w:p w:rsidR="002B5589" w:rsidRPr="00053DFF" w:rsidRDefault="002B5589" w:rsidP="002B55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ABD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7E208506" wp14:editId="409C44A5">
            <wp:extent cx="6211019" cy="3269411"/>
            <wp:effectExtent l="0" t="0" r="18415" b="2667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B5589" w:rsidRDefault="002B5589" w:rsidP="002B55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8BB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drawing>
          <wp:inline distT="0" distB="0" distL="0" distR="0" wp14:anchorId="6BA81D76" wp14:editId="2B7F2856">
            <wp:extent cx="6047117" cy="3295291"/>
            <wp:effectExtent l="0" t="0" r="10795" b="19685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B5589" w:rsidRPr="00DA78BB" w:rsidRDefault="002B5589" w:rsidP="005C47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B5589" w:rsidRDefault="003A3ABD" w:rsidP="002B55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lastRenderedPageBreak/>
        <w:drawing>
          <wp:inline distT="0" distB="0" distL="0" distR="0" wp14:anchorId="12852367" wp14:editId="152BE859">
            <wp:extent cx="5267325" cy="30099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B5589" w:rsidRDefault="003A3ABD" w:rsidP="007A49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eastAsia="en-PH"/>
        </w:rPr>
        <w:drawing>
          <wp:inline distT="0" distB="0" distL="0" distR="0" wp14:anchorId="0BD63A6D" wp14:editId="7C035013">
            <wp:extent cx="5210355" cy="2993366"/>
            <wp:effectExtent l="0" t="0" r="9525" b="171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:rsidR="002B5589" w:rsidRDefault="002B5589" w:rsidP="002B55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589" w:rsidRDefault="002B5589" w:rsidP="002B55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589" w:rsidRDefault="002B5589" w:rsidP="002B55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589" w:rsidRDefault="002B5589" w:rsidP="002B55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4776" w:rsidRDefault="005C4776" w:rsidP="002B5589">
      <w:pPr>
        <w:rPr>
          <w:rFonts w:ascii="Times New Roman" w:hAnsi="Times New Roman" w:cs="Times New Roman"/>
          <w:b/>
          <w:sz w:val="24"/>
          <w:szCs w:val="24"/>
        </w:rPr>
      </w:pPr>
    </w:p>
    <w:p w:rsidR="005C4776" w:rsidRDefault="005C4776" w:rsidP="002B5589">
      <w:pPr>
        <w:rPr>
          <w:rFonts w:ascii="Times New Roman" w:hAnsi="Times New Roman" w:cs="Times New Roman"/>
          <w:b/>
          <w:sz w:val="24"/>
          <w:szCs w:val="24"/>
        </w:rPr>
      </w:pPr>
    </w:p>
    <w:p w:rsidR="002B5589" w:rsidRDefault="002B5589" w:rsidP="005C47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Top 10 Barangays as to Number of Dengue Cases</w:t>
      </w:r>
    </w:p>
    <w:tbl>
      <w:tblPr>
        <w:tblW w:w="8820" w:type="dxa"/>
        <w:tblInd w:w="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4230"/>
      </w:tblGrid>
      <w:tr w:rsidR="002B5589" w:rsidRPr="0082313B" w:rsidTr="005D2A7A">
        <w:trPr>
          <w:trHeight w:val="434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2B5589" w:rsidRPr="0082313B" w:rsidRDefault="002B5589" w:rsidP="005D2A7A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Barangay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2B5589" w:rsidRPr="0082313B" w:rsidRDefault="002B5589" w:rsidP="005D2A7A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Cases</w:t>
            </w:r>
          </w:p>
        </w:tc>
      </w:tr>
      <w:tr w:rsidR="002B5589" w:rsidRPr="0082313B" w:rsidTr="005D2A7A">
        <w:trPr>
          <w:trHeight w:val="33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Pr="0082313B" w:rsidRDefault="002B5589" w:rsidP="002B55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13B">
              <w:rPr>
                <w:rFonts w:ascii="Times New Roman" w:hAnsi="Times New Roman" w:cs="Times New Roman"/>
                <w:b/>
                <w:sz w:val="24"/>
                <w:szCs w:val="24"/>
              </w:rPr>
              <w:t>Alangilan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Pr="0082313B" w:rsidRDefault="00666551" w:rsidP="005D2A7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666551" w:rsidRPr="0082313B" w:rsidTr="005D2A7A">
        <w:trPr>
          <w:trHeight w:val="33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</w:tcPr>
          <w:p w:rsidR="00666551" w:rsidRPr="0082313B" w:rsidRDefault="00666551" w:rsidP="002B55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Kumintang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Ibaba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</w:tcPr>
          <w:p w:rsidR="00666551" w:rsidRDefault="00666551" w:rsidP="005D2A7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2B5589" w:rsidRPr="0082313B" w:rsidTr="005D2A7A">
        <w:trPr>
          <w:trHeight w:val="299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Default="002B5589" w:rsidP="006665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5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Sta. Rita </w:t>
            </w:r>
            <w:proofErr w:type="spellStart"/>
            <w:r w:rsidRPr="00666551">
              <w:rPr>
                <w:rFonts w:ascii="Times New Roman" w:hAnsi="Times New Roman" w:cs="Times New Roman"/>
                <w:b/>
                <w:sz w:val="24"/>
                <w:szCs w:val="24"/>
              </w:rPr>
              <w:t>Karsada</w:t>
            </w:r>
            <w:proofErr w:type="spellEnd"/>
          </w:p>
          <w:p w:rsidR="00666551" w:rsidRPr="00666551" w:rsidRDefault="00666551" w:rsidP="0066655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Soro-soro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Ilaya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Pr="0082313B" w:rsidRDefault="00666551" w:rsidP="005D2A7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2B5589" w:rsidRPr="0082313B" w:rsidTr="005D2A7A">
        <w:trPr>
          <w:trHeight w:val="380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666551" w:rsidRDefault="00666551" w:rsidP="006665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Balete</w:t>
            </w:r>
            <w:proofErr w:type="spellEnd"/>
          </w:p>
          <w:p w:rsidR="00666551" w:rsidRPr="00666551" w:rsidRDefault="00666551" w:rsidP="0066655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Bolbok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Pr="0082313B" w:rsidRDefault="00666551" w:rsidP="005D2A7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2B5589" w:rsidRPr="0082313B" w:rsidTr="00666551">
        <w:trPr>
          <w:trHeight w:val="503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Pr="00666551" w:rsidRDefault="00666551" w:rsidP="00666551">
            <w:pPr>
              <w:pStyle w:val="ListParagraph"/>
              <w:ind w:left="2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  <w:r w:rsidR="002B5589" w:rsidRPr="008231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Pallocan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West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Pr="0082313B" w:rsidRDefault="00666551" w:rsidP="005D2A7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2B5589" w:rsidRPr="0082313B" w:rsidTr="005D2A7A">
        <w:trPr>
          <w:trHeight w:val="31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Pr="00666551" w:rsidRDefault="00666551" w:rsidP="0066655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Libjo</w:t>
            </w:r>
            <w:proofErr w:type="spellEnd"/>
          </w:p>
          <w:p w:rsidR="002B5589" w:rsidRDefault="00666551" w:rsidP="0066655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San Isidro </w:t>
            </w:r>
          </w:p>
          <w:p w:rsidR="00666551" w:rsidRPr="00666551" w:rsidRDefault="00666551" w:rsidP="0066655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Tingga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Labac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Pr="0082313B" w:rsidRDefault="00666551" w:rsidP="002B558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2B5589" w:rsidRPr="0082313B" w:rsidTr="00666551">
        <w:trPr>
          <w:trHeight w:val="809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Default="00666551" w:rsidP="002B5589">
            <w:pPr>
              <w:pStyle w:val="ListParagraph"/>
              <w:ind w:left="2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B5589" w:rsidRPr="008231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Cuta</w:t>
            </w:r>
            <w:proofErr w:type="spellEnd"/>
          </w:p>
          <w:p w:rsidR="002B5589" w:rsidRPr="00666551" w:rsidRDefault="002B5589" w:rsidP="00666551">
            <w:pPr>
              <w:pStyle w:val="ListParagraph"/>
              <w:ind w:left="2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="00666551">
              <w:rPr>
                <w:rFonts w:ascii="Times New Roman" w:hAnsi="Times New Roman" w:cs="Times New Roman"/>
                <w:b/>
                <w:sz w:val="24"/>
                <w:szCs w:val="24"/>
              </w:rPr>
              <w:t>Soro-soro</w:t>
            </w:r>
            <w:proofErr w:type="spellEnd"/>
            <w:r w:rsidR="006665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66551">
              <w:rPr>
                <w:rFonts w:ascii="Times New Roman" w:hAnsi="Times New Roman" w:cs="Times New Roman"/>
                <w:b/>
                <w:sz w:val="24"/>
                <w:szCs w:val="24"/>
              </w:rPr>
              <w:t>Ibaba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Pr="0082313B" w:rsidRDefault="00666551" w:rsidP="005D2A7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2B5589" w:rsidRPr="0082313B" w:rsidTr="005D2A7A">
        <w:trPr>
          <w:trHeight w:val="434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666551" w:rsidRDefault="00666551" w:rsidP="002B55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Tabangao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Ambulong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B5589" w:rsidRPr="0082313B" w:rsidRDefault="00666551" w:rsidP="002B558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Gulod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Labac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Pr="0082313B" w:rsidRDefault="00666551" w:rsidP="005D2A7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2B5589" w:rsidRPr="0082313B" w:rsidTr="005D2A7A">
        <w:trPr>
          <w:trHeight w:val="398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Default="002B5589" w:rsidP="002B55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Gulod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66551">
              <w:rPr>
                <w:rFonts w:ascii="Times New Roman" w:hAnsi="Times New Roman" w:cs="Times New Roman"/>
                <w:b/>
                <w:sz w:val="24"/>
                <w:szCs w:val="24"/>
              </w:rPr>
              <w:t>Itaas</w:t>
            </w:r>
            <w:proofErr w:type="spellEnd"/>
          </w:p>
          <w:p w:rsidR="002B5589" w:rsidRPr="0082313B" w:rsidRDefault="00666551" w:rsidP="002B558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Banaba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West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Pr="0082313B" w:rsidRDefault="00666551" w:rsidP="005D2A7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2B5589" w:rsidRPr="0082313B" w:rsidTr="005D2A7A">
        <w:trPr>
          <w:trHeight w:val="4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C0714E" w:rsidRDefault="002B5589" w:rsidP="00666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1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66551">
              <w:rPr>
                <w:rFonts w:ascii="Times New Roman" w:hAnsi="Times New Roman" w:cs="Times New Roman"/>
                <w:b/>
                <w:sz w:val="24"/>
                <w:szCs w:val="24"/>
              </w:rPr>
              <w:t>Pallocan</w:t>
            </w:r>
            <w:proofErr w:type="spellEnd"/>
            <w:r w:rsidR="006665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East</w:t>
            </w:r>
          </w:p>
          <w:p w:rsidR="00C0714E" w:rsidRPr="0082313B" w:rsidRDefault="00C0714E" w:rsidP="00C0714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3" w:type="dxa"/>
              <w:left w:w="81" w:type="dxa"/>
              <w:bottom w:w="0" w:type="dxa"/>
              <w:right w:w="81" w:type="dxa"/>
            </w:tcMar>
            <w:hideMark/>
          </w:tcPr>
          <w:p w:rsidR="002B5589" w:rsidRPr="0082313B" w:rsidRDefault="00666551" w:rsidP="005D2A7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C0714E" w:rsidRDefault="00C0714E" w:rsidP="002B5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B5589" w:rsidRPr="008B302C" w:rsidRDefault="002B5589" w:rsidP="005C47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053DFF">
        <w:rPr>
          <w:rFonts w:ascii="Times New Roman" w:hAnsi="Times New Roman" w:cs="Times New Roman"/>
          <w:b/>
          <w:bCs/>
          <w:sz w:val="24"/>
          <w:szCs w:val="24"/>
        </w:rPr>
        <w:t>Barangays as to Number of Dengue Death</w:t>
      </w:r>
      <w:r w:rsidR="00C0714E">
        <w:rPr>
          <w:rFonts w:ascii="Times New Roman" w:hAnsi="Times New Roman" w:cs="Times New Roman"/>
          <w:b/>
          <w:bCs/>
          <w:sz w:val="24"/>
          <w:szCs w:val="24"/>
        </w:rPr>
        <w:t>-0</w:t>
      </w:r>
    </w:p>
    <w:p w:rsidR="002B5589" w:rsidRPr="007A4910" w:rsidRDefault="002B5589" w:rsidP="005C47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910">
        <w:rPr>
          <w:rFonts w:ascii="Times New Roman" w:hAnsi="Times New Roman" w:cs="Times New Roman"/>
          <w:b/>
          <w:sz w:val="24"/>
          <w:szCs w:val="24"/>
        </w:rPr>
        <w:t>Top 20 Incidence Rate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3650"/>
        <w:gridCol w:w="1233"/>
        <w:gridCol w:w="1817"/>
        <w:gridCol w:w="1940"/>
      </w:tblGrid>
      <w:tr w:rsidR="00D62501" w:rsidRPr="007A4910" w:rsidTr="00D62501">
        <w:trPr>
          <w:trHeight w:val="486"/>
        </w:trPr>
        <w:tc>
          <w:tcPr>
            <w:tcW w:w="3650" w:type="dxa"/>
            <w:hideMark/>
          </w:tcPr>
          <w:p w:rsidR="002B5589" w:rsidRPr="007A4910" w:rsidRDefault="002B5589" w:rsidP="005D2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BARANGAY</w:t>
            </w:r>
          </w:p>
        </w:tc>
        <w:tc>
          <w:tcPr>
            <w:tcW w:w="1233" w:type="dxa"/>
            <w:hideMark/>
          </w:tcPr>
          <w:p w:rsidR="002B5589" w:rsidRPr="007A4910" w:rsidRDefault="002B5589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CASES</w:t>
            </w:r>
          </w:p>
        </w:tc>
        <w:tc>
          <w:tcPr>
            <w:tcW w:w="1817" w:type="dxa"/>
            <w:hideMark/>
          </w:tcPr>
          <w:p w:rsidR="002B5589" w:rsidRPr="007A4910" w:rsidRDefault="002B5589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POPULATION</w:t>
            </w:r>
          </w:p>
        </w:tc>
        <w:tc>
          <w:tcPr>
            <w:tcW w:w="1940" w:type="dxa"/>
            <w:hideMark/>
          </w:tcPr>
          <w:p w:rsidR="002B5589" w:rsidRPr="007A4910" w:rsidRDefault="002B5589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INCIDENCE</w:t>
            </w:r>
          </w:p>
        </w:tc>
      </w:tr>
      <w:tr w:rsidR="00D62501" w:rsidRPr="007A4910" w:rsidTr="00D62501">
        <w:trPr>
          <w:trHeight w:val="393"/>
        </w:trPr>
        <w:tc>
          <w:tcPr>
            <w:tcW w:w="3650" w:type="dxa"/>
            <w:hideMark/>
          </w:tcPr>
          <w:p w:rsidR="002B5589" w:rsidRPr="007A4910" w:rsidRDefault="002B5589" w:rsidP="00C07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r w:rsidR="00C0714E"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Barangay 15</w:t>
            </w:r>
          </w:p>
        </w:tc>
        <w:tc>
          <w:tcPr>
            <w:tcW w:w="1233" w:type="dxa"/>
            <w:hideMark/>
          </w:tcPr>
          <w:p w:rsidR="002B5589" w:rsidRPr="00666551" w:rsidRDefault="00C0714E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55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17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940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13.89</w:t>
            </w:r>
            <w:r w:rsidR="00BF5C39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393"/>
        </w:trPr>
        <w:tc>
          <w:tcPr>
            <w:tcW w:w="3650" w:type="dxa"/>
            <w:hideMark/>
          </w:tcPr>
          <w:p w:rsidR="002B5589" w:rsidRPr="007A4910" w:rsidRDefault="00C0714E" w:rsidP="00666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 </w:t>
            </w:r>
            <w:proofErr w:type="spellStart"/>
            <w:r w:rsid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Soro-soro</w:t>
            </w:r>
            <w:proofErr w:type="spellEnd"/>
            <w:r w:rsid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Ilaya</w:t>
            </w:r>
            <w:proofErr w:type="spellEnd"/>
          </w:p>
        </w:tc>
        <w:tc>
          <w:tcPr>
            <w:tcW w:w="1233" w:type="dxa"/>
            <w:hideMark/>
          </w:tcPr>
          <w:p w:rsidR="002B5589" w:rsidRPr="00666551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551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817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3183</w:t>
            </w:r>
          </w:p>
        </w:tc>
        <w:tc>
          <w:tcPr>
            <w:tcW w:w="1940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5.97</w:t>
            </w:r>
            <w:r w:rsidR="00BF5C39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393"/>
        </w:trPr>
        <w:tc>
          <w:tcPr>
            <w:tcW w:w="3650" w:type="dxa"/>
            <w:hideMark/>
          </w:tcPr>
          <w:p w:rsidR="002B5589" w:rsidRPr="007A4910" w:rsidRDefault="002B5589" w:rsidP="00C07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Barangay 24</w:t>
            </w:r>
          </w:p>
        </w:tc>
        <w:tc>
          <w:tcPr>
            <w:tcW w:w="1233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7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1940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5.72</w:t>
            </w:r>
            <w:r w:rsidR="00BF5C39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315"/>
        </w:trPr>
        <w:tc>
          <w:tcPr>
            <w:tcW w:w="3650" w:type="dxa"/>
            <w:hideMark/>
          </w:tcPr>
          <w:p w:rsidR="002B5589" w:rsidRPr="007A4910" w:rsidRDefault="002B5589" w:rsidP="00C07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r w:rsid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Barangay 2</w:t>
            </w:r>
          </w:p>
        </w:tc>
        <w:tc>
          <w:tcPr>
            <w:tcW w:w="1233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7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858</w:t>
            </w:r>
          </w:p>
        </w:tc>
        <w:tc>
          <w:tcPr>
            <w:tcW w:w="1940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4.66</w:t>
            </w:r>
            <w:r w:rsidR="00BF5C39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393"/>
        </w:trPr>
        <w:tc>
          <w:tcPr>
            <w:tcW w:w="3650" w:type="dxa"/>
            <w:hideMark/>
          </w:tcPr>
          <w:p w:rsidR="002B5589" w:rsidRPr="007A4910" w:rsidRDefault="002B5589" w:rsidP="00C07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</w:t>
            </w:r>
            <w:proofErr w:type="spellStart"/>
            <w:r w:rsid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Dela</w:t>
            </w:r>
            <w:proofErr w:type="spellEnd"/>
            <w:r w:rsid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Paz </w:t>
            </w:r>
            <w:proofErr w:type="spellStart"/>
            <w:r w:rsid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Pulot</w:t>
            </w:r>
            <w:proofErr w:type="spellEnd"/>
            <w:r w:rsid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Itaas</w:t>
            </w:r>
            <w:proofErr w:type="spellEnd"/>
          </w:p>
        </w:tc>
        <w:tc>
          <w:tcPr>
            <w:tcW w:w="1233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7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</w:p>
        </w:tc>
        <w:tc>
          <w:tcPr>
            <w:tcW w:w="1940" w:type="dxa"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3.73</w:t>
            </w:r>
            <w:r w:rsidR="00BF5C39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393"/>
        </w:trPr>
        <w:tc>
          <w:tcPr>
            <w:tcW w:w="3650" w:type="dxa"/>
            <w:hideMark/>
          </w:tcPr>
          <w:p w:rsidR="002B5589" w:rsidRPr="007A4910" w:rsidRDefault="002B5589" w:rsidP="00C07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6. </w:t>
            </w:r>
            <w:r w:rsid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Barangay 18</w:t>
            </w:r>
          </w:p>
        </w:tc>
        <w:tc>
          <w:tcPr>
            <w:tcW w:w="1233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7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544</w:t>
            </w:r>
          </w:p>
        </w:tc>
        <w:tc>
          <w:tcPr>
            <w:tcW w:w="1940" w:type="dxa"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3.68</w:t>
            </w:r>
            <w:r w:rsidR="00BF5C39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393"/>
        </w:trPr>
        <w:tc>
          <w:tcPr>
            <w:tcW w:w="3650" w:type="dxa"/>
            <w:hideMark/>
          </w:tcPr>
          <w:p w:rsidR="002B5589" w:rsidRPr="007A4910" w:rsidRDefault="002B5589" w:rsidP="00C07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7. </w:t>
            </w:r>
            <w:r w:rsid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Barangay 9</w:t>
            </w:r>
          </w:p>
        </w:tc>
        <w:tc>
          <w:tcPr>
            <w:tcW w:w="1233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7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1940" w:type="dxa"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3.36</w:t>
            </w:r>
            <w:r w:rsidR="00BF5C39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447"/>
        </w:trPr>
        <w:tc>
          <w:tcPr>
            <w:tcW w:w="3650" w:type="dxa"/>
            <w:hideMark/>
          </w:tcPr>
          <w:p w:rsidR="002B5589" w:rsidRPr="00D62501" w:rsidRDefault="00666551" w:rsidP="00D625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 </w:t>
            </w:r>
            <w:proofErr w:type="spellStart"/>
            <w:r w:rsidRP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Mahacot</w:t>
            </w:r>
            <w:proofErr w:type="spellEnd"/>
            <w:r w:rsidRP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6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Kanluran</w:t>
            </w:r>
            <w:proofErr w:type="spellEnd"/>
          </w:p>
        </w:tc>
        <w:tc>
          <w:tcPr>
            <w:tcW w:w="1233" w:type="dxa"/>
            <w:hideMark/>
          </w:tcPr>
          <w:p w:rsidR="002B5589" w:rsidRPr="007A4910" w:rsidRDefault="0066655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7" w:type="dxa"/>
            <w:hideMark/>
          </w:tcPr>
          <w:p w:rsidR="002B558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712</w:t>
            </w:r>
          </w:p>
        </w:tc>
        <w:tc>
          <w:tcPr>
            <w:tcW w:w="1940" w:type="dxa"/>
          </w:tcPr>
          <w:p w:rsidR="002B558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2.81</w:t>
            </w:r>
            <w:r w:rsidR="00BF5C39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501"/>
        </w:trPr>
        <w:tc>
          <w:tcPr>
            <w:tcW w:w="3650" w:type="dxa"/>
            <w:hideMark/>
          </w:tcPr>
          <w:p w:rsidR="002B5589" w:rsidRPr="007A4910" w:rsidRDefault="002B5589" w:rsidP="00C07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9. </w:t>
            </w:r>
            <w:proofErr w:type="spellStart"/>
            <w:r w:rsidR="00D625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Soro-soro</w:t>
            </w:r>
            <w:proofErr w:type="spellEnd"/>
            <w:r w:rsidR="00D625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625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Ibaba</w:t>
            </w:r>
            <w:proofErr w:type="spellEnd"/>
          </w:p>
        </w:tc>
        <w:tc>
          <w:tcPr>
            <w:tcW w:w="1233" w:type="dxa"/>
            <w:hideMark/>
          </w:tcPr>
          <w:p w:rsidR="002B558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17" w:type="dxa"/>
            <w:hideMark/>
          </w:tcPr>
          <w:p w:rsidR="002B558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3260</w:t>
            </w:r>
          </w:p>
        </w:tc>
        <w:tc>
          <w:tcPr>
            <w:tcW w:w="1940" w:type="dxa"/>
          </w:tcPr>
          <w:p w:rsidR="002B558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2.76</w:t>
            </w:r>
            <w:r w:rsidR="00BF5C39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476"/>
        </w:trPr>
        <w:tc>
          <w:tcPr>
            <w:tcW w:w="3650" w:type="dxa"/>
            <w:hideMark/>
          </w:tcPr>
          <w:p w:rsidR="002B5589" w:rsidRPr="007A4910" w:rsidRDefault="002B5589" w:rsidP="00C07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C0714E"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D62501"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25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Barangay 14</w:t>
            </w:r>
          </w:p>
        </w:tc>
        <w:tc>
          <w:tcPr>
            <w:tcW w:w="1233" w:type="dxa"/>
            <w:hideMark/>
          </w:tcPr>
          <w:p w:rsidR="002B558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7" w:type="dxa"/>
          </w:tcPr>
          <w:p w:rsidR="002B558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1940" w:type="dxa"/>
          </w:tcPr>
          <w:p w:rsidR="002B558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2.63</w:t>
            </w:r>
            <w:r w:rsidR="00BF5C39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435"/>
        </w:trPr>
        <w:tc>
          <w:tcPr>
            <w:tcW w:w="3650" w:type="dxa"/>
            <w:hideMark/>
          </w:tcPr>
          <w:p w:rsidR="002B5589" w:rsidRPr="007A4910" w:rsidRDefault="00C0714E" w:rsidP="00C07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11. </w:t>
            </w:r>
            <w:r w:rsidR="00D625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Barangay 10</w:t>
            </w:r>
          </w:p>
        </w:tc>
        <w:tc>
          <w:tcPr>
            <w:tcW w:w="1233" w:type="dxa"/>
            <w:hideMark/>
          </w:tcPr>
          <w:p w:rsidR="002B558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7" w:type="dxa"/>
          </w:tcPr>
          <w:p w:rsidR="002B558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1,542</w:t>
            </w:r>
          </w:p>
        </w:tc>
        <w:tc>
          <w:tcPr>
            <w:tcW w:w="1940" w:type="dxa"/>
          </w:tcPr>
          <w:p w:rsidR="002B558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2.59</w:t>
            </w:r>
            <w:r w:rsidR="00BF5C39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412"/>
        </w:trPr>
        <w:tc>
          <w:tcPr>
            <w:tcW w:w="3650" w:type="dxa"/>
          </w:tcPr>
          <w:p w:rsidR="00BF5C39" w:rsidRPr="007A4910" w:rsidRDefault="00BF5C39" w:rsidP="00C07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</w:t>
            </w:r>
            <w:r w:rsidR="00D62501"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25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Barangay 11</w:t>
            </w:r>
          </w:p>
        </w:tc>
        <w:tc>
          <w:tcPr>
            <w:tcW w:w="1233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7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803</w:t>
            </w:r>
          </w:p>
        </w:tc>
        <w:tc>
          <w:tcPr>
            <w:tcW w:w="1940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2.49</w:t>
            </w:r>
            <w:r w:rsidR="008B302C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418"/>
        </w:trPr>
        <w:tc>
          <w:tcPr>
            <w:tcW w:w="3650" w:type="dxa"/>
          </w:tcPr>
          <w:p w:rsidR="00BF5C39" w:rsidRPr="007A4910" w:rsidRDefault="00D62501" w:rsidP="00C07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</w:t>
            </w: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Barangay 16</w:t>
            </w:r>
            <w:r w:rsidR="008B302C"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33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7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858</w:t>
            </w:r>
          </w:p>
        </w:tc>
        <w:tc>
          <w:tcPr>
            <w:tcW w:w="1940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="008B302C" w:rsidRPr="007A4910">
              <w:rPr>
                <w:rFonts w:ascii="Times New Roman" w:hAnsi="Times New Roman" w:cs="Times New Roman"/>
                <w:sz w:val="24"/>
                <w:szCs w:val="24"/>
              </w:rPr>
              <w:t>3%</w:t>
            </w:r>
          </w:p>
        </w:tc>
      </w:tr>
      <w:tr w:rsidR="00D62501" w:rsidRPr="007A4910" w:rsidTr="00D62501">
        <w:trPr>
          <w:trHeight w:val="425"/>
        </w:trPr>
        <w:tc>
          <w:tcPr>
            <w:tcW w:w="3650" w:type="dxa"/>
          </w:tcPr>
          <w:p w:rsidR="00BF5C39" w:rsidRPr="007A4910" w:rsidRDefault="00D62501" w:rsidP="00C07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14.</w:t>
            </w: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Barangay 20</w:t>
            </w:r>
          </w:p>
        </w:tc>
        <w:tc>
          <w:tcPr>
            <w:tcW w:w="1233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7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1940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  <w:r w:rsidR="008B302C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417"/>
        </w:trPr>
        <w:tc>
          <w:tcPr>
            <w:tcW w:w="3650" w:type="dxa"/>
          </w:tcPr>
          <w:p w:rsidR="00BF5C39" w:rsidRPr="007A4910" w:rsidRDefault="00D62501" w:rsidP="00C07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15.Pinamucan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Ibaba</w:t>
            </w:r>
            <w:proofErr w:type="spellEnd"/>
          </w:p>
        </w:tc>
        <w:tc>
          <w:tcPr>
            <w:tcW w:w="1233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7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1821</w:t>
            </w:r>
          </w:p>
        </w:tc>
        <w:tc>
          <w:tcPr>
            <w:tcW w:w="1940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  <w:r w:rsidR="008B302C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408"/>
        </w:trPr>
        <w:tc>
          <w:tcPr>
            <w:tcW w:w="3650" w:type="dxa"/>
          </w:tcPr>
          <w:p w:rsidR="00BF5C39" w:rsidRPr="007A4910" w:rsidRDefault="00D62501" w:rsidP="00C07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16.Kumintang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Ibaba</w:t>
            </w:r>
            <w:proofErr w:type="spellEnd"/>
          </w:p>
        </w:tc>
        <w:tc>
          <w:tcPr>
            <w:tcW w:w="1233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17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10579</w:t>
            </w:r>
          </w:p>
        </w:tc>
        <w:tc>
          <w:tcPr>
            <w:tcW w:w="1940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  <w:r w:rsidR="008B302C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414"/>
        </w:trPr>
        <w:tc>
          <w:tcPr>
            <w:tcW w:w="3650" w:type="dxa"/>
          </w:tcPr>
          <w:p w:rsidR="00BF5C39" w:rsidRPr="007A4910" w:rsidRDefault="00D62501" w:rsidP="00C07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17.Alangilan</w:t>
            </w:r>
          </w:p>
        </w:tc>
        <w:tc>
          <w:tcPr>
            <w:tcW w:w="1233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817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17279</w:t>
            </w:r>
          </w:p>
        </w:tc>
        <w:tc>
          <w:tcPr>
            <w:tcW w:w="1940" w:type="dxa"/>
          </w:tcPr>
          <w:p w:rsidR="00BF5C39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2.14</w:t>
            </w:r>
            <w:r w:rsidR="008B302C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407"/>
        </w:trPr>
        <w:tc>
          <w:tcPr>
            <w:tcW w:w="3650" w:type="dxa"/>
          </w:tcPr>
          <w:p w:rsidR="008B302C" w:rsidRPr="007A4910" w:rsidRDefault="00D62501" w:rsidP="005D2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18.Gulod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Labac</w:t>
            </w:r>
            <w:proofErr w:type="spellEnd"/>
          </w:p>
        </w:tc>
        <w:tc>
          <w:tcPr>
            <w:tcW w:w="1233" w:type="dxa"/>
          </w:tcPr>
          <w:p w:rsidR="008B302C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17" w:type="dxa"/>
          </w:tcPr>
          <w:p w:rsidR="008B302C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3337</w:t>
            </w:r>
          </w:p>
        </w:tc>
        <w:tc>
          <w:tcPr>
            <w:tcW w:w="1940" w:type="dxa"/>
          </w:tcPr>
          <w:p w:rsidR="008B302C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  <w:r w:rsidR="008B302C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413"/>
        </w:trPr>
        <w:tc>
          <w:tcPr>
            <w:tcW w:w="3650" w:type="dxa"/>
          </w:tcPr>
          <w:p w:rsidR="008B302C" w:rsidRPr="007A4910" w:rsidRDefault="00D62501" w:rsidP="005D2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19.San Pedro</w:t>
            </w:r>
          </w:p>
        </w:tc>
        <w:tc>
          <w:tcPr>
            <w:tcW w:w="1233" w:type="dxa"/>
          </w:tcPr>
          <w:p w:rsidR="008B302C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7" w:type="dxa"/>
          </w:tcPr>
          <w:p w:rsidR="008B302C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1916</w:t>
            </w:r>
          </w:p>
        </w:tc>
        <w:tc>
          <w:tcPr>
            <w:tcW w:w="1940" w:type="dxa"/>
          </w:tcPr>
          <w:p w:rsidR="008B302C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2.09</w:t>
            </w:r>
            <w:r w:rsidR="008B302C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501" w:rsidRPr="007A4910" w:rsidTr="00D62501">
        <w:trPr>
          <w:trHeight w:val="416"/>
        </w:trPr>
        <w:tc>
          <w:tcPr>
            <w:tcW w:w="3650" w:type="dxa"/>
          </w:tcPr>
          <w:p w:rsidR="008B302C" w:rsidRPr="007A4910" w:rsidRDefault="008B302C" w:rsidP="00D625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20.</w:t>
            </w:r>
            <w:r w:rsidR="00D625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Paharang </w:t>
            </w:r>
            <w:proofErr w:type="spellStart"/>
            <w:r w:rsidR="00D625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Kanluran</w:t>
            </w:r>
            <w:proofErr w:type="spellEnd"/>
          </w:p>
        </w:tc>
        <w:tc>
          <w:tcPr>
            <w:tcW w:w="1233" w:type="dxa"/>
          </w:tcPr>
          <w:p w:rsidR="008B302C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7" w:type="dxa"/>
          </w:tcPr>
          <w:p w:rsidR="008B302C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1622</w:t>
            </w:r>
          </w:p>
        </w:tc>
        <w:tc>
          <w:tcPr>
            <w:tcW w:w="1940" w:type="dxa"/>
          </w:tcPr>
          <w:p w:rsidR="008B302C" w:rsidRPr="007A4910" w:rsidRDefault="00D62501" w:rsidP="007A4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1.85</w:t>
            </w:r>
            <w:r w:rsidR="008B302C" w:rsidRPr="007A49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B30068" w:rsidRPr="007A4910" w:rsidRDefault="00B30068">
      <w:pPr>
        <w:rPr>
          <w:rFonts w:ascii="Times New Roman" w:hAnsi="Times New Roman" w:cs="Times New Roman"/>
        </w:rPr>
      </w:pPr>
    </w:p>
    <w:sectPr w:rsidR="00B30068" w:rsidRPr="007A4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B47"/>
    <w:multiLevelType w:val="hybridMultilevel"/>
    <w:tmpl w:val="88EE8942"/>
    <w:lvl w:ilvl="0" w:tplc="0D18A37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D8BB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CC6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CC8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9AB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E0F1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32D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187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20D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0A2717"/>
    <w:multiLevelType w:val="hybridMultilevel"/>
    <w:tmpl w:val="D18C97CE"/>
    <w:lvl w:ilvl="0" w:tplc="60EEE2E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88AC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F653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E82D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4A3A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87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9ED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D288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4A2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737522"/>
    <w:multiLevelType w:val="hybridMultilevel"/>
    <w:tmpl w:val="DCCE857C"/>
    <w:lvl w:ilvl="0" w:tplc="801ADEE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4AB2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D6F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543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7E00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EA4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CC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1EE1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5E10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F74DFD"/>
    <w:multiLevelType w:val="hybridMultilevel"/>
    <w:tmpl w:val="743CB9DA"/>
    <w:lvl w:ilvl="0" w:tplc="86061C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D6A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3479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41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2E9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4A99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C5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DE3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CA9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551594"/>
    <w:multiLevelType w:val="hybridMultilevel"/>
    <w:tmpl w:val="1A0CA778"/>
    <w:lvl w:ilvl="0" w:tplc="2EC0CE1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9A4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90E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AAD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C39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3C0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0E4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E0E8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36E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620CE4"/>
    <w:multiLevelType w:val="hybridMultilevel"/>
    <w:tmpl w:val="79BC8C74"/>
    <w:lvl w:ilvl="0" w:tplc="C24EE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2E2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6D1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92D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4C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32F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F0E8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29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543F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C913B8"/>
    <w:multiLevelType w:val="hybridMultilevel"/>
    <w:tmpl w:val="705875A8"/>
    <w:lvl w:ilvl="0" w:tplc="3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89"/>
    <w:rsid w:val="0014197E"/>
    <w:rsid w:val="00266BB6"/>
    <w:rsid w:val="002B5589"/>
    <w:rsid w:val="003A3ABD"/>
    <w:rsid w:val="005215E9"/>
    <w:rsid w:val="005C4776"/>
    <w:rsid w:val="0060557A"/>
    <w:rsid w:val="00666551"/>
    <w:rsid w:val="007A4910"/>
    <w:rsid w:val="008B302C"/>
    <w:rsid w:val="00B30068"/>
    <w:rsid w:val="00B447D1"/>
    <w:rsid w:val="00BF5C39"/>
    <w:rsid w:val="00C0714E"/>
    <w:rsid w:val="00D62501"/>
    <w:rsid w:val="00E1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5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5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5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5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Downloads\DHF%202020(1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Downloads\DHF%2020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PH"/>
  <c:roundedCorners val="0"/>
  <mc:AlternateContent xmlns:mc="http://schemas.openxmlformats.org/markup-compatibility/2006">
    <mc:Choice xmlns:c14="http://schemas.microsoft.com/office/drawing/2007/8/2/chart" Requires="c14">
      <c14:style val="138"/>
    </mc:Choice>
    <mc:Fallback>
      <c:style val="38"/>
    </mc:Fallback>
  </mc:AlternateContent>
  <c:chart>
    <c:autoTitleDeleted val="0"/>
    <c:plotArea>
      <c:layout>
        <c:manualLayout>
          <c:layoutTarget val="inner"/>
          <c:xMode val="edge"/>
          <c:yMode val="edge"/>
          <c:x val="9.5271885001651041E-2"/>
          <c:y val="4.3003425197241228E-2"/>
          <c:w val="0.79606686010021233"/>
          <c:h val="0.645273365793103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rgbClr val="BB1B32"/>
            </a:solidFill>
          </c:spPr>
          <c:invertIfNegative val="0"/>
          <c:dPt>
            <c:idx val="8"/>
            <c:invertIfNegative val="0"/>
            <c:bubble3D val="0"/>
            <c:spPr>
              <a:solidFill>
                <a:srgbClr val="BB1B32"/>
              </a:solidFill>
              <a:ln>
                <a:solidFill>
                  <a:srgbClr val="0F6FC6"/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0D8-4E1C-9C2F-FBF38F33C20D}"/>
              </c:ext>
            </c:extLst>
          </c:dPt>
          <c:dLbls>
            <c:dLbl>
              <c:idx val="0"/>
              <c:layout>
                <c:manualLayout>
                  <c:x val="-8.4617182538318254E-3"/>
                  <c:y val="6.148845142787564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3.8077732142243305E-3"/>
                  <c:y val="-2.766980314254404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0D8-4E1C-9C2F-FBF38F33C20D}"/>
                </c:ext>
              </c:extLst>
            </c:dLbl>
            <c:dLbl>
              <c:idx val="3"/>
              <c:layout>
                <c:manualLayout>
                  <c:x val="-8.4617182538318254E-3"/>
                  <c:y val="3.074422571393781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8.4617182538318254E-3"/>
                  <c:y val="3.074422571393781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6.7693746030654004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-6.7693746030654629E-3"/>
                  <c:y val="1.537211285696890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83</c:v>
                </c:pt>
                <c:pt idx="1">
                  <c:v>51</c:v>
                </c:pt>
                <c:pt idx="2">
                  <c:v>45</c:v>
                </c:pt>
                <c:pt idx="3">
                  <c:v>16</c:v>
                </c:pt>
                <c:pt idx="4">
                  <c:v>31</c:v>
                </c:pt>
                <c:pt idx="5">
                  <c:v>99</c:v>
                </c:pt>
                <c:pt idx="6">
                  <c:v>75</c:v>
                </c:pt>
                <c:pt idx="7">
                  <c:v>89</c:v>
                </c:pt>
                <c:pt idx="8">
                  <c:v>60</c:v>
                </c:pt>
                <c:pt idx="9">
                  <c:v>92</c:v>
                </c:pt>
                <c:pt idx="10">
                  <c:v>99</c:v>
                </c:pt>
                <c:pt idx="11">
                  <c:v>108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C0D8-4E1C-9C2F-FBF38F33C2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rgbClr val="3309CD"/>
            </a:solidFill>
          </c:spPr>
          <c:invertIfNegative val="0"/>
          <c:dLbls>
            <c:dLbl>
              <c:idx val="3"/>
              <c:layout>
                <c:manualLayout>
                  <c:x val="-5.0770309522990952E-3"/>
                  <c:y val="-1.22976902855751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1.015406190459818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0D8-4E1C-9C2F-FBF38F33C20D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75</c:v>
                </c:pt>
                <c:pt idx="1">
                  <c:v>33</c:v>
                </c:pt>
                <c:pt idx="2">
                  <c:v>34</c:v>
                </c:pt>
                <c:pt idx="3">
                  <c:v>15</c:v>
                </c:pt>
                <c:pt idx="4">
                  <c:v>23</c:v>
                </c:pt>
                <c:pt idx="5">
                  <c:v>18</c:v>
                </c:pt>
                <c:pt idx="6">
                  <c:v>62</c:v>
                </c:pt>
                <c:pt idx="7">
                  <c:v>111</c:v>
                </c:pt>
                <c:pt idx="8">
                  <c:v>89</c:v>
                </c:pt>
                <c:pt idx="9">
                  <c:v>98</c:v>
                </c:pt>
                <c:pt idx="10">
                  <c:v>77</c:v>
                </c:pt>
                <c:pt idx="11">
                  <c:v>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C0D8-4E1C-9C2F-FBF38F33C20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110</c:v>
                </c:pt>
                <c:pt idx="1">
                  <c:v>136</c:v>
                </c:pt>
                <c:pt idx="2">
                  <c:v>62</c:v>
                </c:pt>
                <c:pt idx="3">
                  <c:v>33</c:v>
                </c:pt>
                <c:pt idx="4">
                  <c:v>43</c:v>
                </c:pt>
                <c:pt idx="5">
                  <c:v>93</c:v>
                </c:pt>
                <c:pt idx="6">
                  <c:v>196</c:v>
                </c:pt>
                <c:pt idx="7">
                  <c:v>404</c:v>
                </c:pt>
                <c:pt idx="8">
                  <c:v>486</c:v>
                </c:pt>
                <c:pt idx="9">
                  <c:v>379</c:v>
                </c:pt>
                <c:pt idx="10">
                  <c:v>193</c:v>
                </c:pt>
                <c:pt idx="11">
                  <c:v>136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129</c:v>
                </c:pt>
                <c:pt idx="1">
                  <c:v>63</c:v>
                </c:pt>
                <c:pt idx="2">
                  <c:v>27</c:v>
                </c:pt>
                <c:pt idx="3">
                  <c:v>2</c:v>
                </c:pt>
                <c:pt idx="4">
                  <c:v>0</c:v>
                </c:pt>
                <c:pt idx="5">
                  <c:v>2</c:v>
                </c:pt>
                <c:pt idx="6">
                  <c:v>7</c:v>
                </c:pt>
                <c:pt idx="7">
                  <c:v>4</c:v>
                </c:pt>
                <c:pt idx="8">
                  <c:v>5</c:v>
                </c:pt>
                <c:pt idx="9">
                  <c:v>4</c:v>
                </c:pt>
                <c:pt idx="10">
                  <c:v>7</c:v>
                </c:pt>
                <c:pt idx="11">
                  <c:v>11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2021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Sheet1!$F$2:$F$13</c:f>
              <c:numCache>
                <c:formatCode>General</c:formatCode>
                <c:ptCount val="12"/>
                <c:pt idx="0">
                  <c:v>18</c:v>
                </c:pt>
                <c:pt idx="1">
                  <c:v>18</c:v>
                </c:pt>
                <c:pt idx="2">
                  <c:v>5</c:v>
                </c:pt>
                <c:pt idx="3">
                  <c:v>12</c:v>
                </c:pt>
                <c:pt idx="4">
                  <c:v>6</c:v>
                </c:pt>
                <c:pt idx="5">
                  <c:v>9</c:v>
                </c:pt>
                <c:pt idx="6">
                  <c:v>24</c:v>
                </c:pt>
                <c:pt idx="7">
                  <c:v>26</c:v>
                </c:pt>
                <c:pt idx="8">
                  <c:v>47</c:v>
                </c:pt>
                <c:pt idx="9">
                  <c:v>74</c:v>
                </c:pt>
                <c:pt idx="10">
                  <c:v>73</c:v>
                </c:pt>
                <c:pt idx="11">
                  <c:v>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269184"/>
        <c:axId val="134865280"/>
      </c:barChart>
      <c:catAx>
        <c:axId val="134269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PH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MORBIDITY</a:t>
                </a:r>
                <a:r>
                  <a:rPr lang="en-PH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MONTH</a:t>
                </a:r>
                <a:endParaRPr lang="en-PH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34865280"/>
        <c:crosses val="autoZero"/>
        <c:auto val="1"/>
        <c:lblAlgn val="ctr"/>
        <c:lblOffset val="100"/>
        <c:noMultiLvlLbl val="0"/>
      </c:catAx>
      <c:valAx>
        <c:axId val="1348652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PH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NO. OF CASES</a:t>
                </a:r>
              </a:p>
            </c:rich>
          </c:tx>
          <c:layout>
            <c:manualLayout>
              <c:xMode val="edge"/>
              <c:yMode val="edge"/>
              <c:x val="1.0839895013123359E-2"/>
              <c:y val="0.3189175062356335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42691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654064876505821"/>
          <c:y val="3.4494669144617796E-2"/>
          <c:w val="6.9780337171726561E-2"/>
          <c:h val="0.32775628393004125"/>
        </c:manualLayout>
      </c:layout>
      <c:overlay val="0"/>
      <c:spPr>
        <a:ln>
          <a:solidFill>
            <a:schemeClr val="bg1"/>
          </a:solidFill>
        </a:ln>
      </c:spPr>
    </c:legend>
    <c:plotVisOnly val="1"/>
    <c:dispBlanksAs val="gap"/>
    <c:showDLblsOverMax val="0"/>
  </c:chart>
  <c:txPr>
    <a:bodyPr/>
    <a:lstStyle/>
    <a:p>
      <a:pPr>
        <a:defRPr sz="9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P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PH" sz="1400" b="1">
                <a:effectLst/>
              </a:rPr>
              <a:t>Distribution of Dengue Cases CY 2010-2021, Batangas City</a:t>
            </a:r>
            <a:endParaRPr lang="en-PH" sz="1400">
              <a:effectLst/>
            </a:endParaRPr>
          </a:p>
        </c:rich>
      </c:tx>
      <c:layout>
        <c:manualLayout>
          <c:xMode val="edge"/>
          <c:yMode val="edge"/>
          <c:x val="0.11605760818359244"/>
          <c:y val="1.7075773745997867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8614795746685511"/>
          <c:y val="0.14409684745544976"/>
          <c:w val="0.67821279769410325"/>
          <c:h val="0.7015403571759157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cases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5.1971329831747935E-3"/>
                  <c:y val="7.545053392576074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numRef>
              <c:f>Sheet1!$A$2:$A$13</c:f>
              <c:numCache>
                <c:formatCode>General</c:formatCode>
                <c:ptCount val="12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1407</c:v>
                </c:pt>
                <c:pt idx="1">
                  <c:v>836</c:v>
                </c:pt>
                <c:pt idx="2">
                  <c:v>2064</c:v>
                </c:pt>
                <c:pt idx="3">
                  <c:v>1721</c:v>
                </c:pt>
                <c:pt idx="4">
                  <c:v>684</c:v>
                </c:pt>
                <c:pt idx="5">
                  <c:v>1163</c:v>
                </c:pt>
                <c:pt idx="6">
                  <c:v>1203</c:v>
                </c:pt>
                <c:pt idx="7">
                  <c:v>848</c:v>
                </c:pt>
                <c:pt idx="8">
                  <c:v>695</c:v>
                </c:pt>
                <c:pt idx="9">
                  <c:v>2271</c:v>
                </c:pt>
                <c:pt idx="10">
                  <c:v>261</c:v>
                </c:pt>
                <c:pt idx="11">
                  <c:v>339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93634304"/>
        <c:axId val="193637376"/>
      </c:barChart>
      <c:catAx>
        <c:axId val="193634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PH"/>
                  <a:t>MORBIDITY YEAR</a:t>
                </a:r>
              </a:p>
            </c:rich>
          </c:tx>
          <c:overlay val="0"/>
        </c:title>
        <c:numFmt formatCode="General" sourceLinked="1"/>
        <c:majorTickMark val="out"/>
        <c:minorTickMark val="in"/>
        <c:tickLblPos val="low"/>
        <c:txPr>
          <a:bodyPr/>
          <a:lstStyle/>
          <a:p>
            <a:pPr>
              <a:defRPr lang="en-US"/>
            </a:pPr>
            <a:endParaRPr lang="en-US"/>
          </a:p>
        </c:txPr>
        <c:crossAx val="193637376"/>
        <c:crosses val="autoZero"/>
        <c:auto val="1"/>
        <c:lblAlgn val="ctr"/>
        <c:lblOffset val="100"/>
        <c:noMultiLvlLbl val="0"/>
      </c:catAx>
      <c:valAx>
        <c:axId val="1936373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PH"/>
                  <a:t>NO.</a:t>
                </a:r>
                <a:r>
                  <a:rPr lang="en-PH" baseline="0"/>
                  <a:t> OF CASES</a:t>
                </a:r>
                <a:endParaRPr lang="en-PH"/>
              </a:p>
            </c:rich>
          </c:tx>
          <c:layout>
            <c:manualLayout>
              <c:xMode val="edge"/>
              <c:yMode val="edge"/>
              <c:x val="5.2579581398479035E-2"/>
              <c:y val="0.3216759804704240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>
                <a:solidFill>
                  <a:schemeClr val="bg1"/>
                </a:solidFill>
              </a:defRPr>
            </a:pPr>
            <a:endParaRPr lang="en-US"/>
          </a:p>
        </c:txPr>
        <c:crossAx val="193634304"/>
        <c:crosses val="autoZero"/>
        <c:crossBetween val="between"/>
      </c:valAx>
      <c:spPr>
        <a:solidFill>
          <a:schemeClr val="accent6">
            <a:lumMod val="40000"/>
            <a:lumOff val="60000"/>
          </a:schemeClr>
        </a:solidFill>
      </c:spPr>
    </c:plotArea>
    <c:plotVisOnly val="1"/>
    <c:dispBlanksAs val="gap"/>
    <c:showDLblsOverMax val="0"/>
  </c:chart>
  <c:spPr>
    <a:solidFill>
      <a:srgbClr val="92D050"/>
    </a:solidFill>
  </c:spPr>
  <c:txPr>
    <a:bodyPr/>
    <a:lstStyle/>
    <a:p>
      <a:pPr>
        <a:defRPr sz="1200" baseline="0">
          <a:latin typeface="Times New Roman" pitchFamily="18" charset="0"/>
        </a:defRPr>
      </a:pPr>
      <a:endParaRPr lang="en-US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P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PH" sz="12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Distribution of Dengue Cases by Age group and Sex, Morbidity Week ( January 1, 2020 to December 31, 2020) Batangas City</a:t>
            </a:r>
            <a:endParaRPr lang="en-PH" sz="12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9905818022747157"/>
          <c:y val="0.20370370370370369"/>
          <c:w val="0.61772047244094486"/>
          <c:h val="0.63864975211431907"/>
        </c:manualLayout>
      </c:layout>
      <c:barChart>
        <c:barDir val="bar"/>
        <c:grouping val="clustered"/>
        <c:varyColors val="0"/>
        <c:ser>
          <c:idx val="0"/>
          <c:order val="0"/>
          <c:tx>
            <c:v>FEMALE</c:v>
          </c:tx>
          <c:spPr>
            <a:solidFill>
              <a:srgbClr val="C00000"/>
            </a:solidFill>
            <a:ln>
              <a:solidFill>
                <a:sysClr val="windowText" lastClr="000000"/>
              </a:solidFill>
            </a:ln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61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31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15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2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3.888888888888889E-2"/>
                  <c:y val="4.629629629629629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'[DHF 2020(1).xlsx]AGE SEX BUTTERFLY'!$E$2:$E$8</c:f>
              <c:strCache>
                <c:ptCount val="7"/>
                <c:pt idx="0">
                  <c:v>0-10</c:v>
                </c:pt>
                <c:pt idx="1">
                  <c:v>11-20</c:v>
                </c:pt>
                <c:pt idx="2">
                  <c:v>21-30</c:v>
                </c:pt>
                <c:pt idx="3">
                  <c:v>31-40</c:v>
                </c:pt>
                <c:pt idx="4">
                  <c:v>41-50</c:v>
                </c:pt>
                <c:pt idx="5">
                  <c:v>51-60</c:v>
                </c:pt>
                <c:pt idx="6">
                  <c:v>61 &amp; ABOVE</c:v>
                </c:pt>
              </c:strCache>
            </c:strRef>
          </c:cat>
          <c:val>
            <c:numRef>
              <c:f>'[DHF 2020(1).xlsx]AGE SEX BUTTERFLY'!$F$2:$F$8</c:f>
              <c:numCache>
                <c:formatCode>General</c:formatCode>
                <c:ptCount val="7"/>
                <c:pt idx="0">
                  <c:v>-61</c:v>
                </c:pt>
                <c:pt idx="1">
                  <c:v>-31</c:v>
                </c:pt>
                <c:pt idx="2">
                  <c:v>-15</c:v>
                </c:pt>
                <c:pt idx="3">
                  <c:v>-5</c:v>
                </c:pt>
                <c:pt idx="4">
                  <c:v>-2</c:v>
                </c:pt>
                <c:pt idx="5">
                  <c:v>0</c:v>
                </c:pt>
                <c:pt idx="6">
                  <c:v>-1</c:v>
                </c:pt>
              </c:numCache>
            </c:numRef>
          </c:val>
        </c:ser>
        <c:ser>
          <c:idx val="1"/>
          <c:order val="1"/>
          <c:tx>
            <c:v>MALE</c:v>
          </c:tx>
          <c:spPr>
            <a:solidFill>
              <a:srgbClr val="0070C0"/>
            </a:solidFill>
            <a:ln>
              <a:solidFill>
                <a:sysClr val="windowText" lastClr="000000"/>
              </a:solidFill>
            </a:ln>
          </c:spPr>
          <c:invertIfNegative val="0"/>
          <c:dLbls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'[DHF 2020(1).xlsx]AGE SEX BUTTERFLY'!$E$2:$E$8</c:f>
              <c:strCache>
                <c:ptCount val="7"/>
                <c:pt idx="0">
                  <c:v>0-10</c:v>
                </c:pt>
                <c:pt idx="1">
                  <c:v>11-20</c:v>
                </c:pt>
                <c:pt idx="2">
                  <c:v>21-30</c:v>
                </c:pt>
                <c:pt idx="3">
                  <c:v>31-40</c:v>
                </c:pt>
                <c:pt idx="4">
                  <c:v>41-50</c:v>
                </c:pt>
                <c:pt idx="5">
                  <c:v>51-60</c:v>
                </c:pt>
                <c:pt idx="6">
                  <c:v>61 &amp; ABOVE</c:v>
                </c:pt>
              </c:strCache>
            </c:strRef>
          </c:cat>
          <c:val>
            <c:numRef>
              <c:f>'[DHF 2020(1).xlsx]AGE SEX BUTTERFLY'!$G$2:$G$8</c:f>
              <c:numCache>
                <c:formatCode>General</c:formatCode>
                <c:ptCount val="7"/>
                <c:pt idx="0">
                  <c:v>65</c:v>
                </c:pt>
                <c:pt idx="1">
                  <c:v>57</c:v>
                </c:pt>
                <c:pt idx="2">
                  <c:v>17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"/>
        <c:overlap val="100"/>
        <c:axId val="193656320"/>
        <c:axId val="193658240"/>
      </c:barChart>
      <c:catAx>
        <c:axId val="19365632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PH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AGE GROUP</a:t>
                </a:r>
              </a:p>
            </c:rich>
          </c:tx>
          <c:layout>
            <c:manualLayout>
              <c:xMode val="edge"/>
              <c:yMode val="edge"/>
              <c:x val="2.2222306545190997E-2"/>
              <c:y val="0.40613409083358248"/>
            </c:manualLayout>
          </c:layout>
          <c:overlay val="0"/>
        </c:title>
        <c:majorTickMark val="out"/>
        <c:minorTickMark val="none"/>
        <c:tickLblPos val="low"/>
        <c:crossAx val="193658240"/>
        <c:crosses val="autoZero"/>
        <c:auto val="1"/>
        <c:lblAlgn val="ctr"/>
        <c:lblOffset val="100"/>
        <c:noMultiLvlLbl val="0"/>
      </c:catAx>
      <c:valAx>
        <c:axId val="19365824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PH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NO. OF CASES</a:t>
                </a:r>
              </a:p>
            </c:rich>
          </c:tx>
          <c:layout>
            <c:manualLayout>
              <c:xMode val="edge"/>
              <c:yMode val="edge"/>
              <c:x val="0.40850174978127735"/>
              <c:y val="0.9296062992125984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93656320"/>
        <c:crosses val="autoZero"/>
        <c:crossBetween val="between"/>
      </c:valAx>
      <c:spPr>
        <a:solidFill>
          <a:schemeClr val="accent6">
            <a:lumMod val="40000"/>
            <a:lumOff val="60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spPr>
    <a:solidFill>
      <a:srgbClr val="92D050"/>
    </a:solidFill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PH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hart>
    <c:title>
      <c:tx>
        <c:rich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r>
              <a:rPr lang="en-PH" sz="1300" b="1" i="0" baseline="0">
                <a:effectLst/>
                <a:latin typeface="Times New Roman" pitchFamily="18" charset="0"/>
                <a:cs typeface="Times New Roman" pitchFamily="18" charset="0"/>
              </a:rPr>
              <a:t>Distribution of Dengue Cases by Morbidity Month,                     (January - December, 2021) Batangas City</a:t>
            </a:r>
            <a:endParaRPr lang="en-PH" sz="1300">
              <a:effectLst/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20242013235049167"/>
          <c:y val="2.461538461538461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6513338800884217"/>
          <c:y val="0.20623602605229899"/>
          <c:w val="0.67313762136127897"/>
          <c:h val="0.60628203881922171"/>
        </c:manualLayout>
      </c:layout>
      <c:barChart>
        <c:barDir val="col"/>
        <c:grouping val="clustered"/>
        <c:varyColors val="0"/>
        <c:ser>
          <c:idx val="0"/>
          <c:order val="0"/>
          <c:tx>
            <c:v>FREQUENCIES</c:v>
          </c:tx>
          <c:spPr>
            <a:ln>
              <a:solidFill>
                <a:sysClr val="windowText" lastClr="000000"/>
              </a:solidFill>
            </a:ln>
          </c:spPr>
          <c:invertIfNegative val="0"/>
          <c:dLbls>
            <c:dLbl>
              <c:idx val="0"/>
              <c:layout>
                <c:manualLayout>
                  <c:x val="2.2407195146395792E-3"/>
                  <c:y val="1.646090534979427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0"/>
                  <c:y val="1.6460905349794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"/>
                  <c:y val="1.6460905349794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b="1">
                    <a:latin typeface="+mn-lt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'[DHF 2020(1).xlsx]MONTHLY'!$B$2:$B$13</c:f>
              <c:numCache>
                <c:formatCode>General</c:formatCode>
                <c:ptCount val="12"/>
                <c:pt idx="0">
                  <c:v>129</c:v>
                </c:pt>
                <c:pt idx="1">
                  <c:v>63</c:v>
                </c:pt>
                <c:pt idx="2">
                  <c:v>27</c:v>
                </c:pt>
                <c:pt idx="3">
                  <c:v>2</c:v>
                </c:pt>
                <c:pt idx="4">
                  <c:v>0</c:v>
                </c:pt>
                <c:pt idx="5">
                  <c:v>2</c:v>
                </c:pt>
                <c:pt idx="6">
                  <c:v>7</c:v>
                </c:pt>
                <c:pt idx="7">
                  <c:v>4</c:v>
                </c:pt>
                <c:pt idx="8">
                  <c:v>5</c:v>
                </c:pt>
                <c:pt idx="9">
                  <c:v>4</c:v>
                </c:pt>
                <c:pt idx="10">
                  <c:v>7</c:v>
                </c:pt>
                <c:pt idx="11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8"/>
        <c:axId val="233353600"/>
        <c:axId val="233355520"/>
      </c:barChart>
      <c:catAx>
        <c:axId val="23335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PH" sz="1100">
                    <a:latin typeface="Times New Roman" pitchFamily="18" charset="0"/>
                    <a:cs typeface="Times New Roman" pitchFamily="18" charset="0"/>
                  </a:rPr>
                  <a:t>MORBIDITY</a:t>
                </a:r>
                <a:r>
                  <a:rPr lang="en-PH" sz="1100" baseline="0">
                    <a:latin typeface="Times New Roman" pitchFamily="18" charset="0"/>
                    <a:cs typeface="Times New Roman" pitchFamily="18" charset="0"/>
                  </a:rPr>
                  <a:t> MONTH</a:t>
                </a:r>
                <a:endParaRPr lang="en-PH" sz="11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3810075421147282"/>
              <c:y val="0.90769547325102884"/>
            </c:manualLayout>
          </c:layout>
          <c:overlay val="0"/>
        </c:title>
        <c:majorTickMark val="out"/>
        <c:minorTickMark val="none"/>
        <c:tickLblPos val="nextTo"/>
        <c:crossAx val="233355520"/>
        <c:crosses val="autoZero"/>
        <c:auto val="1"/>
        <c:lblAlgn val="ctr"/>
        <c:lblOffset val="100"/>
        <c:noMultiLvlLbl val="0"/>
      </c:catAx>
      <c:valAx>
        <c:axId val="233355520"/>
        <c:scaling>
          <c:orientation val="minMax"/>
          <c:max val="16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PH" sz="1100">
                    <a:latin typeface="Times New Roman" pitchFamily="18" charset="0"/>
                    <a:cs typeface="Times New Roman" pitchFamily="18" charset="0"/>
                  </a:rPr>
                  <a:t>NO. OF CASES</a:t>
                </a:r>
              </a:p>
            </c:rich>
          </c:tx>
          <c:layout>
            <c:manualLayout>
              <c:xMode val="edge"/>
              <c:yMode val="edge"/>
              <c:x val="5.2660878685303392E-2"/>
              <c:y val="0.3416308499899051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33353600"/>
        <c:crosses val="autoZero"/>
        <c:crossBetween val="between"/>
      </c:valAx>
      <c:spPr>
        <a:solidFill>
          <a:schemeClr val="accent6">
            <a:lumMod val="40000"/>
            <a:lumOff val="60000"/>
          </a:schemeClr>
        </a:solidFill>
      </c:spPr>
    </c:plotArea>
    <c:legend>
      <c:legendPos val="r"/>
      <c:layout>
        <c:manualLayout>
          <c:xMode val="edge"/>
          <c:yMode val="edge"/>
          <c:x val="0.83482408790240847"/>
          <c:y val="0.48900618904118465"/>
          <c:w val="0.16517591209759155"/>
          <c:h val="6.959660811629316E-2"/>
        </c:manualLayout>
      </c:layout>
      <c:overlay val="0"/>
      <c:txPr>
        <a:bodyPr/>
        <a:lstStyle/>
        <a:p>
          <a:pPr>
            <a:defRPr sz="8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92D050"/>
    </a:solidFill>
  </c:sp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0.86305</cdr:x>
      <cdr:y>0.3927</cdr:y>
    </cdr:from>
    <cdr:to>
      <cdr:x>0.99144</cdr:x>
      <cdr:y>0.46077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5218982" y="1293965"/>
          <a:ext cx="776364" cy="224285"/>
        </a:xfrm>
        <a:prstGeom xmlns:a="http://schemas.openxmlformats.org/drawingml/2006/main" prst="rect">
          <a:avLst/>
        </a:prstGeom>
        <a:solidFill xmlns:a="http://schemas.openxmlformats.org/drawingml/2006/main">
          <a:srgbClr val="92D050"/>
        </a:solidFill>
        <a:ln xmlns:a="http://schemas.openxmlformats.org/drawingml/2006/main">
          <a:solidFill>
            <a:srgbClr val="92D05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 sz="800">
              <a:solidFill>
                <a:sysClr val="windowText" lastClr="000000"/>
              </a:solidFill>
            </a:rPr>
            <a:t>FREQUENCIES</a:t>
          </a:r>
        </a:p>
      </cdr:txBody>
    </cdr:sp>
  </cdr:relSizeAnchor>
  <cdr:relSizeAnchor xmlns:cdr="http://schemas.openxmlformats.org/drawingml/2006/chartDrawing">
    <cdr:from>
      <cdr:x>0.8545</cdr:x>
      <cdr:y>0.41627</cdr:y>
    </cdr:from>
    <cdr:to>
      <cdr:x>0.87304</cdr:x>
      <cdr:y>0.43721</cdr:y>
    </cdr:to>
    <cdr:sp macro="" textlink="">
      <cdr:nvSpPr>
        <cdr:cNvPr id="3" name="Rounded Rectangle 2"/>
        <cdr:cNvSpPr/>
      </cdr:nvSpPr>
      <cdr:spPr>
        <a:xfrm xmlns:a="http://schemas.openxmlformats.org/drawingml/2006/main">
          <a:off x="5167222" y="1371601"/>
          <a:ext cx="112143" cy="69011"/>
        </a:xfrm>
        <a:prstGeom xmlns:a="http://schemas.openxmlformats.org/drawingml/2006/main" prst="round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018B-09F2-4A58-8F0B-CF015490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12</cp:revision>
  <dcterms:created xsi:type="dcterms:W3CDTF">2021-01-02T15:20:00Z</dcterms:created>
  <dcterms:modified xsi:type="dcterms:W3CDTF">2022-01-02T23:59:00Z</dcterms:modified>
</cp:coreProperties>
</file>