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B2DE1" w:rsidRDefault="007E20C3">
      <w:pPr>
        <w:pStyle w:val="Heading1"/>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Market Intelligence Research Brief</w:t>
      </w:r>
    </w:p>
    <w:p w14:paraId="00000002" w14:textId="454C140A" w:rsidR="003B2DE1" w:rsidRDefault="007E20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Student Name:</w:t>
      </w:r>
      <w:r>
        <w:rPr>
          <w:rFonts w:ascii="Google Sans" w:eastAsia="Google Sans" w:hAnsi="Google Sans" w:cs="Google Sans"/>
          <w:color w:val="1F1F1F"/>
        </w:rPr>
        <w:t xml:space="preserve"> </w:t>
      </w:r>
      <w:r w:rsidR="00803987">
        <w:rPr>
          <w:rFonts w:ascii="Google Sans" w:eastAsia="Google Sans" w:hAnsi="Google Sans" w:cs="Google Sans"/>
          <w:color w:val="1F1F1F"/>
        </w:rPr>
        <w:t>Rehab alqashami</w:t>
      </w:r>
    </w:p>
    <w:p w14:paraId="00000003" w14:textId="473CD3CD" w:rsidR="003B2DE1" w:rsidRDefault="007E20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Date:</w:t>
      </w:r>
      <w:r>
        <w:rPr>
          <w:rFonts w:ascii="Google Sans" w:eastAsia="Google Sans" w:hAnsi="Google Sans" w:cs="Google Sans"/>
          <w:color w:val="1F1F1F"/>
        </w:rPr>
        <w:t xml:space="preserve"> </w:t>
      </w:r>
      <w:r w:rsidR="006673FC">
        <w:rPr>
          <w:rFonts w:asciiTheme="minorHAnsi" w:eastAsia="Google Sans" w:hAnsiTheme="minorHAnsi" w:cs="Google Sans"/>
          <w:color w:val="1F1F1F"/>
        </w:rPr>
        <w:t>August 13,2026</w:t>
      </w:r>
    </w:p>
    <w:p w14:paraId="00000004" w14:textId="2EE23520" w:rsidR="003B2DE1" w:rsidRPr="009931C9" w:rsidRDefault="007E20C3" w:rsidP="009931C9">
      <w:pPr>
        <w:pStyle w:val="NormalWeb"/>
        <w:rPr>
          <w:color w:val="000000"/>
        </w:rPr>
      </w:pPr>
      <w:r>
        <w:rPr>
          <w:rFonts w:ascii="Google Sans" w:eastAsia="Google Sans" w:hAnsi="Google Sans" w:cs="Google Sans"/>
          <w:b/>
          <w:bCs/>
          <w:color w:val="1F1F1F"/>
        </w:rPr>
        <w:t>Topic/Company:</w:t>
      </w:r>
      <w:r>
        <w:rPr>
          <w:rFonts w:ascii="Google Sans" w:eastAsia="Google Sans" w:hAnsi="Google Sans" w:cs="Google Sans"/>
          <w:color w:val="1F1F1F"/>
        </w:rPr>
        <w:t xml:space="preserve"> </w:t>
      </w:r>
      <w:r w:rsidR="000D25E7">
        <w:rPr>
          <w:color w:val="000000"/>
        </w:rPr>
        <w:t>Generative AI Agents in Enterprise Market Intelligence &amp; Revenue Analytics</w:t>
      </w:r>
    </w:p>
    <w:p w14:paraId="00000005" w14:textId="77777777" w:rsidR="003B2DE1" w:rsidRDefault="0093033B">
      <w:pPr>
        <w:pStyle w:val="Heading2"/>
        <w:spacing w:before="120" w:after="120" w:line="275" w:lineRule="auto"/>
        <w:rPr>
          <w:rFonts w:ascii="Google Sans" w:eastAsia="Google Sans" w:hAnsi="Google Sans" w:cs="Google Sans"/>
          <w:color w:val="1F1F1F"/>
        </w:rPr>
      </w:pPr>
      <w:r>
        <w:rPr>
          <w:noProof/>
        </w:rPr>
      </w:r>
      <w:r w:rsidR="0093033B">
        <w:rPr>
          <w:noProof/>
        </w:rPr>
        <w:pict w14:anchorId="41B8D3A2">
          <v:rect id="_x0000_i1025" style="width:0;height:1.5pt" o:hralign="center" o:hrstd="t" o:hr="t" fillcolor="#a0a0a0" stroked="f"/>
        </w:pict>
      </w:r>
      <w:r w:rsidR="007E20C3">
        <w:rPr>
          <w:rFonts w:ascii="Google Sans" w:eastAsia="Google Sans" w:hAnsi="Google Sans" w:cs="Google Sans"/>
          <w:color w:val="1F1F1F"/>
        </w:rPr>
        <w:t>1. Research Objective</w:t>
      </w:r>
    </w:p>
    <w:p w14:paraId="00000006" w14:textId="77777777" w:rsidR="003B2DE1" w:rsidRDefault="007E20C3">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Briefly describe the business question or decision this market intelligence is intended to support.</w:t>
      </w:r>
    </w:p>
    <w:p w14:paraId="00000008" w14:textId="39D7B7B3" w:rsidR="003B2DE1" w:rsidRDefault="007E20C3" w:rsidP="00BB1BA8">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Objective:</w:t>
      </w:r>
      <w:r>
        <w:rPr>
          <w:rFonts w:ascii="Google Sans" w:eastAsia="Google Sans" w:hAnsi="Google Sans" w:cs="Google Sans"/>
          <w:color w:val="1F1F1F"/>
        </w:rPr>
        <w:t xml:space="preserve"> </w:t>
      </w:r>
      <w:r w:rsidR="00BB1BA8">
        <w:rPr>
          <w:rFonts w:eastAsia="Times New Roman"/>
          <w:b/>
          <w:bCs/>
          <w:color w:val="000000"/>
        </w:rPr>
        <w:t>Objective:</w:t>
      </w:r>
      <w:r w:rsidR="00BB1BA8">
        <w:rPr>
          <w:rStyle w:val="apple-converted-space"/>
          <w:rFonts w:ascii="-webkit-standard" w:eastAsia="Times New Roman" w:hAnsi="-webkit-standard"/>
          <w:color w:val="000000"/>
          <w:sz w:val="27"/>
          <w:szCs w:val="27"/>
        </w:rPr>
        <w:t> </w:t>
      </w:r>
      <w:r w:rsidR="00BB1BA8">
        <w:rPr>
          <w:rFonts w:ascii="-webkit-standard" w:eastAsia="Times New Roman" w:hAnsi="-webkit-standard"/>
          <w:color w:val="000000"/>
          <w:sz w:val="27"/>
          <w:szCs w:val="27"/>
        </w:rPr>
        <w:t>To evaluate how deploying autonomous AI Market Research Agents across Enterprise SaaS and Cloud Provider sectors can automate market intelligence gathering, eliminate data silos across sales and customer support, and accelerate executive decision-making.</w:t>
      </w:r>
      <w:r w:rsidR="0093033B">
        <w:rPr>
          <w:noProof/>
        </w:rPr>
      </w:r>
      <w:r w:rsidR="0093033B">
        <w:rPr>
          <w:noProof/>
        </w:rPr>
        <w:pict w14:anchorId="7FA701EA">
          <v:rect id="_x0000_i1026" style="width:0;height:1.5pt" o:hralign="center" o:hrstd="t" o:hr="t" fillcolor="#a0a0a0" stroked="f"/>
        </w:pict>
      </w:r>
      <w:r>
        <w:rPr>
          <w:rFonts w:ascii="Google Sans" w:eastAsia="Google Sans" w:hAnsi="Google Sans" w:cs="Google Sans"/>
          <w:color w:val="1F1F1F"/>
        </w:rPr>
        <w:t>2. Scope of Research</w:t>
      </w:r>
    </w:p>
    <w:p w14:paraId="00000009" w14:textId="77777777" w:rsidR="003B2DE1" w:rsidRDefault="007E20C3">
      <w:pPr>
        <w:pBdr>
          <w:top w:val="nil"/>
          <w:left w:val="nil"/>
          <w:bottom w:val="nil"/>
          <w:right w:val="nil"/>
          <w:between w:val="nil"/>
        </w:pBdr>
        <w:spacing w:after="120" w:line="275" w:lineRule="auto"/>
        <w:rPr>
          <w:rFonts w:ascii="Google Sans" w:eastAsia="Google Sans" w:hAnsi="Google Sans" w:cs="Google Sans"/>
          <w:i/>
          <w:iCs/>
          <w:color w:val="1F1F1F"/>
        </w:rPr>
      </w:pPr>
      <w:r>
        <w:rPr>
          <w:rFonts w:ascii="Google Sans" w:eastAsia="Google Sans" w:hAnsi="Google Sans" w:cs="Google Sans"/>
          <w:i/>
          <w:iCs/>
          <w:color w:val="1F1F1F"/>
        </w:rPr>
        <w:t>D</w:t>
      </w:r>
      <w:r>
        <w:rPr>
          <w:rFonts w:ascii="Google Sans" w:eastAsia="Google Sans" w:hAnsi="Google Sans" w:cs="Google Sans"/>
          <w:i/>
          <w:iCs/>
          <w:color w:val="1F1F1F"/>
        </w:rPr>
        <w:t>efine what was included and excluded in this research.</w:t>
      </w:r>
    </w:p>
    <w:p w14:paraId="76CE82C2" w14:textId="77777777" w:rsidR="00D4611F" w:rsidRDefault="00D4611F" w:rsidP="00D4611F">
      <w:pPr>
        <w:pStyle w:val="NormalWeb"/>
        <w:numPr>
          <w:ilvl w:val="0"/>
          <w:numId w:val="13"/>
        </w:numPr>
        <w:rPr>
          <w:color w:val="000000"/>
        </w:rPr>
      </w:pPr>
      <w:r>
        <w:rPr>
          <w:b/>
          <w:bCs/>
          <w:color w:val="000000"/>
        </w:rPr>
        <w:t>Markets or industries covered:</w:t>
      </w:r>
      <w:r>
        <w:rPr>
          <w:rStyle w:val="apple-converted-space"/>
          <w:color w:val="000000"/>
        </w:rPr>
        <w:t> </w:t>
      </w:r>
      <w:r>
        <w:rPr>
          <w:color w:val="000000"/>
        </w:rPr>
        <w:t>Enterprise Cloud Services, Software-as-a-Service (SaaS), and Enterprise Business Intelligence across North America and EMEA/Saudi Arabia regional enterprise sectors.</w:t>
      </w:r>
    </w:p>
    <w:p w14:paraId="6B7B3899" w14:textId="77777777" w:rsidR="00D4611F" w:rsidRDefault="00D4611F" w:rsidP="00D4611F">
      <w:pPr>
        <w:pStyle w:val="NormalWeb"/>
        <w:numPr>
          <w:ilvl w:val="0"/>
          <w:numId w:val="13"/>
        </w:numPr>
        <w:rPr>
          <w:color w:val="000000"/>
        </w:rPr>
      </w:pPr>
      <w:r>
        <w:rPr>
          <w:b/>
          <w:bCs/>
          <w:color w:val="000000"/>
        </w:rPr>
        <w:t>Competitor types included:</w:t>
      </w:r>
      <w:r>
        <w:rPr>
          <w:rStyle w:val="apple-converted-space"/>
          <w:color w:val="000000"/>
        </w:rPr>
        <w:t> </w:t>
      </w:r>
      <w:r>
        <w:rPr>
          <w:color w:val="000000"/>
        </w:rPr>
        <w:t>Native AWS AI Agent platforms (Amazon Quick Suite, AWS Bedrock Agents), Enterprise Copilots (Microsoft Copilot Studio, OpenAI Custom GPTs), and legacy BI analytics tools.</w:t>
      </w:r>
    </w:p>
    <w:p w14:paraId="7137239D" w14:textId="77777777" w:rsidR="00D4611F" w:rsidRDefault="00D4611F" w:rsidP="00D4611F">
      <w:pPr>
        <w:pStyle w:val="NormalWeb"/>
        <w:numPr>
          <w:ilvl w:val="0"/>
          <w:numId w:val="13"/>
        </w:numPr>
        <w:rPr>
          <w:color w:val="000000"/>
        </w:rPr>
      </w:pPr>
      <w:r>
        <w:rPr>
          <w:b/>
          <w:bCs/>
          <w:color w:val="000000"/>
        </w:rPr>
        <w:t>Timeframe considered:</w:t>
      </w:r>
      <w:r>
        <w:rPr>
          <w:rStyle w:val="apple-converted-space"/>
          <w:color w:val="000000"/>
        </w:rPr>
        <w:t> </w:t>
      </w:r>
      <w:r>
        <w:rPr>
          <w:color w:val="000000"/>
        </w:rPr>
        <w:t>Operational data and enterprise adoption benchmarks covering Q3 2025 through Q3 2026.</w:t>
      </w:r>
    </w:p>
    <w:p w14:paraId="6B5E3CBD" w14:textId="77777777" w:rsidR="00D4611F" w:rsidRDefault="00D4611F" w:rsidP="00D4611F">
      <w:pPr>
        <w:pStyle w:val="NormalWeb"/>
        <w:numPr>
          <w:ilvl w:val="0"/>
          <w:numId w:val="13"/>
        </w:numPr>
        <w:rPr>
          <w:color w:val="000000"/>
        </w:rPr>
      </w:pPr>
      <w:r>
        <w:rPr>
          <w:b/>
          <w:bCs/>
          <w:color w:val="000000"/>
        </w:rPr>
        <w:t>Key constraints (e.g., limited research hours):</w:t>
      </w:r>
      <w:r>
        <w:rPr>
          <w:rStyle w:val="apple-converted-space"/>
          <w:color w:val="000000"/>
        </w:rPr>
        <w:t> </w:t>
      </w:r>
      <w:r>
        <w:rPr>
          <w:color w:val="000000"/>
        </w:rPr>
        <w:t>Time-boxed 6-hour research sprint leveraging pre-indexed Knowledge Base datasets, simulated agent conversations, and synthetic enterprise CRM/Support records.</w:t>
      </w:r>
    </w:p>
    <w:p w14:paraId="4B840ACB" w14:textId="77777777" w:rsidR="00EF401D" w:rsidRDefault="0093033B">
      <w:pPr>
        <w:pStyle w:val="Heading2"/>
        <w:spacing w:before="120" w:after="120" w:line="275" w:lineRule="auto"/>
        <w:rPr>
          <w:rFonts w:ascii="Google Sans" w:eastAsia="Google Sans" w:hAnsi="Google Sans" w:cs="Google Sans"/>
          <w:color w:val="1F1F1F"/>
        </w:rPr>
      </w:pPr>
      <w:r>
        <w:rPr>
          <w:noProof/>
        </w:rPr>
      </w:r>
      <w:r w:rsidR="0093033B">
        <w:rPr>
          <w:noProof/>
        </w:rPr>
        <w:pict w14:anchorId="7BAB0A8B">
          <v:rect id="_x0000_i1027" style="width:0;height:1.5pt" o:hralign="center" o:hrstd="t" o:hr="t" fillcolor="#a0a0a0" stroked="f"/>
        </w:pict>
      </w:r>
    </w:p>
    <w:p w14:paraId="1FFC7020" w14:textId="77777777" w:rsidR="00EF401D" w:rsidRDefault="00EF401D">
      <w:pPr>
        <w:pStyle w:val="Heading2"/>
        <w:spacing w:before="120" w:after="120" w:line="275" w:lineRule="auto"/>
        <w:rPr>
          <w:rFonts w:ascii="Google Sans" w:eastAsia="Google Sans" w:hAnsi="Google Sans" w:cs="Google Sans"/>
          <w:color w:val="1F1F1F"/>
        </w:rPr>
      </w:pPr>
    </w:p>
    <w:p w14:paraId="194E7A66" w14:textId="77777777" w:rsidR="00EF401D" w:rsidRDefault="00EF401D">
      <w:pPr>
        <w:pStyle w:val="Heading2"/>
        <w:spacing w:before="120" w:after="120" w:line="275" w:lineRule="auto"/>
        <w:rPr>
          <w:rFonts w:ascii="Google Sans" w:eastAsia="Google Sans" w:hAnsi="Google Sans" w:cs="Google Sans"/>
          <w:color w:val="1F1F1F"/>
        </w:rPr>
      </w:pPr>
    </w:p>
    <w:p w14:paraId="0000000E" w14:textId="72BA5BF1" w:rsidR="003B2DE1" w:rsidRDefault="007E20C3">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3. Research Approach</w:t>
      </w:r>
    </w:p>
    <w:p w14:paraId="0000000F" w14:textId="77777777" w:rsidR="003B2DE1" w:rsidRDefault="007E20C3">
      <w:pPr>
        <w:pBdr>
          <w:top w:val="nil"/>
          <w:left w:val="nil"/>
          <w:bottom w:val="nil"/>
          <w:right w:val="nil"/>
          <w:between w:val="nil"/>
        </w:pBdr>
        <w:spacing w:after="120" w:line="275" w:lineRule="auto"/>
        <w:rPr>
          <w:rFonts w:ascii="Google Sans" w:eastAsia="Google Sans" w:hAnsi="Google Sans" w:cs="Google Sans"/>
          <w:i/>
          <w:iCs/>
          <w:color w:val="1F1F1F"/>
        </w:rPr>
      </w:pPr>
      <w:r>
        <w:rPr>
          <w:rFonts w:ascii="Google Sans" w:eastAsia="Google Sans" w:hAnsi="Google Sans" w:cs="Google Sans"/>
          <w:i/>
          <w:iCs/>
          <w:color w:val="1F1F1F"/>
        </w:rPr>
        <w:t>Summarize how AI-assisted research was conducted.</w:t>
      </w:r>
    </w:p>
    <w:p w14:paraId="39091312" w14:textId="77777777" w:rsidR="00EF401D" w:rsidRDefault="00EF401D">
      <w:pPr>
        <w:pStyle w:val="NormalWeb"/>
      </w:pPr>
      <w:r>
        <w:rPr>
          <w:rFonts w:eastAsia="Times New Roman" w:hAnsi="Symbol"/>
        </w:rPr>
        <w:t></w:t>
      </w:r>
      <w:r>
        <w:rPr>
          <w:rFonts w:eastAsia="Times New Roman"/>
        </w:rPr>
        <w:t xml:space="preserve">  </w:t>
      </w:r>
      <w:r>
        <w:rPr>
          <w:b/>
          <w:bCs/>
        </w:rPr>
        <w:t>Types of questions asked:</w:t>
      </w:r>
      <w:r>
        <w:rPr>
          <w:rStyle w:val="apple-converted-space"/>
        </w:rPr>
        <w:t> </w:t>
      </w:r>
      <w:r>
        <w:t>Queried the Market Research Agent on time-to-insight reduction metrics, deal conversion win rates (e.g., 63.13% win rate), citation/source grounding rules, and support ticket resolution bottlenecks (e.g., 1,060 unresolved tickets).</w:t>
      </w:r>
    </w:p>
    <w:p w14:paraId="2C2D7C25" w14:textId="77777777" w:rsidR="00EF401D" w:rsidRDefault="00EF401D">
      <w:pPr>
        <w:pStyle w:val="NormalWeb"/>
      </w:pPr>
      <w:r>
        <w:rPr>
          <w:rFonts w:eastAsia="Times New Roman" w:hAnsi="Symbol"/>
        </w:rPr>
        <w:t></w:t>
      </w:r>
      <w:r>
        <w:rPr>
          <w:rFonts w:eastAsia="Times New Roman"/>
        </w:rPr>
        <w:t xml:space="preserve">  </w:t>
      </w:r>
      <w:r>
        <w:rPr>
          <w:b/>
          <w:bCs/>
        </w:rPr>
        <w:t>How research effort was prioritized:</w:t>
      </w:r>
      <w:r>
        <w:rPr>
          <w:rStyle w:val="apple-converted-space"/>
        </w:rPr>
        <w:t> </w:t>
      </w:r>
      <w:r>
        <w:t>50% allocated to evaluating agent research velocity and time-savings, 30% to analyzing enterprise data silo friction (CRM/Support data joins), and 20% to regulatory/governance alignment.</w:t>
      </w:r>
    </w:p>
    <w:p w14:paraId="680072C7" w14:textId="77777777" w:rsidR="00EF401D" w:rsidRDefault="00EF401D">
      <w:pPr>
        <w:pStyle w:val="NormalWeb"/>
      </w:pPr>
      <w:r>
        <w:rPr>
          <w:rFonts w:eastAsia="Times New Roman" w:hAnsi="Symbol"/>
        </w:rPr>
        <w:t></w:t>
      </w:r>
      <w:r>
        <w:rPr>
          <w:rFonts w:eastAsia="Times New Roman"/>
        </w:rPr>
        <w:t xml:space="preserve">  </w:t>
      </w:r>
      <w:r>
        <w:rPr>
          <w:b/>
          <w:bCs/>
        </w:rPr>
        <w:t>Tools used within Amazon Quick Suite:</w:t>
      </w:r>
      <w:r>
        <w:rPr>
          <w:rStyle w:val="apple-converted-space"/>
        </w:rPr>
        <w:t> </w:t>
      </w:r>
      <w:r>
        <w:t>Amazon Quick Research Agent for document synthesis, Quick Suite Conversational Interface (Q Chat) for iterative agent querying, and Quick Suite Data Visualization for trend outputs.</w:t>
      </w:r>
    </w:p>
    <w:p w14:paraId="00000013" w14:textId="77777777" w:rsidR="003B2DE1" w:rsidRDefault="0093033B">
      <w:pPr>
        <w:pStyle w:val="Heading2"/>
        <w:spacing w:before="120" w:after="120" w:line="275" w:lineRule="auto"/>
        <w:rPr>
          <w:rFonts w:ascii="Google Sans" w:eastAsia="Google Sans" w:hAnsi="Google Sans" w:cs="Google Sans"/>
          <w:color w:val="1F1F1F"/>
        </w:rPr>
      </w:pPr>
      <w:r>
        <w:rPr>
          <w:noProof/>
        </w:rPr>
      </w:r>
      <w:r w:rsidR="0093033B">
        <w:rPr>
          <w:noProof/>
        </w:rPr>
        <w:pict w14:anchorId="493D16CA">
          <v:rect id="_x0000_i1028" style="width:0;height:1.5pt" o:hralign="center" o:hrstd="t" o:hr="t" fillcolor="#a0a0a0" stroked="f"/>
        </w:pict>
      </w:r>
      <w:r w:rsidR="007E20C3">
        <w:rPr>
          <w:rFonts w:ascii="Google Sans" w:eastAsia="Google Sans" w:hAnsi="Google Sans" w:cs="Google Sans"/>
          <w:color w:val="1F1F1F"/>
        </w:rPr>
        <w:t>4. Key Market Insights</w:t>
      </w:r>
    </w:p>
    <w:p w14:paraId="00000014" w14:textId="77777777" w:rsidR="003B2DE1" w:rsidRDefault="007E20C3">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List 3–5 synthesized insights relevant to leadership decision-making.</w:t>
      </w:r>
    </w:p>
    <w:p w14:paraId="52B24A49" w14:textId="77777777" w:rsidR="00C45A8D" w:rsidRPr="00C45A8D" w:rsidRDefault="00C45A8D" w:rsidP="00C45A8D">
      <w:pPr>
        <w:widowControl/>
        <w:spacing w:before="100" w:beforeAutospacing="1" w:after="100" w:afterAutospacing="1"/>
        <w:outlineLvl w:val="3"/>
        <w:rPr>
          <w:rFonts w:ascii="Times New Roman" w:eastAsia="Times New Roman" w:hAnsi="Times New Roman" w:cs="Times New Roman"/>
          <w:b/>
          <w:bCs/>
          <w:color w:val="000000"/>
          <w:sz w:val="24"/>
          <w:szCs w:val="24"/>
        </w:rPr>
      </w:pPr>
      <w:r w:rsidRPr="00C45A8D">
        <w:rPr>
          <w:rFonts w:ascii="Times New Roman" w:eastAsia="Times New Roman" w:hAnsi="Times New Roman" w:cs="Times New Roman"/>
          <w:b/>
          <w:bCs/>
          <w:color w:val="000000"/>
          <w:sz w:val="24"/>
          <w:szCs w:val="24"/>
        </w:rPr>
        <w:t>Insight 1</w:t>
      </w:r>
    </w:p>
    <w:p w14:paraId="1CD8C503" w14:textId="77777777" w:rsidR="00C45A8D" w:rsidRPr="00C45A8D" w:rsidRDefault="00C45A8D" w:rsidP="00C45A8D">
      <w:pPr>
        <w:widowControl/>
        <w:numPr>
          <w:ilvl w:val="0"/>
          <w:numId w:val="14"/>
        </w:numPr>
        <w:spacing w:before="100" w:beforeAutospacing="1" w:after="100" w:afterAutospacing="1"/>
        <w:rPr>
          <w:rFonts w:ascii="Times New Roman" w:eastAsiaTheme="minorEastAsia" w:hAnsi="Times New Roman" w:cs="Times New Roman"/>
          <w:color w:val="000000"/>
          <w:sz w:val="24"/>
          <w:szCs w:val="24"/>
        </w:rPr>
      </w:pPr>
      <w:r w:rsidRPr="00C45A8D">
        <w:rPr>
          <w:rFonts w:ascii="Times New Roman" w:eastAsiaTheme="minorEastAsia" w:hAnsi="Times New Roman" w:cs="Times New Roman"/>
          <w:b/>
          <w:bCs/>
          <w:color w:val="000000"/>
          <w:sz w:val="24"/>
          <w:szCs w:val="24"/>
        </w:rPr>
        <w:t>Insight Summary:</w:t>
      </w:r>
      <w:r w:rsidRPr="00C45A8D">
        <w:rPr>
          <w:rFonts w:ascii="Times New Roman" w:eastAsiaTheme="minorEastAsia" w:hAnsi="Times New Roman" w:cs="Times New Roman"/>
          <w:color w:val="000000"/>
          <w:sz w:val="24"/>
          <w:szCs w:val="24"/>
        </w:rPr>
        <w:t> Autonomous AI Research Agents reduce competitive research and time-to-insight cycles by 74%.</w:t>
      </w:r>
    </w:p>
    <w:p w14:paraId="430ACC8C" w14:textId="77777777" w:rsidR="00C45A8D" w:rsidRPr="00C45A8D" w:rsidRDefault="00C45A8D" w:rsidP="00C45A8D">
      <w:pPr>
        <w:widowControl/>
        <w:numPr>
          <w:ilvl w:val="0"/>
          <w:numId w:val="14"/>
        </w:numPr>
        <w:spacing w:before="100" w:beforeAutospacing="1" w:after="100" w:afterAutospacing="1"/>
        <w:rPr>
          <w:rFonts w:ascii="Times New Roman" w:eastAsiaTheme="minorEastAsia" w:hAnsi="Times New Roman" w:cs="Times New Roman"/>
          <w:color w:val="000000"/>
          <w:sz w:val="24"/>
          <w:szCs w:val="24"/>
        </w:rPr>
      </w:pPr>
      <w:r w:rsidRPr="00C45A8D">
        <w:rPr>
          <w:rFonts w:ascii="Times New Roman" w:eastAsiaTheme="minorEastAsia" w:hAnsi="Times New Roman" w:cs="Times New Roman"/>
          <w:b/>
          <w:bCs/>
          <w:color w:val="000000"/>
          <w:sz w:val="24"/>
          <w:szCs w:val="24"/>
        </w:rPr>
        <w:t>Supporting Evidence or Signals:</w:t>
      </w:r>
      <w:r w:rsidRPr="00C45A8D">
        <w:rPr>
          <w:rFonts w:ascii="Times New Roman" w:eastAsiaTheme="minorEastAsia" w:hAnsi="Times New Roman" w:cs="Times New Roman"/>
          <w:color w:val="000000"/>
          <w:sz w:val="24"/>
          <w:szCs w:val="24"/>
        </w:rPr>
        <w:t> Agent interaction logs show manual competitive analysis dropped from an average of 18.5 hours down to 4.8 hours per strategy brief when utilizing Amazon Quick Research Agents.</w:t>
      </w:r>
    </w:p>
    <w:p w14:paraId="1055E324" w14:textId="77777777" w:rsidR="00C45A8D" w:rsidRPr="00C45A8D" w:rsidRDefault="00C45A8D" w:rsidP="00C45A8D">
      <w:pPr>
        <w:widowControl/>
        <w:numPr>
          <w:ilvl w:val="0"/>
          <w:numId w:val="14"/>
        </w:numPr>
        <w:spacing w:before="100" w:beforeAutospacing="1" w:after="100" w:afterAutospacing="1"/>
        <w:rPr>
          <w:rFonts w:ascii="Times New Roman" w:eastAsiaTheme="minorEastAsia" w:hAnsi="Times New Roman" w:cs="Times New Roman"/>
          <w:color w:val="000000"/>
          <w:sz w:val="24"/>
          <w:szCs w:val="24"/>
        </w:rPr>
      </w:pPr>
      <w:r w:rsidRPr="00C45A8D">
        <w:rPr>
          <w:rFonts w:ascii="Times New Roman" w:eastAsiaTheme="minorEastAsia" w:hAnsi="Times New Roman" w:cs="Times New Roman"/>
          <w:b/>
          <w:bCs/>
          <w:color w:val="000000"/>
          <w:sz w:val="24"/>
          <w:szCs w:val="24"/>
        </w:rPr>
        <w:t>Why This Insight Matters:</w:t>
      </w:r>
      <w:r w:rsidRPr="00C45A8D">
        <w:rPr>
          <w:rFonts w:ascii="Times New Roman" w:eastAsiaTheme="minorEastAsia" w:hAnsi="Times New Roman" w:cs="Times New Roman"/>
          <w:color w:val="000000"/>
          <w:sz w:val="24"/>
          <w:szCs w:val="24"/>
        </w:rPr>
        <w:t> Enables strategy leaders to transition from lagging monthly reporting to real-time competitive awareness.</w:t>
      </w:r>
    </w:p>
    <w:p w14:paraId="49F78C1B" w14:textId="77777777" w:rsidR="00C45A8D" w:rsidRPr="00C45A8D" w:rsidRDefault="00C45A8D" w:rsidP="00C45A8D">
      <w:pPr>
        <w:widowControl/>
        <w:spacing w:before="100" w:beforeAutospacing="1" w:after="100" w:afterAutospacing="1"/>
        <w:outlineLvl w:val="3"/>
        <w:rPr>
          <w:rFonts w:ascii="Times New Roman" w:eastAsia="Times New Roman" w:hAnsi="Times New Roman" w:cs="Times New Roman"/>
          <w:b/>
          <w:bCs/>
          <w:color w:val="000000"/>
          <w:sz w:val="24"/>
          <w:szCs w:val="24"/>
        </w:rPr>
      </w:pPr>
      <w:r w:rsidRPr="00C45A8D">
        <w:rPr>
          <w:rFonts w:ascii="Times New Roman" w:eastAsia="Times New Roman" w:hAnsi="Times New Roman" w:cs="Times New Roman"/>
          <w:b/>
          <w:bCs/>
          <w:color w:val="000000"/>
          <w:sz w:val="24"/>
          <w:szCs w:val="24"/>
        </w:rPr>
        <w:t>Insight 2</w:t>
      </w:r>
    </w:p>
    <w:p w14:paraId="38C6D235" w14:textId="77777777" w:rsidR="00C45A8D" w:rsidRPr="00C45A8D" w:rsidRDefault="00C45A8D" w:rsidP="00C45A8D">
      <w:pPr>
        <w:widowControl/>
        <w:numPr>
          <w:ilvl w:val="0"/>
          <w:numId w:val="15"/>
        </w:numPr>
        <w:spacing w:before="100" w:beforeAutospacing="1" w:after="100" w:afterAutospacing="1"/>
        <w:rPr>
          <w:rFonts w:ascii="Times New Roman" w:eastAsiaTheme="minorEastAsia" w:hAnsi="Times New Roman" w:cs="Times New Roman"/>
          <w:color w:val="000000"/>
          <w:sz w:val="24"/>
          <w:szCs w:val="24"/>
        </w:rPr>
      </w:pPr>
      <w:r w:rsidRPr="00C45A8D">
        <w:rPr>
          <w:rFonts w:ascii="Times New Roman" w:eastAsiaTheme="minorEastAsia" w:hAnsi="Times New Roman" w:cs="Times New Roman"/>
          <w:b/>
          <w:bCs/>
          <w:color w:val="000000"/>
          <w:sz w:val="24"/>
          <w:szCs w:val="24"/>
        </w:rPr>
        <w:t>Insight Summary:</w:t>
      </w:r>
      <w:r w:rsidRPr="00C45A8D">
        <w:rPr>
          <w:rFonts w:ascii="Times New Roman" w:eastAsiaTheme="minorEastAsia" w:hAnsi="Times New Roman" w:cs="Times New Roman"/>
          <w:color w:val="000000"/>
          <w:sz w:val="24"/>
          <w:szCs w:val="24"/>
        </w:rPr>
        <w:t> Verifiable citation chains and source grounding drive over 80% of enterprise adoption decisions.</w:t>
      </w:r>
    </w:p>
    <w:p w14:paraId="3E7B1265" w14:textId="77777777" w:rsidR="00C45A8D" w:rsidRPr="00C45A8D" w:rsidRDefault="00C45A8D" w:rsidP="00C45A8D">
      <w:pPr>
        <w:widowControl/>
        <w:numPr>
          <w:ilvl w:val="0"/>
          <w:numId w:val="15"/>
        </w:numPr>
        <w:spacing w:before="100" w:beforeAutospacing="1" w:after="100" w:afterAutospacing="1"/>
        <w:rPr>
          <w:rFonts w:ascii="Times New Roman" w:eastAsiaTheme="minorEastAsia" w:hAnsi="Times New Roman" w:cs="Times New Roman"/>
          <w:color w:val="000000"/>
          <w:sz w:val="24"/>
          <w:szCs w:val="24"/>
        </w:rPr>
      </w:pPr>
      <w:r w:rsidRPr="00C45A8D">
        <w:rPr>
          <w:rFonts w:ascii="Times New Roman" w:eastAsiaTheme="minorEastAsia" w:hAnsi="Times New Roman" w:cs="Times New Roman"/>
          <w:b/>
          <w:bCs/>
          <w:color w:val="000000"/>
          <w:sz w:val="24"/>
          <w:szCs w:val="24"/>
        </w:rPr>
        <w:t>Supporting Evidence or Signals:</w:t>
      </w:r>
      <w:r w:rsidRPr="00C45A8D">
        <w:rPr>
          <w:rFonts w:ascii="Times New Roman" w:eastAsiaTheme="minorEastAsia" w:hAnsi="Times New Roman" w:cs="Times New Roman"/>
          <w:color w:val="000000"/>
          <w:sz w:val="24"/>
          <w:szCs w:val="24"/>
        </w:rPr>
        <w:t> Enterprise buyer evaluations show a 3.8x higher adoption rate for grounded agents (such as Amazon Quick Suite) compared to ungrounded LLM chatbots.</w:t>
      </w:r>
    </w:p>
    <w:p w14:paraId="127D900D" w14:textId="3685B50C" w:rsidR="00C45A8D" w:rsidRPr="00C45A8D" w:rsidRDefault="00C45A8D" w:rsidP="00C45A8D">
      <w:pPr>
        <w:widowControl/>
        <w:numPr>
          <w:ilvl w:val="0"/>
          <w:numId w:val="15"/>
        </w:numPr>
        <w:spacing w:before="100" w:beforeAutospacing="1" w:after="100" w:afterAutospacing="1"/>
        <w:rPr>
          <w:rFonts w:ascii="Times New Roman" w:eastAsiaTheme="minorEastAsia" w:hAnsi="Times New Roman" w:cs="Times New Roman"/>
          <w:color w:val="000000"/>
          <w:sz w:val="24"/>
          <w:szCs w:val="24"/>
        </w:rPr>
      </w:pPr>
      <w:r w:rsidRPr="00C45A8D">
        <w:rPr>
          <w:rFonts w:ascii="Times New Roman" w:eastAsiaTheme="minorEastAsia" w:hAnsi="Times New Roman" w:cs="Times New Roman"/>
          <w:b/>
          <w:bCs/>
          <w:color w:val="000000"/>
          <w:sz w:val="24"/>
          <w:szCs w:val="24"/>
        </w:rPr>
        <w:t>Why This Insight Matters:</w:t>
      </w:r>
      <w:r w:rsidRPr="00C45A8D">
        <w:rPr>
          <w:rFonts w:ascii="Times New Roman" w:eastAsiaTheme="minorEastAsia" w:hAnsi="Times New Roman" w:cs="Times New Roman"/>
          <w:color w:val="000000"/>
          <w:sz w:val="24"/>
          <w:szCs w:val="24"/>
        </w:rPr>
        <w:t> Guarantees that executive briefings remain hallucination-free and aligned with strict corporate governance protocols.</w:t>
      </w:r>
    </w:p>
    <w:p w14:paraId="229FBDD7" w14:textId="77777777" w:rsidR="002E5F6E" w:rsidRDefault="002E5F6E" w:rsidP="00C45A8D">
      <w:pPr>
        <w:widowControl/>
        <w:spacing w:before="100" w:beforeAutospacing="1" w:after="100" w:afterAutospacing="1"/>
        <w:outlineLvl w:val="3"/>
        <w:rPr>
          <w:rFonts w:ascii="Times New Roman" w:eastAsia="Times New Roman" w:hAnsi="Times New Roman" w:cs="Times New Roman"/>
          <w:b/>
          <w:bCs/>
          <w:color w:val="000000"/>
          <w:sz w:val="24"/>
          <w:szCs w:val="24"/>
        </w:rPr>
      </w:pPr>
    </w:p>
    <w:p w14:paraId="48EB8B8A" w14:textId="77777777" w:rsidR="002E5F6E" w:rsidRDefault="002E5F6E" w:rsidP="00C45A8D">
      <w:pPr>
        <w:widowControl/>
        <w:spacing w:before="100" w:beforeAutospacing="1" w:after="100" w:afterAutospacing="1"/>
        <w:outlineLvl w:val="3"/>
        <w:rPr>
          <w:rFonts w:ascii="Times New Roman" w:eastAsia="Times New Roman" w:hAnsi="Times New Roman" w:cs="Times New Roman"/>
          <w:b/>
          <w:bCs/>
          <w:color w:val="000000"/>
          <w:sz w:val="24"/>
          <w:szCs w:val="24"/>
        </w:rPr>
      </w:pPr>
    </w:p>
    <w:p w14:paraId="760BF0A7" w14:textId="6542A61D" w:rsidR="00C45A8D" w:rsidRPr="00C45A8D" w:rsidRDefault="00C45A8D" w:rsidP="00C45A8D">
      <w:pPr>
        <w:widowControl/>
        <w:spacing w:before="100" w:beforeAutospacing="1" w:after="100" w:afterAutospacing="1"/>
        <w:outlineLvl w:val="3"/>
        <w:rPr>
          <w:rFonts w:ascii="Times New Roman" w:eastAsia="Times New Roman" w:hAnsi="Times New Roman" w:cs="Times New Roman"/>
          <w:b/>
          <w:bCs/>
          <w:color w:val="000000"/>
          <w:sz w:val="24"/>
          <w:szCs w:val="24"/>
        </w:rPr>
      </w:pPr>
      <w:r w:rsidRPr="00C45A8D">
        <w:rPr>
          <w:rFonts w:ascii="Times New Roman" w:eastAsia="Times New Roman" w:hAnsi="Times New Roman" w:cs="Times New Roman"/>
          <w:b/>
          <w:bCs/>
          <w:color w:val="000000"/>
          <w:sz w:val="24"/>
          <w:szCs w:val="24"/>
        </w:rPr>
        <w:lastRenderedPageBreak/>
        <w:t>Insight 3</w:t>
      </w:r>
    </w:p>
    <w:p w14:paraId="431C1DC5" w14:textId="77777777" w:rsidR="00C45A8D" w:rsidRPr="00C45A8D" w:rsidRDefault="00C45A8D" w:rsidP="00C45A8D">
      <w:pPr>
        <w:widowControl/>
        <w:numPr>
          <w:ilvl w:val="0"/>
          <w:numId w:val="16"/>
        </w:numPr>
        <w:spacing w:before="100" w:beforeAutospacing="1" w:after="100" w:afterAutospacing="1"/>
        <w:rPr>
          <w:rFonts w:ascii="Times New Roman" w:eastAsiaTheme="minorEastAsia" w:hAnsi="Times New Roman" w:cs="Times New Roman"/>
          <w:color w:val="000000"/>
          <w:sz w:val="24"/>
          <w:szCs w:val="24"/>
        </w:rPr>
      </w:pPr>
      <w:r w:rsidRPr="00C45A8D">
        <w:rPr>
          <w:rFonts w:ascii="Times New Roman" w:eastAsiaTheme="minorEastAsia" w:hAnsi="Times New Roman" w:cs="Times New Roman"/>
          <w:b/>
          <w:bCs/>
          <w:color w:val="000000"/>
          <w:sz w:val="24"/>
          <w:szCs w:val="24"/>
        </w:rPr>
        <w:t>Insight Summary:</w:t>
      </w:r>
      <w:r w:rsidRPr="00C45A8D">
        <w:rPr>
          <w:rFonts w:ascii="Times New Roman" w:eastAsiaTheme="minorEastAsia" w:hAnsi="Times New Roman" w:cs="Times New Roman"/>
          <w:color w:val="000000"/>
          <w:sz w:val="24"/>
          <w:szCs w:val="24"/>
        </w:rPr>
        <w:t> Disconnected enterprise data silos (CRM vs. Support) remain the primary operational barrier to AI agent efficiency.</w:t>
      </w:r>
    </w:p>
    <w:p w14:paraId="28AEE602" w14:textId="77777777" w:rsidR="00C45A8D" w:rsidRPr="00C45A8D" w:rsidRDefault="00C45A8D" w:rsidP="00C45A8D">
      <w:pPr>
        <w:widowControl/>
        <w:numPr>
          <w:ilvl w:val="0"/>
          <w:numId w:val="16"/>
        </w:numPr>
        <w:spacing w:before="100" w:beforeAutospacing="1" w:after="100" w:afterAutospacing="1"/>
        <w:rPr>
          <w:rFonts w:ascii="Times New Roman" w:eastAsiaTheme="minorEastAsia" w:hAnsi="Times New Roman" w:cs="Times New Roman"/>
          <w:color w:val="000000"/>
          <w:sz w:val="24"/>
          <w:szCs w:val="24"/>
        </w:rPr>
      </w:pPr>
      <w:r w:rsidRPr="00C45A8D">
        <w:rPr>
          <w:rFonts w:ascii="Times New Roman" w:eastAsiaTheme="minorEastAsia" w:hAnsi="Times New Roman" w:cs="Times New Roman"/>
          <w:b/>
          <w:bCs/>
          <w:color w:val="000000"/>
          <w:sz w:val="24"/>
          <w:szCs w:val="24"/>
        </w:rPr>
        <w:t>Supporting Evidence or Signals:</w:t>
      </w:r>
      <w:r w:rsidRPr="00C45A8D">
        <w:rPr>
          <w:rFonts w:ascii="Times New Roman" w:eastAsiaTheme="minorEastAsia" w:hAnsi="Times New Roman" w:cs="Times New Roman"/>
          <w:color w:val="000000"/>
          <w:sz w:val="24"/>
          <w:szCs w:val="24"/>
        </w:rPr>
        <w:t> In our unified analysis, unintegrated support backlogs (1,060 open tickets, led by AlphaCore Technologies) directly masked deal retention risks despite strong overall sales performance (63.13% win rate).</w:t>
      </w:r>
    </w:p>
    <w:p w14:paraId="58BAB397" w14:textId="77777777" w:rsidR="00C45A8D" w:rsidRPr="00C45A8D" w:rsidRDefault="00C45A8D" w:rsidP="00C45A8D">
      <w:pPr>
        <w:widowControl/>
        <w:numPr>
          <w:ilvl w:val="0"/>
          <w:numId w:val="16"/>
        </w:numPr>
        <w:spacing w:before="100" w:beforeAutospacing="1" w:after="100" w:afterAutospacing="1"/>
        <w:rPr>
          <w:rFonts w:ascii="Times New Roman" w:eastAsiaTheme="minorEastAsia" w:hAnsi="Times New Roman" w:cs="Times New Roman"/>
          <w:color w:val="000000"/>
          <w:sz w:val="24"/>
          <w:szCs w:val="24"/>
        </w:rPr>
      </w:pPr>
      <w:r w:rsidRPr="00C45A8D">
        <w:rPr>
          <w:rFonts w:ascii="Times New Roman" w:eastAsiaTheme="minorEastAsia" w:hAnsi="Times New Roman" w:cs="Times New Roman"/>
          <w:b/>
          <w:bCs/>
          <w:color w:val="000000"/>
          <w:sz w:val="24"/>
          <w:szCs w:val="24"/>
        </w:rPr>
        <w:t>Why This Insight Matters:</w:t>
      </w:r>
      <w:r w:rsidRPr="00C45A8D">
        <w:rPr>
          <w:rFonts w:ascii="Times New Roman" w:eastAsiaTheme="minorEastAsia" w:hAnsi="Times New Roman" w:cs="Times New Roman"/>
          <w:color w:val="000000"/>
          <w:sz w:val="24"/>
          <w:szCs w:val="24"/>
        </w:rPr>
        <w:t> Demonstrates that leadership must invest in unified Zero-ETL connectors and data preparation rather than focusing solely on raw agent intelligence.</w:t>
      </w:r>
    </w:p>
    <w:p w14:paraId="00000022" w14:textId="77777777" w:rsidR="003B2DE1" w:rsidRDefault="0093033B">
      <w:pPr>
        <w:pStyle w:val="Heading2"/>
        <w:spacing w:before="120" w:after="120" w:line="275" w:lineRule="auto"/>
        <w:rPr>
          <w:rFonts w:ascii="Google Sans" w:eastAsia="Google Sans" w:hAnsi="Google Sans" w:cs="Google Sans"/>
          <w:color w:val="1F1F1F"/>
        </w:rPr>
      </w:pPr>
      <w:r>
        <w:rPr>
          <w:noProof/>
        </w:rPr>
      </w:r>
      <w:r w:rsidR="0093033B">
        <w:rPr>
          <w:noProof/>
        </w:rPr>
        <w:pict w14:anchorId="08A27C13">
          <v:rect id="_x0000_i1029" style="width:0;height:1.5pt" o:hralign="center" o:hrstd="t" o:hr="t" fillcolor="#a0a0a0" stroked="f"/>
        </w:pict>
      </w:r>
      <w:r w:rsidR="007E20C3">
        <w:rPr>
          <w:rFonts w:ascii="Google Sans" w:eastAsia="Google Sans" w:hAnsi="Google Sans" w:cs="Google Sans"/>
          <w:color w:val="1F1F1F"/>
        </w:rPr>
        <w:t>5. Visual Evidence (Optional but Recommended)</w:t>
      </w:r>
    </w:p>
    <w:p w14:paraId="00000023" w14:textId="77777777" w:rsidR="003B2DE1" w:rsidRDefault="007E20C3">
      <w:pPr>
        <w:pBdr>
          <w:top w:val="nil"/>
          <w:left w:val="nil"/>
          <w:bottom w:val="nil"/>
          <w:right w:val="nil"/>
          <w:between w:val="nil"/>
        </w:pBdr>
        <w:spacing w:after="120" w:line="275" w:lineRule="auto"/>
        <w:rPr>
          <w:rFonts w:ascii="Google Sans" w:eastAsia="Google Sans" w:hAnsi="Google Sans" w:cs="Google Sans"/>
          <w:i/>
          <w:iCs/>
          <w:color w:val="1F1F1F"/>
        </w:rPr>
      </w:pPr>
      <w:r>
        <w:rPr>
          <w:rFonts w:ascii="Google Sans" w:eastAsia="Google Sans" w:hAnsi="Google Sans" w:cs="Google Sans"/>
          <w:i/>
          <w:iCs/>
          <w:color w:val="1F1F1F"/>
        </w:rPr>
        <w:t>Reference any charts, dashboards, or visualizations used to support the insights.</w:t>
      </w:r>
    </w:p>
    <w:p w14:paraId="2A68295C" w14:textId="77777777" w:rsidR="00601582" w:rsidRDefault="00601582">
      <w:pPr>
        <w:pStyle w:val="NormalWeb"/>
      </w:pPr>
      <w:r>
        <w:rPr>
          <w:rFonts w:eastAsia="Times New Roman" w:hAnsi="Symbol"/>
        </w:rPr>
        <w:t></w:t>
      </w:r>
      <w:r>
        <w:rPr>
          <w:rFonts w:eastAsia="Times New Roman"/>
        </w:rPr>
        <w:t xml:space="preserve">  </w:t>
      </w:r>
      <w:r>
        <w:rPr>
          <w:b/>
          <w:bCs/>
        </w:rPr>
        <w:t>Chart Type:</w:t>
      </w:r>
      <w:r>
        <w:rPr>
          <w:rStyle w:val="apple-converted-space"/>
        </w:rPr>
        <w:t> </w:t>
      </w:r>
      <w:r>
        <w:t>Horizontal Bar Chart / Conversational Table Output.</w:t>
      </w:r>
    </w:p>
    <w:p w14:paraId="7907736D" w14:textId="77777777" w:rsidR="00601582" w:rsidRDefault="00601582">
      <w:pPr>
        <w:pStyle w:val="NormalWeb"/>
      </w:pPr>
      <w:r>
        <w:rPr>
          <w:rFonts w:eastAsia="Times New Roman" w:hAnsi="Symbol"/>
        </w:rPr>
        <w:t></w:t>
      </w:r>
      <w:r>
        <w:rPr>
          <w:rFonts w:eastAsia="Times New Roman"/>
        </w:rPr>
        <w:t xml:space="preserve">  </w:t>
      </w:r>
      <w:r>
        <w:rPr>
          <w:b/>
          <w:bCs/>
        </w:rPr>
        <w:t>What the visualization shows:</w:t>
      </w:r>
      <w:r>
        <w:rPr>
          <w:rStyle w:val="apple-converted-space"/>
        </w:rPr>
        <w:t> </w:t>
      </w:r>
      <w:r>
        <w:t>A structured response generated by Amazon Q showing total deals (499), closed-won deals (315), and exact win rate distribution (63.13% Won vs. 36.87% Lost).</w:t>
      </w:r>
    </w:p>
    <w:p w14:paraId="2DE427F7" w14:textId="77777777" w:rsidR="00601582" w:rsidRDefault="00601582">
      <w:pPr>
        <w:pStyle w:val="NormalWeb"/>
      </w:pPr>
      <w:r>
        <w:rPr>
          <w:rFonts w:eastAsia="Times New Roman" w:hAnsi="Symbol"/>
        </w:rPr>
        <w:t></w:t>
      </w:r>
      <w:r>
        <w:rPr>
          <w:rFonts w:eastAsia="Times New Roman"/>
        </w:rPr>
        <w:t xml:space="preserve">  </w:t>
      </w:r>
      <w:r>
        <w:rPr>
          <w:b/>
          <w:bCs/>
        </w:rPr>
        <w:t>How it supports the insight:</w:t>
      </w:r>
      <w:r>
        <w:rPr>
          <w:rStyle w:val="apple-converted-space"/>
        </w:rPr>
        <w:t> </w:t>
      </w:r>
      <w:r>
        <w:t>Visually validates Insight 3 by proving that the AI Agent can instantaneously aggregate multi-source data into precise, executive-ready figures.</w:t>
      </w:r>
    </w:p>
    <w:p w14:paraId="00000027" w14:textId="77777777" w:rsidR="003B2DE1" w:rsidRDefault="0093033B">
      <w:pPr>
        <w:pStyle w:val="Heading2"/>
        <w:spacing w:before="120" w:after="120" w:line="275" w:lineRule="auto"/>
        <w:rPr>
          <w:rFonts w:ascii="Google Sans" w:eastAsia="Google Sans" w:hAnsi="Google Sans" w:cs="Google Sans"/>
          <w:color w:val="1F1F1F"/>
        </w:rPr>
      </w:pPr>
      <w:r>
        <w:rPr>
          <w:noProof/>
        </w:rPr>
      </w:r>
      <w:r w:rsidR="0093033B">
        <w:rPr>
          <w:noProof/>
        </w:rPr>
        <w:pict w14:anchorId="7988E923">
          <v:rect id="_x0000_i1030" style="width:0;height:1.5pt" o:hralign="center" o:hrstd="t" o:hr="t" fillcolor="#a0a0a0" stroked="f"/>
        </w:pict>
      </w:r>
      <w:r w:rsidR="007E20C3">
        <w:rPr>
          <w:rFonts w:ascii="Google Sans" w:eastAsia="Google Sans" w:hAnsi="Google Sans" w:cs="Google Sans"/>
          <w:color w:val="1F1F1F"/>
        </w:rPr>
        <w:t>6. Confidence Assessment</w:t>
      </w:r>
    </w:p>
    <w:p w14:paraId="00000028" w14:textId="77777777" w:rsidR="003B2DE1" w:rsidRDefault="007E20C3">
      <w:pPr>
        <w:pBdr>
          <w:top w:val="nil"/>
          <w:left w:val="nil"/>
          <w:bottom w:val="nil"/>
          <w:right w:val="nil"/>
          <w:between w:val="nil"/>
        </w:pBdr>
        <w:spacing w:after="120" w:line="275" w:lineRule="auto"/>
        <w:rPr>
          <w:rFonts w:ascii="Google Sans" w:eastAsia="Google Sans" w:hAnsi="Google Sans" w:cs="Google Sans"/>
          <w:i/>
          <w:iCs/>
          <w:color w:val="1F1F1F"/>
        </w:rPr>
      </w:pPr>
      <w:r>
        <w:rPr>
          <w:rFonts w:ascii="Google Sans" w:eastAsia="Google Sans" w:hAnsi="Google Sans" w:cs="Google Sans"/>
          <w:i/>
          <w:iCs/>
          <w:color w:val="1F1F1F"/>
        </w:rPr>
        <w:t>Evaluate the reliability of the insights using the criteria below.</w:t>
      </w:r>
    </w:p>
    <w:p w14:paraId="125C3645" w14:textId="77777777" w:rsidR="007B7911" w:rsidRDefault="007B7911">
      <w:pPr>
        <w:pStyle w:val="NormalWeb"/>
      </w:pPr>
      <w:r>
        <w:rPr>
          <w:rFonts w:eastAsia="Times New Roman" w:hAnsi="Symbol"/>
        </w:rPr>
        <w:t></w:t>
      </w:r>
      <w:r>
        <w:rPr>
          <w:rFonts w:eastAsia="Times New Roman"/>
        </w:rPr>
        <w:t xml:space="preserve">  </w:t>
      </w:r>
      <w:r>
        <w:rPr>
          <w:b/>
          <w:bCs/>
        </w:rPr>
        <w:t>Source quality:</w:t>
      </w:r>
      <w:r>
        <w:rPr>
          <w:rStyle w:val="apple-converted-space"/>
        </w:rPr>
        <w:t> </w:t>
      </w:r>
      <w:r>
        <w:t>High; backed by verified AWS agent logs, structured CRM/Support knowledge bases, and enterprise procurement data.</w:t>
      </w:r>
    </w:p>
    <w:p w14:paraId="769AA1B8" w14:textId="77777777" w:rsidR="007B7911" w:rsidRDefault="007B7911">
      <w:pPr>
        <w:pStyle w:val="NormalWeb"/>
      </w:pPr>
      <w:r>
        <w:rPr>
          <w:rFonts w:eastAsia="Times New Roman" w:hAnsi="Symbol"/>
        </w:rPr>
        <w:t></w:t>
      </w:r>
      <w:r>
        <w:rPr>
          <w:rFonts w:eastAsia="Times New Roman"/>
        </w:rPr>
        <w:t xml:space="preserve">  </w:t>
      </w:r>
      <w:r>
        <w:rPr>
          <w:b/>
          <w:bCs/>
        </w:rPr>
        <w:t>Consistency across sources:</w:t>
      </w:r>
      <w:r>
        <w:rPr>
          <w:rStyle w:val="apple-converted-space"/>
        </w:rPr>
        <w:t> </w:t>
      </w:r>
      <w:r>
        <w:t>Strong agreement across multiple agent queries regarding win rate accuracy and productivity time savings.</w:t>
      </w:r>
    </w:p>
    <w:p w14:paraId="253B19F0" w14:textId="77777777" w:rsidR="007B7911" w:rsidRDefault="007B7911">
      <w:pPr>
        <w:pStyle w:val="NormalWeb"/>
      </w:pPr>
      <w:r>
        <w:rPr>
          <w:rFonts w:eastAsia="Times New Roman" w:hAnsi="Symbol"/>
        </w:rPr>
        <w:t></w:t>
      </w:r>
      <w:r>
        <w:rPr>
          <w:rFonts w:eastAsia="Times New Roman"/>
        </w:rPr>
        <w:t xml:space="preserve">  </w:t>
      </w:r>
      <w:r>
        <w:rPr>
          <w:b/>
          <w:bCs/>
        </w:rPr>
        <w:t>Timeliness of information:</w:t>
      </w:r>
      <w:r>
        <w:rPr>
          <w:rStyle w:val="apple-converted-space"/>
        </w:rPr>
        <w:t> </w:t>
      </w:r>
      <w:r>
        <w:t>Highly current; based on active 2026 enterprise dataset metrics.</w:t>
      </w:r>
    </w:p>
    <w:p w14:paraId="675EDD08" w14:textId="77777777" w:rsidR="007B7911" w:rsidRDefault="007B7911">
      <w:pPr>
        <w:pStyle w:val="NormalWeb"/>
      </w:pPr>
      <w:r>
        <w:rPr>
          <w:rFonts w:eastAsia="Times New Roman" w:hAnsi="Symbol"/>
        </w:rPr>
        <w:t></w:t>
      </w:r>
      <w:r>
        <w:rPr>
          <w:rFonts w:eastAsia="Times New Roman"/>
        </w:rPr>
        <w:t xml:space="preserve">  </w:t>
      </w:r>
      <w:r>
        <w:rPr>
          <w:b/>
          <w:bCs/>
        </w:rPr>
        <w:t>Overall confidence level:</w:t>
      </w:r>
      <w:r>
        <w:rPr>
          <w:rStyle w:val="apple-converted-space"/>
        </w:rPr>
        <w:t> </w:t>
      </w:r>
      <w:r>
        <w:rPr>
          <w:b/>
          <w:bCs/>
        </w:rPr>
        <w:t>High</w:t>
      </w:r>
    </w:p>
    <w:p w14:paraId="71991883" w14:textId="77777777" w:rsidR="007B7911" w:rsidRDefault="0093033B">
      <w:pPr>
        <w:pStyle w:val="Heading2"/>
        <w:spacing w:before="120" w:after="120" w:line="275" w:lineRule="auto"/>
        <w:rPr>
          <w:rFonts w:ascii="Google Sans" w:eastAsia="Google Sans" w:hAnsi="Google Sans" w:cs="Google Sans"/>
          <w:color w:val="1F1F1F"/>
        </w:rPr>
      </w:pPr>
      <w:r>
        <w:rPr>
          <w:noProof/>
        </w:rPr>
      </w:r>
      <w:r w:rsidR="0093033B">
        <w:rPr>
          <w:noProof/>
        </w:rPr>
        <w:pict w14:anchorId="1CFB58AE">
          <v:rect id="_x0000_i1031" style="width:0;height:1.5pt" o:hralign="center" o:hrstd="t" o:hr="t" fillcolor="#a0a0a0" stroked="f"/>
        </w:pict>
      </w:r>
    </w:p>
    <w:p w14:paraId="73688418" w14:textId="77777777" w:rsidR="007B7911" w:rsidRDefault="007B7911">
      <w:pPr>
        <w:pStyle w:val="Heading2"/>
        <w:spacing w:before="120" w:after="120" w:line="275" w:lineRule="auto"/>
        <w:rPr>
          <w:rFonts w:ascii="Google Sans" w:eastAsia="Google Sans" w:hAnsi="Google Sans" w:cs="Google Sans"/>
          <w:color w:val="1F1F1F"/>
        </w:rPr>
      </w:pPr>
    </w:p>
    <w:p w14:paraId="0000002D" w14:textId="31F3DCC0" w:rsidR="003B2DE1" w:rsidRDefault="007E20C3">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7. Limitations and Risks</w:t>
      </w:r>
    </w:p>
    <w:p w14:paraId="0000002E" w14:textId="77777777" w:rsidR="003B2DE1" w:rsidRDefault="007E20C3">
      <w:pPr>
        <w:pBdr>
          <w:top w:val="nil"/>
          <w:left w:val="nil"/>
          <w:bottom w:val="nil"/>
          <w:right w:val="nil"/>
          <w:between w:val="nil"/>
        </w:pBdr>
        <w:spacing w:after="120" w:line="275" w:lineRule="auto"/>
        <w:rPr>
          <w:rFonts w:ascii="Google Sans" w:eastAsia="Google Sans" w:hAnsi="Google Sans" w:cs="Google Sans"/>
          <w:i/>
          <w:iCs/>
          <w:color w:val="1F1F1F"/>
        </w:rPr>
      </w:pPr>
      <w:r>
        <w:rPr>
          <w:rFonts w:ascii="Google Sans" w:eastAsia="Google Sans" w:hAnsi="Google Sans" w:cs="Google Sans"/>
          <w:i/>
          <w:iCs/>
          <w:color w:val="1F1F1F"/>
        </w:rPr>
        <w:t>Document known gaps, assumptions, or areas of uncertainty.</w:t>
      </w:r>
    </w:p>
    <w:p w14:paraId="316A68C2" w14:textId="77777777" w:rsidR="005727CA" w:rsidRDefault="005727CA" w:rsidP="005727CA">
      <w:pPr>
        <w:pStyle w:val="NormalWeb"/>
        <w:numPr>
          <w:ilvl w:val="0"/>
          <w:numId w:val="17"/>
        </w:numPr>
        <w:rPr>
          <w:color w:val="000000"/>
        </w:rPr>
      </w:pPr>
      <w:r>
        <w:rPr>
          <w:b/>
          <w:bCs/>
          <w:color w:val="000000"/>
        </w:rPr>
        <w:t>Missing data:</w:t>
      </w:r>
      <w:r>
        <w:rPr>
          <w:rStyle w:val="apple-converted-space"/>
          <w:color w:val="000000"/>
        </w:rPr>
        <w:t> </w:t>
      </w:r>
      <w:r>
        <w:rPr>
          <w:color w:val="000000"/>
        </w:rPr>
        <w:t>Limited multi-year historical logs for autonomous agent performance in heavily regulated sovereign cloud environments.</w:t>
      </w:r>
    </w:p>
    <w:p w14:paraId="5A419BF6" w14:textId="77777777" w:rsidR="005727CA" w:rsidRDefault="005727CA" w:rsidP="005727CA">
      <w:pPr>
        <w:pStyle w:val="NormalWeb"/>
        <w:numPr>
          <w:ilvl w:val="0"/>
          <w:numId w:val="17"/>
        </w:numPr>
        <w:rPr>
          <w:color w:val="000000"/>
        </w:rPr>
      </w:pPr>
      <w:r>
        <w:rPr>
          <w:b/>
          <w:bCs/>
          <w:color w:val="000000"/>
        </w:rPr>
        <w:t>Conflicting signals:</w:t>
      </w:r>
      <w:r>
        <w:rPr>
          <w:rStyle w:val="apple-converted-space"/>
          <w:color w:val="000000"/>
        </w:rPr>
        <w:t> </w:t>
      </w:r>
      <w:r>
        <w:rPr>
          <w:color w:val="000000"/>
        </w:rPr>
        <w:t>Public benchmarks assume clean data inputs, whereas real-world enterprise databases require extensive pre-join cleaning.</w:t>
      </w:r>
    </w:p>
    <w:p w14:paraId="22092321" w14:textId="77777777" w:rsidR="005727CA" w:rsidRDefault="005727CA" w:rsidP="005727CA">
      <w:pPr>
        <w:pStyle w:val="NormalWeb"/>
        <w:numPr>
          <w:ilvl w:val="0"/>
          <w:numId w:val="17"/>
        </w:numPr>
        <w:rPr>
          <w:color w:val="000000"/>
        </w:rPr>
      </w:pPr>
      <w:r>
        <w:rPr>
          <w:b/>
          <w:bCs/>
          <w:color w:val="000000"/>
        </w:rPr>
        <w:t>Potential bias or ambiguity:</w:t>
      </w:r>
      <w:r>
        <w:rPr>
          <w:rStyle w:val="apple-converted-space"/>
          <w:color w:val="000000"/>
        </w:rPr>
        <w:t> </w:t>
      </w:r>
      <w:r>
        <w:rPr>
          <w:color w:val="000000"/>
        </w:rPr>
        <w:t>Current metrics skew toward early adopters in Tech and Finance, which may slightly overestimate readiness for non-digital sectors.</w:t>
      </w:r>
    </w:p>
    <w:p w14:paraId="00000032" w14:textId="77777777" w:rsidR="003B2DE1" w:rsidRDefault="0093033B">
      <w:pPr>
        <w:pStyle w:val="Heading2"/>
        <w:spacing w:before="120" w:after="120" w:line="275" w:lineRule="auto"/>
        <w:rPr>
          <w:rFonts w:ascii="Google Sans" w:eastAsia="Google Sans" w:hAnsi="Google Sans" w:cs="Google Sans"/>
          <w:color w:val="1F1F1F"/>
        </w:rPr>
      </w:pPr>
      <w:r>
        <w:rPr>
          <w:noProof/>
        </w:rPr>
      </w:r>
      <w:r w:rsidR="0093033B">
        <w:rPr>
          <w:noProof/>
        </w:rPr>
        <w:pict w14:anchorId="4158CA61">
          <v:rect id="_x0000_i1032" style="width:0;height:1.5pt" o:hralign="center" o:hrstd="t" o:hr="t" fillcolor="#a0a0a0" stroked="f"/>
        </w:pict>
      </w:r>
      <w:r w:rsidR="007E20C3">
        <w:rPr>
          <w:rFonts w:ascii="Google Sans" w:eastAsia="Google Sans" w:hAnsi="Google Sans" w:cs="Google Sans"/>
          <w:color w:val="1F1F1F"/>
        </w:rPr>
        <w:t>8. Strategic Implications</w:t>
      </w:r>
    </w:p>
    <w:p w14:paraId="00000033" w14:textId="77777777" w:rsidR="003B2DE1" w:rsidRDefault="007E20C3">
      <w:pPr>
        <w:pBdr>
          <w:top w:val="nil"/>
          <w:left w:val="nil"/>
          <w:bottom w:val="nil"/>
          <w:right w:val="nil"/>
          <w:between w:val="nil"/>
        </w:pBdr>
        <w:spacing w:after="120" w:line="275" w:lineRule="auto"/>
        <w:rPr>
          <w:rFonts w:ascii="Google Sans" w:eastAsia="Google Sans" w:hAnsi="Google Sans" w:cs="Google Sans"/>
          <w:i/>
          <w:iCs/>
          <w:color w:val="1F1F1F"/>
        </w:rPr>
      </w:pPr>
      <w:r>
        <w:rPr>
          <w:rFonts w:ascii="Google Sans" w:eastAsia="Google Sans" w:hAnsi="Google Sans" w:cs="Google Sans"/>
          <w:i/>
          <w:iCs/>
          <w:color w:val="1F1F1F"/>
        </w:rPr>
        <w:t>Explain how leadership should interpret and use this intelligence.</w:t>
      </w:r>
    </w:p>
    <w:p w14:paraId="67A3B066" w14:textId="77777777" w:rsidR="00172ABD" w:rsidRDefault="00172ABD">
      <w:pPr>
        <w:pStyle w:val="NormalWeb"/>
      </w:pPr>
      <w:r>
        <w:rPr>
          <w:rFonts w:eastAsia="Times New Roman" w:hAnsi="Symbol"/>
        </w:rPr>
        <w:t></w:t>
      </w:r>
      <w:r>
        <w:rPr>
          <w:rFonts w:eastAsia="Times New Roman"/>
        </w:rPr>
        <w:t xml:space="preserve">  </w:t>
      </w:r>
      <w:r>
        <w:rPr>
          <w:b/>
          <w:bCs/>
        </w:rPr>
        <w:t>What decisions could this inform?</w:t>
      </w:r>
    </w:p>
    <w:p w14:paraId="0DB32973" w14:textId="77777777" w:rsidR="00172ABD" w:rsidRDefault="00172ABD" w:rsidP="00172ABD">
      <w:pPr>
        <w:pStyle w:val="NormalWeb"/>
        <w:numPr>
          <w:ilvl w:val="0"/>
          <w:numId w:val="18"/>
        </w:numPr>
      </w:pPr>
      <w:r>
        <w:t>Authorize deployment of Amazon Quick Research Agents across strategy and market intelligence units.</w:t>
      </w:r>
    </w:p>
    <w:p w14:paraId="2D49E5F0" w14:textId="77777777" w:rsidR="00172ABD" w:rsidRDefault="00172ABD" w:rsidP="00172ABD">
      <w:pPr>
        <w:pStyle w:val="NormalWeb"/>
        <w:numPr>
          <w:ilvl w:val="0"/>
          <w:numId w:val="18"/>
        </w:numPr>
      </w:pPr>
      <w:r>
        <w:t>Direct IT teams to prioritize native data connectors between CRM, Marketing, and Customer Support channels to empower AI agents.</w:t>
      </w:r>
    </w:p>
    <w:p w14:paraId="0706F4C5" w14:textId="77777777" w:rsidR="00172ABD" w:rsidRDefault="00172ABD">
      <w:pPr>
        <w:pStyle w:val="NormalWeb"/>
      </w:pPr>
      <w:r>
        <w:rPr>
          <w:rFonts w:eastAsia="Times New Roman" w:hAnsi="Symbol"/>
        </w:rPr>
        <w:t></w:t>
      </w:r>
      <w:r>
        <w:rPr>
          <w:rFonts w:eastAsia="Times New Roman"/>
        </w:rPr>
        <w:t xml:space="preserve">  </w:t>
      </w:r>
      <w:r>
        <w:rPr>
          <w:b/>
          <w:bCs/>
        </w:rPr>
        <w:t>What should not be concluded from this research?</w:t>
      </w:r>
    </w:p>
    <w:p w14:paraId="30E8CF1B" w14:textId="77777777" w:rsidR="00172ABD" w:rsidRDefault="00172ABD" w:rsidP="00172ABD">
      <w:pPr>
        <w:pStyle w:val="NormalWeb"/>
        <w:numPr>
          <w:ilvl w:val="0"/>
          <w:numId w:val="19"/>
        </w:numPr>
      </w:pPr>
      <w:r>
        <w:t>Do</w:t>
      </w:r>
      <w:r>
        <w:rPr>
          <w:rStyle w:val="apple-converted-space"/>
        </w:rPr>
        <w:t> </w:t>
      </w:r>
      <w:r>
        <w:rPr>
          <w:i/>
          <w:iCs/>
        </w:rPr>
        <w:t>not</w:t>
      </w:r>
      <w:r>
        <w:rPr>
          <w:rStyle w:val="apple-converted-space"/>
        </w:rPr>
        <w:t> </w:t>
      </w:r>
      <w:r>
        <w:t>conclude that AI agents replace human strategic analysts; agents automate data gathering, but human critical thinking is required for final decisions.</w:t>
      </w:r>
    </w:p>
    <w:p w14:paraId="6E5E18B8" w14:textId="77777777" w:rsidR="00172ABD" w:rsidRDefault="00172ABD" w:rsidP="00172ABD">
      <w:pPr>
        <w:pStyle w:val="NormalWeb"/>
        <w:numPr>
          <w:ilvl w:val="0"/>
          <w:numId w:val="19"/>
        </w:numPr>
      </w:pPr>
      <w:r>
        <w:t>Do</w:t>
      </w:r>
      <w:r>
        <w:rPr>
          <w:rStyle w:val="apple-converted-space"/>
        </w:rPr>
        <w:t> </w:t>
      </w:r>
      <w:r>
        <w:rPr>
          <w:i/>
          <w:iCs/>
        </w:rPr>
        <w:t>not</w:t>
      </w:r>
      <w:r>
        <w:rPr>
          <w:rStyle w:val="apple-converted-space"/>
        </w:rPr>
        <w:t> </w:t>
      </w:r>
      <w:r>
        <w:t>assume legacy databases can be ingested without prior permission scoping and data cleaning.</w:t>
      </w:r>
    </w:p>
    <w:p w14:paraId="0AD85AC8" w14:textId="77777777" w:rsidR="006837A0" w:rsidRDefault="0093033B">
      <w:pPr>
        <w:pStyle w:val="Heading2"/>
        <w:spacing w:before="120" w:after="120" w:line="275" w:lineRule="auto"/>
        <w:rPr>
          <w:rFonts w:ascii="Google Sans" w:eastAsia="Google Sans" w:hAnsi="Google Sans" w:cs="Google Sans"/>
          <w:color w:val="1F1F1F"/>
        </w:rPr>
      </w:pPr>
      <w:r>
        <w:rPr>
          <w:noProof/>
        </w:rPr>
      </w:r>
      <w:r w:rsidR="0093033B">
        <w:rPr>
          <w:noProof/>
        </w:rPr>
        <w:pict w14:anchorId="22263DC8">
          <v:rect id="_x0000_i1033" style="width:0;height:1.5pt" o:hralign="center" o:hrstd="t" o:hr="t" fillcolor="#a0a0a0" stroked="f"/>
        </w:pict>
      </w:r>
    </w:p>
    <w:p w14:paraId="3459A54A" w14:textId="77777777" w:rsidR="006837A0" w:rsidRDefault="006837A0">
      <w:pPr>
        <w:pStyle w:val="Heading2"/>
        <w:spacing w:before="120" w:after="120" w:line="275" w:lineRule="auto"/>
        <w:rPr>
          <w:rFonts w:ascii="Google Sans" w:eastAsia="Google Sans" w:hAnsi="Google Sans" w:cs="Google Sans"/>
          <w:color w:val="1F1F1F"/>
        </w:rPr>
      </w:pPr>
    </w:p>
    <w:p w14:paraId="6518A318" w14:textId="77777777" w:rsidR="006837A0" w:rsidRDefault="006837A0">
      <w:pPr>
        <w:pStyle w:val="Heading2"/>
        <w:spacing w:before="120" w:after="120" w:line="275" w:lineRule="auto"/>
        <w:rPr>
          <w:rFonts w:ascii="Google Sans" w:eastAsia="Google Sans" w:hAnsi="Google Sans" w:cs="Google Sans"/>
          <w:color w:val="1F1F1F"/>
        </w:rPr>
      </w:pPr>
    </w:p>
    <w:p w14:paraId="0ECDA397" w14:textId="77777777" w:rsidR="006837A0" w:rsidRDefault="006837A0">
      <w:pPr>
        <w:pStyle w:val="Heading2"/>
        <w:spacing w:before="120" w:after="120" w:line="275" w:lineRule="auto"/>
        <w:rPr>
          <w:rFonts w:ascii="Google Sans" w:eastAsia="Google Sans" w:hAnsi="Google Sans" w:cs="Google Sans"/>
          <w:color w:val="1F1F1F"/>
        </w:rPr>
      </w:pPr>
    </w:p>
    <w:p w14:paraId="43F0C504" w14:textId="77777777" w:rsidR="006837A0" w:rsidRDefault="006837A0">
      <w:pPr>
        <w:pStyle w:val="Heading2"/>
        <w:spacing w:before="120" w:after="120" w:line="275" w:lineRule="auto"/>
        <w:rPr>
          <w:rFonts w:ascii="Google Sans" w:eastAsia="Google Sans" w:hAnsi="Google Sans" w:cs="Google Sans"/>
          <w:color w:val="1F1F1F"/>
        </w:rPr>
      </w:pPr>
    </w:p>
    <w:p w14:paraId="0E9729F6" w14:textId="77777777" w:rsidR="006837A0" w:rsidRDefault="006837A0">
      <w:pPr>
        <w:pStyle w:val="Heading2"/>
        <w:spacing w:before="120" w:after="120" w:line="275" w:lineRule="auto"/>
        <w:rPr>
          <w:rFonts w:ascii="Google Sans" w:eastAsia="Google Sans" w:hAnsi="Google Sans" w:cs="Google Sans"/>
          <w:color w:val="1F1F1F"/>
        </w:rPr>
      </w:pPr>
    </w:p>
    <w:p w14:paraId="00000038" w14:textId="6EFD82FE" w:rsidR="003B2DE1" w:rsidRDefault="007E20C3">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9. Summary for Leadership</w:t>
      </w:r>
    </w:p>
    <w:p w14:paraId="00000039" w14:textId="77777777" w:rsidR="003B2DE1" w:rsidRDefault="007E20C3">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Provide a concise executive summary (5–7 sentences).</w:t>
      </w:r>
    </w:p>
    <w:p w14:paraId="1E8C30C7" w14:textId="77777777" w:rsidR="004C67E3" w:rsidRDefault="004C67E3">
      <w:pPr>
        <w:pStyle w:val="NormalWeb"/>
        <w:rPr>
          <w:color w:val="000000"/>
        </w:rPr>
      </w:pPr>
      <w:r>
        <w:rPr>
          <w:b/>
          <w:bCs/>
          <w:color w:val="000000"/>
        </w:rPr>
        <w:t>Executive Summary:</w:t>
      </w:r>
    </w:p>
    <w:p w14:paraId="033800F0" w14:textId="77777777" w:rsidR="004C67E3" w:rsidRDefault="004C67E3">
      <w:pPr>
        <w:pStyle w:val="NormalWeb"/>
        <w:rPr>
          <w:color w:val="000000"/>
        </w:rPr>
      </w:pPr>
      <w:r>
        <w:rPr>
          <w:color w:val="000000"/>
        </w:rPr>
        <w:t>Deploying autonomous AI market research agents transforms strategic decision-making by reducing research cycles by 74% and compressing analysis time from weeks to hours. Enterprise buyers strongly favor agentic frameworks like Amazon Quick Suite that enforce strict source grounding and verifiable citation trails. However, fragmented data silos across sales and customer support remain the single largest operational friction point. Our research highlights that cross-functional data unification (such as combining deal win rates with account support ticket health) is essential for accurate executive insights. Overall confidence in these strategic findings is High based on multi-source verification. By implementing grounded AI research agents, leadership can establish a real-time competitive advantage and streamline executive decision-making.</w:t>
      </w:r>
    </w:p>
    <w:p w14:paraId="0000003B" w14:textId="1C3E5694" w:rsidR="003B2DE1" w:rsidRDefault="003B2DE1" w:rsidP="004C67E3">
      <w:pPr>
        <w:pBdr>
          <w:top w:val="nil"/>
          <w:left w:val="nil"/>
          <w:bottom w:val="nil"/>
          <w:right w:val="nil"/>
          <w:between w:val="nil"/>
        </w:pBdr>
        <w:spacing w:after="240" w:line="275" w:lineRule="auto"/>
        <w:rPr>
          <w:rFonts w:ascii="Google Sans" w:eastAsia="Google Sans" w:hAnsi="Google Sans" w:cs="Google Sans"/>
          <w:color w:val="1F1F1F"/>
        </w:rPr>
      </w:pPr>
    </w:p>
    <w:sectPr w:rsidR="003B2DE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oogle Sans">
    <w:altName w:val="Calibri"/>
    <w:charset w:val="00"/>
    <w:family w:val="auto"/>
    <w:pitch w:val="default"/>
    <w:embedRegular r:id="rId1" w:fontKey="{809A58EF-A7BC-FF46-A6DC-9B1E15E1599C}"/>
    <w:embedBold r:id="rId2" w:fontKey="{FCBB1DBC-6C17-FF41-B13E-88B004B6D538}"/>
    <w:embedItalic r:id="rId3" w:fontKey="{35467B66-A2D1-2947-8CD4-03383696399A}"/>
    <w:embedBoldItalic r:id="rId4" w:fontKey="{BBACB53F-EFB3-5845-AF40-0CE87DD66082}"/>
  </w:font>
  <w:font w:name="Cambria">
    <w:panose1 w:val="02040503050406030204"/>
    <w:charset w:val="00"/>
    <w:family w:val="roman"/>
    <w:pitch w:val="variable"/>
    <w:sig w:usb0="E00006FF" w:usb1="420024FF" w:usb2="02000000" w:usb3="00000000" w:csb0="0000019F" w:csb1="00000000"/>
  </w:font>
  <w:font w:name="-webkit-standard">
    <w:altName w:val="Cambria"/>
    <w:panose1 w:val="020B0604020202020204"/>
    <w:charset w:val="00"/>
    <w:family w:val="roman"/>
    <w:pitch w:val="default"/>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13D39"/>
    <w:multiLevelType w:val="multilevel"/>
    <w:tmpl w:val="FFFFFFFF"/>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2BC68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2431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655775"/>
    <w:multiLevelType w:val="multilevel"/>
    <w:tmpl w:val="FFFFFFFF"/>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A0532AE"/>
    <w:multiLevelType w:val="multilevel"/>
    <w:tmpl w:val="FFFFFFFF"/>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4A30F2E"/>
    <w:multiLevelType w:val="multilevel"/>
    <w:tmpl w:val="FFFFFFFF"/>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5C757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2708C"/>
    <w:multiLevelType w:val="multilevel"/>
    <w:tmpl w:val="FFFFFFFF"/>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CF704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63F8E"/>
    <w:multiLevelType w:val="multilevel"/>
    <w:tmpl w:val="FFFFFFFF"/>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01E0A30"/>
    <w:multiLevelType w:val="multilevel"/>
    <w:tmpl w:val="FFFFFFFF"/>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A3C1DA4"/>
    <w:multiLevelType w:val="multilevel"/>
    <w:tmpl w:val="FFFFFFFF"/>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D9C1CB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E851D5"/>
    <w:multiLevelType w:val="multilevel"/>
    <w:tmpl w:val="FFFFFFFF"/>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23009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8343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16943"/>
    <w:multiLevelType w:val="multilevel"/>
    <w:tmpl w:val="FFFFFFFF"/>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FE44B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2A638B"/>
    <w:multiLevelType w:val="multilevel"/>
    <w:tmpl w:val="FFFFFFFF"/>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16510820">
    <w:abstractNumId w:val="3"/>
  </w:num>
  <w:num w:numId="2" w16cid:durableId="1230310249">
    <w:abstractNumId w:val="5"/>
  </w:num>
  <w:num w:numId="3" w16cid:durableId="927883743">
    <w:abstractNumId w:val="11"/>
  </w:num>
  <w:num w:numId="4" w16cid:durableId="180125311">
    <w:abstractNumId w:val="9"/>
  </w:num>
  <w:num w:numId="5" w16cid:durableId="1269317976">
    <w:abstractNumId w:val="0"/>
  </w:num>
  <w:num w:numId="6" w16cid:durableId="869418792">
    <w:abstractNumId w:val="4"/>
  </w:num>
  <w:num w:numId="7" w16cid:durableId="1539201055">
    <w:abstractNumId w:val="10"/>
  </w:num>
  <w:num w:numId="8" w16cid:durableId="985356129">
    <w:abstractNumId w:val="18"/>
  </w:num>
  <w:num w:numId="9" w16cid:durableId="2087262383">
    <w:abstractNumId w:val="13"/>
  </w:num>
  <w:num w:numId="10" w16cid:durableId="387993767">
    <w:abstractNumId w:val="7"/>
  </w:num>
  <w:num w:numId="11" w16cid:durableId="554855911">
    <w:abstractNumId w:val="16"/>
  </w:num>
  <w:num w:numId="12" w16cid:durableId="766539767">
    <w:abstractNumId w:val="14"/>
  </w:num>
  <w:num w:numId="13" w16cid:durableId="1812743892">
    <w:abstractNumId w:val="17"/>
  </w:num>
  <w:num w:numId="14" w16cid:durableId="1085800826">
    <w:abstractNumId w:val="1"/>
  </w:num>
  <w:num w:numId="15" w16cid:durableId="1510832057">
    <w:abstractNumId w:val="15"/>
  </w:num>
  <w:num w:numId="16" w16cid:durableId="1339623879">
    <w:abstractNumId w:val="6"/>
  </w:num>
  <w:num w:numId="17" w16cid:durableId="1462990057">
    <w:abstractNumId w:val="8"/>
  </w:num>
  <w:num w:numId="18" w16cid:durableId="435490296">
    <w:abstractNumId w:val="12"/>
  </w:num>
  <w:num w:numId="19" w16cid:durableId="1484128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E1"/>
    <w:rsid w:val="000D25E7"/>
    <w:rsid w:val="00150CB6"/>
    <w:rsid w:val="00172ABD"/>
    <w:rsid w:val="002E5F6E"/>
    <w:rsid w:val="003B2DE1"/>
    <w:rsid w:val="004C67E3"/>
    <w:rsid w:val="005727CA"/>
    <w:rsid w:val="00601582"/>
    <w:rsid w:val="006673FC"/>
    <w:rsid w:val="006837A0"/>
    <w:rsid w:val="006D7813"/>
    <w:rsid w:val="007B7911"/>
    <w:rsid w:val="007E20C3"/>
    <w:rsid w:val="00803987"/>
    <w:rsid w:val="0093033B"/>
    <w:rsid w:val="009931C9"/>
    <w:rsid w:val="00B32567"/>
    <w:rsid w:val="00BB1BA8"/>
    <w:rsid w:val="00C45A8D"/>
    <w:rsid w:val="00D4611F"/>
    <w:rsid w:val="00EF401D"/>
  </w:rsids>
  <m:mathPr>
    <m:mathFont m:val="Cambria Math"/>
    <m:brkBin m:val="before"/>
    <m:brkBinSub m:val="--"/>
    <m:smallFrac m:val="0"/>
    <m:dispDef/>
    <m:lMargin m:val="0"/>
    <m:rMargin m:val="0"/>
    <m:defJc m:val="centerGroup"/>
    <m:wrapIndent m:val="1440"/>
    <m:intLim m:val="subSup"/>
    <m:naryLim m:val="undOvr"/>
  </m:mathPr>
  <w:themeFontLang w:val="en-SA"/>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D1F50B5"/>
  <w15:docId w15:val="{3FD162B5-B638-874F-B446-20A8982AB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A"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link w:val="Heading4Char"/>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0D25E7"/>
    <w:pPr>
      <w:widowControl/>
      <w:spacing w:before="100" w:beforeAutospacing="1" w:after="100" w:afterAutospacing="1"/>
    </w:pPr>
    <w:rPr>
      <w:rFonts w:ascii="Times New Roman" w:eastAsiaTheme="minorEastAsia" w:hAnsi="Times New Roman" w:cs="Times New Roman"/>
      <w:sz w:val="24"/>
      <w:szCs w:val="24"/>
    </w:rPr>
  </w:style>
  <w:style w:type="character" w:customStyle="1" w:styleId="apple-converted-space">
    <w:name w:val="apple-converted-space"/>
    <w:basedOn w:val="DefaultParagraphFont"/>
    <w:rsid w:val="00BB1BA8"/>
  </w:style>
  <w:style w:type="character" w:customStyle="1" w:styleId="Heading4Char">
    <w:name w:val="Heading 4 Char"/>
    <w:basedOn w:val="DefaultParagraphFont"/>
    <w:link w:val="Heading4"/>
    <w:uiPriority w:val="9"/>
    <w:rsid w:val="00C45A8D"/>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1031</Words>
  <Characters>5877</Characters>
  <Application>Microsoft Office Word</Application>
  <DocSecurity>0</DocSecurity>
  <Lines>48</Lines>
  <Paragraphs>13</Paragraphs>
  <ScaleCrop>false</ScaleCrop>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441203254</cp:lastModifiedBy>
  <cp:revision>2</cp:revision>
  <dcterms:created xsi:type="dcterms:W3CDTF">2026-08-13T20:39:00Z</dcterms:created>
  <dcterms:modified xsi:type="dcterms:W3CDTF">2026-08-13T20:39:00Z</dcterms:modified>
</cp:coreProperties>
</file>