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365D"/>
          <w:sz w:val="48"/>
        </w:rPr>
        <w:t>NovaTech Revenue Intelligence Dashboard</w:t>
      </w:r>
    </w:p>
    <w:p>
      <w:pPr>
        <w:spacing w:after="480"/>
      </w:pPr>
      <w:r>
        <w:rPr>
          <w:rFonts w:ascii="Calibri" w:hAnsi="Calibri"/>
          <w:i/>
          <w:color w:val="2B6CB0"/>
          <w:sz w:val="26"/>
        </w:rPr>
        <w:t>Executive Submission Report &amp; Technical Documentation | VP Sarah Chen</w:t>
      </w:r>
    </w:p>
    <w:p>
      <w:pPr>
        <w:keepNext/>
        <w:spacing w:before="360" w:after="160"/>
      </w:pPr>
      <w:r>
        <w:rPr>
          <w:rFonts w:ascii="Calibri" w:hAnsi="Calibri"/>
          <w:b/>
          <w:color w:val="1A365D"/>
          <w:sz w:val="32"/>
        </w:rPr>
        <w:t>1. Data Strategy &amp; Architecture</w:t>
      </w:r>
    </w:p>
    <w:p>
      <w:pPr>
        <w:keepNext/>
        <w:spacing w:before="240" w:after="120"/>
      </w:pPr>
      <w:r>
        <w:rPr>
          <w:rFonts w:ascii="Calibri" w:hAnsi="Calibri"/>
          <w:b/>
          <w:color w:val="2B6CB0"/>
          <w:sz w:val="26"/>
        </w:rPr>
        <w:t>Data Transformation &amp; Model Design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To eliminate reporting silos across NovaTech’s operational units, three core datasets were unified into a central, normalized analytical data model within Amazon QuickSight using a primary Left Join architecture anchored on the CRM deals dataset (novatech_crm_deals.csv):</w:t>
      </w:r>
    </w:p>
    <w:p>
      <w:pPr>
        <w:pStyle w:val="ListBullet"/>
        <w:spacing w:after="80"/>
      </w:pPr>
      <w:r>
        <w:rPr>
          <w:rFonts w:ascii="Calibri" w:hAnsi="Calibri"/>
          <w:color w:val="2D3748"/>
          <w:sz w:val="22"/>
        </w:rPr>
        <w:t>Join 1: novatech_crm_deals.csv → novatech_marketing_campaigns.csv on lead_id.</w:t>
      </w:r>
    </w:p>
    <w:p>
      <w:pPr>
        <w:pStyle w:val="ListBullet"/>
        <w:spacing w:after="240"/>
      </w:pPr>
      <w:r>
        <w:rPr>
          <w:rFonts w:ascii="Calibri" w:hAnsi="Calibri"/>
          <w:color w:val="2D3748"/>
          <w:sz w:val="22"/>
        </w:rPr>
        <w:t>Join 2: Transformed Deal Output → novatech_support_tickets.csv on account_id.</w:t>
      </w:r>
    </w:p>
    <w:p>
      <w:pPr>
        <w:keepNext/>
        <w:spacing w:before="240" w:after="120"/>
      </w:pPr>
      <w:r>
        <w:rPr>
          <w:rFonts w:ascii="Calibri" w:hAnsi="Calibri"/>
          <w:b/>
          <w:color w:val="2B6CB0"/>
          <w:sz w:val="26"/>
        </w:rPr>
        <w:t>Calculated Fields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A365D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Field Name</w:t>
            </w:r>
          </w:p>
        </w:tc>
        <w:tc>
          <w:tcPr>
            <w:tcW w:type="dxa" w:w="388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Formula / Logic</w:t>
            </w:r>
          </w:p>
        </w:tc>
        <w:tc>
          <w:tcPr>
            <w:tcW w:type="dxa" w:w="288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Business Purpose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Conversion Rate</w:t>
            </w:r>
          </w:p>
        </w:tc>
        <w:tc>
          <w:tcPr>
            <w:tcW w:type="dxa" w:w="388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distinct_count({opportunity_id}) / distinct_count({lead_id})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Evaluates lead-to-opportunity conversion efficiency across marketing channels.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Is Won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ifelse({Deal Outcome} = 'Won', 1, 0)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Normalizes deal outcomes into a binary metric for win-rate aggregation.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Ticket Resolution Days</w:t>
            </w:r>
          </w:p>
        </w:tc>
        <w:tc>
          <w:tcPr>
            <w:tcW w:type="dxa" w:w="388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dateDiff({ticket_created_date}, {ticket_resolved_date}, 'DD')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Measures support turnaround speed and SLA compliance.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Open Tickets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ifelse({is_resolved} = 0, 1, 0)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2D3748"/>
                <w:sz w:val="20"/>
              </w:rPr>
              <w:t>Tracks active unresolved customer issues affecting account health.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Calibri" w:hAnsi="Calibri"/>
          <w:b/>
          <w:color w:val="1A365D"/>
          <w:sz w:val="32"/>
        </w:rPr>
        <w:t>2. Dataset Verification Log (Data Quality Checks)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A365D"/>
          <w:left w:val="none"/>
          <w:right w:val="none"/>
          <w:insideH w:val="single" w:sz="4" w:space="0" w:color="E2E8F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Dataset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Verification Check</w:t>
            </w:r>
          </w:p>
        </w:tc>
        <w:tc>
          <w:tcPr>
            <w:tcW w:type="dxa" w:w="288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Quick Chat Result</w:t>
            </w:r>
          </w:p>
        </w:tc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1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CRM Deals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Record count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499 records</w:t>
            </w:r>
          </w:p>
        </w:tc>
        <w:tc>
          <w:tcPr>
            <w:tcW w:type="dxa" w:w="115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7450"/>
                <w:sz w:val="20"/>
              </w:rPr>
              <w:t>Pass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CRM Deals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Unique deal outcomes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Won, Lost (Deal Outcome)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7450"/>
                <w:sz w:val="20"/>
              </w:rPr>
              <w:t>Pass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CRM Deals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Total deal value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$707,201</w:t>
            </w:r>
          </w:p>
        </w:tc>
        <w:tc>
          <w:tcPr>
            <w:tcW w:type="dxa" w:w="115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7450"/>
                <w:sz w:val="20"/>
              </w:rPr>
              <w:t>Pass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Marketing Campaigns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Record count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2,240 records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7450"/>
                <w:sz w:val="20"/>
              </w:rPr>
              <w:t>Pass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Support Tickets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Record count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3,000 records</w:t>
            </w:r>
          </w:p>
        </w:tc>
        <w:tc>
          <w:tcPr>
            <w:tcW w:type="dxa" w:w="115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7450"/>
                <w:sz w:val="20"/>
              </w:rPr>
              <w:t>Pass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Support Tickets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Resolution field values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20"/>
              </w:rPr>
              <w:t>1 = Resolved, 0 = Unresolved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87450"/>
                <w:sz w:val="20"/>
              </w:rPr>
              <w:t>Pass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Calibri" w:hAnsi="Calibri"/>
          <w:b/>
          <w:color w:val="1A365D"/>
          <w:sz w:val="32"/>
        </w:rPr>
        <w:t>3. AI Exploration &amp; Validation Log (Q Exploration Log)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1A365D"/>
          <w:left w:val="none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Question (Prompt)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 Response</w:t>
            </w:r>
          </w:p>
        </w:tc>
        <w:tc>
          <w:tcPr>
            <w:tcW w:type="dxa" w:w="331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Dashboard Match? (Verification &amp; Variance Reason)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What is the total number of leads generated?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2,240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No. Dashboard shows 2,090. Q returned total row count instead of distinct lead IDs.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What is the win rate for deals?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63.13% (315 won / 499 total)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Slight Variance. Dashboard shows 63.75% calculated across joined data model.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3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What is the total value of closed won deals?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$707,201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No. Dashboard shows $101,870,331. Q queried the unjoined raw CSV dataset instead of the transformed model.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How many support tickets are unresolved?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59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No. Dashboard shows 1,060 open tickets. Variance caused by pre-filtered knowledge base context in Quick Chat.</w:t>
            </w:r>
          </w:p>
        </w:tc>
      </w:tr>
      <w:tr>
        <w:tc>
          <w:tcPr>
            <w:tcW w:type="dxa" w:w="576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5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Which company has the highest number of support tickets?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YieldMax Software (334 tickets)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Contextual Variance. Dashboard prioritizes AlphaCore Technologies (171 tickets) due to high combined deal value risk ($2.54M).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Calibri" w:hAnsi="Calibri"/>
          <w:b/>
          <w:color w:val="1A365D"/>
          <w:sz w:val="32"/>
        </w:rPr>
        <w:t>4. Business Findings &amp; Key Insights</w:t>
      </w:r>
    </w:p>
    <w:p>
      <w:pPr>
        <w:keepNext/>
        <w:spacing w:before="240" w:after="120"/>
      </w:pPr>
      <w:r>
        <w:rPr>
          <w:rFonts w:ascii="Calibri" w:hAnsi="Calibri"/>
          <w:b/>
          <w:color w:val="2B6CB0"/>
          <w:sz w:val="26"/>
        </w:rPr>
        <w:t>Marketing Funnel Performance</w:t>
      </w:r>
    </w:p>
    <w:p>
      <w:pPr>
        <w:spacing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Funnel Efficiency &amp; Channels: </w:t>
      </w:r>
      <w:r>
        <w:rPr>
          <w:rFonts w:ascii="Calibri" w:hAnsi="Calibri"/>
          <w:color w:val="2D3748"/>
          <w:sz w:val="22"/>
        </w:rPr>
        <w:t>Overall lead-to-opportunity conversion rate stands at 23.73% (496 qualified opportunities generated out of 2,090 total leads). Organic Search drives raw lead volume, while Partner Referral demonstrates superior lead quality with higher downstream stage progression.</w:t>
      </w:r>
    </w:p>
    <w:p>
      <w:pPr>
        <w:keepNext/>
        <w:spacing w:before="240" w:after="120"/>
      </w:pPr>
      <w:r>
        <w:rPr>
          <w:rFonts w:ascii="Calibri" w:hAnsi="Calibri"/>
          <w:b/>
          <w:color w:val="2B6CB0"/>
          <w:sz w:val="26"/>
        </w:rPr>
        <w:t>Sales Pipeline Health</w:t>
      </w:r>
    </w:p>
    <w:p>
      <w:pPr>
        <w:spacing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Win-Rate Execution: </w:t>
      </w:r>
      <w:r>
        <w:rPr>
          <w:rFonts w:ascii="Calibri" w:hAnsi="Calibri"/>
          <w:color w:val="2D3748"/>
          <w:sz w:val="22"/>
        </w:rPr>
        <w:t>The sales organization achieved a strong Win Rate of 63.75%, demonstrating robust qualification criteria prior to mid-to-late stage negotiations.</w:t>
      </w:r>
    </w:p>
    <w:p>
      <w:pPr>
        <w:spacing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Revenue Realization: </w:t>
      </w:r>
      <w:r>
        <w:rPr>
          <w:rFonts w:ascii="Calibri" w:hAnsi="Calibri"/>
          <w:color w:val="2D3748"/>
          <w:sz w:val="22"/>
        </w:rPr>
        <w:t>Realized Closed-Won revenue reached $101.87M out of a total pipeline value evaluated at $159.18M.</w:t>
      </w:r>
    </w:p>
    <w:p>
      <w:pPr>
        <w:keepNext/>
        <w:spacing w:before="240" w:after="120"/>
      </w:pPr>
      <w:r>
        <w:rPr>
          <w:rFonts w:ascii="Calibri" w:hAnsi="Calibri"/>
          <w:b/>
          <w:color w:val="2B6CB0"/>
          <w:sz w:val="26"/>
        </w:rPr>
        <w:t>Customer Health &amp; Risk Exposure</w:t>
      </w:r>
    </w:p>
    <w:p>
      <w:pPr>
        <w:spacing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Support Backlog: </w:t>
      </w:r>
      <w:r>
        <w:rPr>
          <w:rFonts w:ascii="Calibri" w:hAnsi="Calibri"/>
          <w:color w:val="2D3748"/>
          <w:sz w:val="22"/>
        </w:rPr>
        <w:t>There are currently 1,060 unresolved open support tickets requiring immediate operational intervention.</w:t>
      </w:r>
    </w:p>
    <w:p>
      <w:pPr>
        <w:spacing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Resolution Velocity: </w:t>
      </w:r>
      <w:r>
        <w:rPr>
          <w:rFonts w:ascii="Calibri" w:hAnsi="Calibri"/>
          <w:color w:val="2D3748"/>
          <w:sz w:val="22"/>
        </w:rPr>
        <w:t>The average resolution turnaround time across all support categories is 1.97 days.</w:t>
      </w:r>
    </w:p>
    <w:p>
      <w:pPr>
        <w:spacing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Key Accounts at Risk: </w:t>
      </w:r>
      <w:r>
        <w:rPr>
          <w:rFonts w:ascii="Calibri" w:hAnsi="Calibri"/>
          <w:color w:val="2D3748"/>
          <w:sz w:val="22"/>
        </w:rPr>
        <w:t>High-value accounts show severe support ticket clustering. AlphaCore Technologies poses the primary churn risk, carrying 171 open tickets paired with $2,543,454 in deal value.</w:t>
      </w:r>
    </w:p>
    <w:p>
      <w:pPr>
        <w:keepNext/>
        <w:spacing w:before="360" w:after="160"/>
      </w:pPr>
      <w:r>
        <w:rPr>
          <w:rFonts w:ascii="Calibri" w:hAnsi="Calibri"/>
          <w:b/>
          <w:color w:val="1A365D"/>
          <w:sz w:val="32"/>
        </w:rPr>
        <w:t>5. Strategic Recommendations for VP Sarah Chen</w:t>
      </w:r>
    </w:p>
    <w:p>
      <w:pPr>
        <w:pStyle w:val="ListBullet"/>
        <w:spacing w:after="120"/>
      </w:pPr>
      <w:r>
        <w:rPr>
          <w:rFonts w:ascii="Calibri" w:hAnsi="Calibri"/>
          <w:b/>
          <w:color w:val="2D3748"/>
          <w:sz w:val="22"/>
        </w:rPr>
        <w:t xml:space="preserve">Marketing Optimization: </w:t>
      </w:r>
      <w:r>
        <w:rPr>
          <w:rFonts w:ascii="Calibri" w:hAnsi="Calibri"/>
          <w:color w:val="2D3748"/>
          <w:sz w:val="22"/>
        </w:rPr>
        <w:t>Reallocate marketing acquisition budget toward Organic Search and Partner Referrals to lower Customer Acquisition Cost (CAC) while maximizing high-converting lead quality.</w:t>
      </w:r>
    </w:p>
    <w:p>
      <w:pPr>
        <w:pStyle w:val="ListBullet"/>
        <w:spacing w:after="120"/>
      </w:pPr>
      <w:r>
        <w:rPr>
          <w:rFonts w:ascii="Calibri" w:hAnsi="Calibri"/>
          <w:b/>
          <w:color w:val="2D3748"/>
          <w:sz w:val="22"/>
        </w:rPr>
        <w:t xml:space="preserve">Sales Pipeline Acceleration: </w:t>
      </w:r>
      <w:r>
        <w:rPr>
          <w:rFonts w:ascii="Calibri" w:hAnsi="Calibri"/>
          <w:color w:val="2D3748"/>
          <w:sz w:val="22"/>
        </w:rPr>
        <w:t>Implement targeted closing strategies for deals stalled in mid-pipeline stages to unlock the remaining 36.25% ($57.3M) of unrealized pipeline potential.</w:t>
      </w:r>
    </w:p>
    <w:p>
      <w:pPr>
        <w:pStyle w:val="ListBullet"/>
        <w:spacing w:after="240"/>
      </w:pPr>
      <w:r>
        <w:rPr>
          <w:rFonts w:ascii="Calibri" w:hAnsi="Calibri"/>
          <w:b/>
          <w:color w:val="2D3748"/>
          <w:sz w:val="22"/>
        </w:rPr>
        <w:t xml:space="preserve">Customer Success Task Force: </w:t>
      </w:r>
      <w:r>
        <w:rPr>
          <w:rFonts w:ascii="Calibri" w:hAnsi="Calibri"/>
          <w:color w:val="2D3748"/>
          <w:sz w:val="22"/>
        </w:rPr>
        <w:t>Deploy a dedicated rapid-response support team to clear ticket backlogs for Tier-1 accounts, prioritizing AlphaCore Technologies to mitigate immediate churn risk and safeguard recurring revenue.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