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MySQL 读写性能测试</w:t>
      </w:r>
    </w:p>
    <w:p>
      <w:pPr>
        <w:pStyle w:val="Subtitle"/>
      </w:pPr>
      <w:r>
        <w:t>基于教师测试计划的 JPA 与 MyBatis 对照实验</w:t>
      </w:r>
    </w:p>
    <w:p>
      <w:r>
        <w:t>实验日期  2026 年 10 月 18 日     |     四节点 Docker Swarm</w:t>
      </w:r>
    </w:p>
    <w:p>
      <w:pPr>
        <w:pStyle w:val="Heading1"/>
      </w:pPr>
      <w:r>
        <w:t>摘要</w:t>
      </w:r>
    </w:p>
    <w:p>
      <w:r>
        <w:t>本实验依据《实验三：MySQL读写性能测试》及教师仓库最新提交 fce17e7，在四台 Ubuntu 18.04.6 云服务器上完成 Spring Data JPA 与 MyBatis 两种持久层的商品读取和新建测试。应用、MySQL、JMeter 和 Prometheus 分别位于独立节点，使用教师的随机写入内容、业务断言、单次循环和监控公式。</w:t>
      </w:r>
    </w:p>
    <w:p>
      <w:r>
        <w:t>正式矩阵为两种实现、两个接口、100/400/1000 个总线程各三次重复；所有组均为 10 秒升压、1 次循环。当前核验 36 组、18,000 次请求、0 次失败。两种实现各 16 项真实 MySQL 功能测试全部通过；每组写入后的新增行数与成功请求数一致，读后数据量不变。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152"/>
        <w:gridCol w:w="3528"/>
        <w:gridCol w:w="2160"/>
        <w:gridCol w:w="2160"/>
      </w:tblGrid>
      <w:tr>
        <w:trPr>
          <w:cantSplit/>
          <w:tblHeader/>
        </w:trPr>
        <w:tc>
          <w:tcPr>
            <w:tcW w:type="dxa" w:w="64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115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实现</w:t>
            </w:r>
          </w:p>
        </w:tc>
        <w:tc>
          <w:tcPr>
            <w:tcW w:type="dxa" w:w="35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1000 线程吞吐量 req/s</w:t>
            </w:r>
          </w:p>
        </w:tc>
        <w:tc>
          <w:tcPr>
            <w:tcW w:type="dxa" w:w="2160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平均响应 ms</w:t>
            </w:r>
          </w:p>
        </w:tc>
        <w:tc>
          <w:tcPr>
            <w:tcW w:type="dxa" w:w="2160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P95 ms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35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101.7 ± 0.0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11.58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58.35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35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101.7 ± 0.0</w:t>
            </w:r>
          </w:p>
        </w:tc>
        <w:tc>
          <w:tcPr>
            <w:tcW w:type="dxa" w:w="216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8.35</w:t>
            </w:r>
          </w:p>
        </w:tc>
        <w:tc>
          <w:tcPr>
            <w:tcW w:type="dxa" w:w="216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36.38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35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101.0 ± 0.7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1307.02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2994.28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35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101.1 ± 0.1</w:t>
            </w:r>
          </w:p>
        </w:tc>
        <w:tc>
          <w:tcPr>
            <w:tcW w:type="dxa" w:w="216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41.33</w:t>
            </w:r>
          </w:p>
        </w:tc>
        <w:tc>
          <w:tcPr>
            <w:tcW w:type="dxa" w:w="216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248.80</w:t>
            </w:r>
          </w:p>
        </w:tc>
      </w:tr>
    </w:tbl>
    <w:p>
      <w:pPr>
        <w:spacing w:after="20"/>
      </w:pPr>
    </w:p>
    <w:p>
      <w:r>
        <w:t>表中为三次重复的均值，± 为吞吐量样本标准差；P95 列是三次 P95 的平均。该负载约每秒启动 100 个单次请求线程，主要比较此请求节奏下的响应表现，不能据此宣称测得最大吞吐量或支持 1000 个持续并发用户。CPU 指标遵循教师的 5 分钟平滑公式。</w:t>
      </w:r>
    </w:p>
    <w:p>
      <w:r>
        <w:t>本报告只采用教师版本重新采集的数据及截图。前期自定义 35 秒循环测试已停止并单独归档，没有混入下表、曲线或最终结论。</w:t>
      </w:r>
    </w:p>
    <w:p>
      <w:r>
        <w:t>关键词：MySQL；Spring Data JPA；MyBatis；JMeter；Prometheus</w:t>
      </w:r>
    </w:p>
    <w:p>
      <w:r>
        <w:t>程序地址：https://github.com/Re1lya/lab3-mysql-benchmark</w:t>
      </w:r>
    </w:p>
    <w:p>
      <w:r>
        <w:br w:type="page"/>
      </w:r>
    </w:p>
    <w:p>
      <w:pPr>
        <w:pStyle w:val="Heading1"/>
      </w:pPr>
      <w:r>
        <w:t>1 教师源码与版本核对</w:t>
      </w:r>
    </w:p>
    <w:p>
      <w:r>
        <w:t>本次正式来源为教师 Gitee 仓库提交 fce17e7dd6a204b91bbe89181ad6a30b09aa0270。已将最新版完整同步到独立本地工作区 spring-fundamentals-upstream，未向教师仓库上传任何改动。个人实验代码保存在公开 GitHub 仓库，凭据和私人项目不进入版本库。</w:t>
      </w:r>
    </w:p>
    <w:p>
      <w:r>
        <w:t>与前期 934bbaf 基线比较，SpringAOP 的 36 个主程序 Java 文件、Maven POM、clonefactory 和商品 CSV 内容一致；教师将目录 5.SpringAOP 改为 4.SpringAOP，并更新部署、JMeter 和监控配置。正式批次已采用这些最新配置，不仅更新目录名称。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920"/>
      </w:tblGrid>
      <w:tr>
        <w:trPr>
          <w:cantSplit/>
          <w:tblHeader/>
        </w:trPr>
        <w:tc>
          <w:tcPr>
            <w:tcW w:type="dxa" w:w="17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教师内容</w:t>
            </w:r>
          </w:p>
        </w:tc>
        <w:tc>
          <w:tcPr>
            <w:tcW w:type="dxa" w:w="7920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正式批次处理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读计划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保留 CSV 数据、GET 路径、HTTP 200 与 errno=0 断言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写计划</w:t>
            </w:r>
          </w:p>
        </w:tc>
        <w:tc>
          <w:tcPr>
            <w:tcW w:type="dxa" w:w="79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保留随机中文与数值载荷、POST /shops/1/products、HTTP 201 断言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循环方式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按参数给定总线程数，10 秒升压，每线程 1 次循环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监控规则</w:t>
            </w:r>
          </w:p>
        </w:tc>
        <w:tc>
          <w:tcPr>
            <w:tcW w:type="dxa" w:w="79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 条记录规则原文件应用，SHA-256 与教师原件一致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采集设置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scrape 2s；全局evaluation 5s，规则组30s；timeout 1s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应用资源参数</w:t>
            </w:r>
          </w:p>
        </w:tc>
        <w:tc>
          <w:tcPr>
            <w:tcW w:type="dxa" w:w="79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Tomcat max300/min100；Druid max300/min100/initial100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日志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保留教师的业务 DEBUG 与 JPA show-sql=true</w:t>
            </w:r>
          </w:p>
        </w:tc>
      </w:tr>
    </w:tbl>
    <w:p>
      <w:pPr>
        <w:spacing w:after="20"/>
      </w:pPr>
    </w:p>
    <w:p>
      <w:pPr>
        <w:pStyle w:val="Heading2"/>
      </w:pPr>
      <w:r>
        <w:t>必要的执行适配</w:t>
      </w:r>
    </w:p>
    <w:p>
      <w:r>
        <w:t>指导书允许修改 hostname、端口及按实际内存调整 JVM。除此之外，修复原脚本 -D 与 __P 所需 -J 不一致、写 JMX 的 rump-up.period 拼写，并清除教师电脑的 Windows 结果绝对路径。否则“1000/10/1”可能不会按指导书意图执行。这些属于参数传递和路径修正，没有替换随机业务载荷。</w:t>
      </w:r>
    </w:p>
    <w:p>
      <w:r>
        <w:t>原件和适配件同时保存，reference/teacher-fce17e7/ 附哈希清单；正式执行的线程数量进一步由每组 JTL 请求数核验。数据库与监控密码改用外部私有配置，避免公开凭据。</w:t>
      </w:r>
    </w:p>
    <w:p>
      <w:r>
        <w:br w:type="page"/>
      </w:r>
    </w:p>
    <w:p>
      <w:pPr>
        <w:pStyle w:val="Heading1"/>
      </w:pPr>
      <w:r>
        <w:t>2 四节点环境与构建</w:t>
      </w:r>
    </w:p>
    <w:p>
      <w:r>
        <w:t>保留已购买服务器，每台 2 核 / 2 GiB、40 GiB 系统盘，实际可见内存约 1800 MiB，Ubuntu 18.04.6、Docker 20.10.21。内存高于指导书第 1 页的 1G 示例，报告如实披露；未修改机器规格。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2232"/>
        <w:gridCol w:w="6264"/>
      </w:tblGrid>
      <w:tr>
        <w:trPr>
          <w:cantSplit/>
          <w:tblHeader/>
        </w:trPr>
        <w:tc>
          <w:tcPr>
            <w:tcW w:type="dxa" w:w="115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节点</w:t>
            </w:r>
          </w:p>
        </w:tc>
        <w:tc>
          <w:tcPr>
            <w:tcW w:type="dxa" w:w="223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私网地址</w:t>
            </w:r>
          </w:p>
        </w:tc>
        <w:tc>
          <w:tcPr>
            <w:tcW w:type="dxa" w:w="6264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主要任务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CDWY3</w:t>
            </w:r>
          </w:p>
        </w:tc>
        <w:tc>
          <w:tcPr>
            <w:tcW w:type="dxa" w:w="223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172.31.12.156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编译及 JMeter，对应服务器 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CDWY1</w:t>
            </w:r>
          </w:p>
        </w:tc>
        <w:tc>
          <w:tcPr>
            <w:tcW w:type="dxa" w:w="223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172.31.1.202</w:t>
            </w:r>
          </w:p>
        </w:tc>
        <w:tc>
          <w:tcPr>
            <w:tcW w:type="dxa" w:w="62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应用与 Swarm Manager，对应 B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CDWY2</w:t>
            </w:r>
          </w:p>
        </w:tc>
        <w:tc>
          <w:tcPr>
            <w:tcW w:type="dxa" w:w="223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172.31.8.46</w:t>
            </w:r>
          </w:p>
        </w:tc>
        <w:tc>
          <w:tcPr>
            <w:tcW w:type="dxa" w:w="62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MySQL，对应 C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CDWY4</w:t>
            </w:r>
          </w:p>
        </w:tc>
        <w:tc>
          <w:tcPr>
            <w:tcW w:type="dxa" w:w="223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172.31.1.19</w:t>
            </w:r>
          </w:p>
        </w:tc>
        <w:tc>
          <w:tcPr>
            <w:tcW w:type="dxa" w:w="62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Prometheus，对应 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920"/>
      </w:tblGrid>
      <w:tr>
        <w:trPr>
          <w:cantSplit/>
          <w:tblHeader/>
        </w:trPr>
        <w:tc>
          <w:tcPr>
            <w:tcW w:type="dxa" w:w="17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7920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版本或参数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编译与运行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JDK 21.0.12.1；Maven 3.9.16；容器 Java 21.0.6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应用</w:t>
            </w:r>
          </w:p>
        </w:tc>
        <w:tc>
          <w:tcPr>
            <w:tcW w:type="dxa" w:w="79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Spring Boot 4.1.1；MyBatis 3.5.19；MyBatis-Spring 4.0.0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数据库与负载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MySQL 9.2.0；JMeter 5.6.3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监控</w:t>
            </w:r>
          </w:p>
        </w:tc>
        <w:tc>
          <w:tcPr>
            <w:tcW w:type="dxa" w:w="79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Prometheus 3.7.3；node-exporter 1.10.2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应用 JVM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堆 256–512 MiB；Xss 512 KiB；容器内存上限 1 GiB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JMeter JVM</w:t>
            </w:r>
          </w:p>
        </w:tc>
        <w:tc>
          <w:tcPr>
            <w:tcW w:type="dxa" w:w="79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堆 256–768 MiB；Xss 512 KiB；Metaspace 上限 192 MiB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报告粒度</w:t>
            </w:r>
          </w:p>
        </w:tc>
        <w:tc>
          <w:tcPr>
            <w:tcW w:type="dxa" w:w="79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jmeter.reportgenerator.overall_granularity=1000</w:t>
            </w:r>
          </w:p>
        </w:tc>
      </w:tr>
    </w:tbl>
    <w:p>
      <w:pPr>
        <w:spacing w:after="20"/>
      </w:pPr>
    </w:p>
    <w:p>
      <w:r>
        <w:t>先安装 clonefactory，再对 core 执行 Maven install，随后打包应用并构建镜像。使用 package + docker build 完成相同打包目的，避开会删除受保护历史镜像的课程脚本阶段。正式镜像为 lab3-teacher-20261018，同一镜像按 profile 切换持久层。</w:t>
      </w:r>
    </w:p>
    <w:p>
      <w:r>
        <w:t>镜像 ID：sha256:b2e12d68ea0cd4154ab9604b48b474b84cf7b91407f558a89df875e48e9074dc。构建节点和应用节点归档校验和相同。部署入口为 4. SpringAOP/conf/docker/productdemoaop-docker.yml。</w:t>
      </w:r>
    </w:p>
    <w:p>
      <w:r>
        <w:br w:type="page"/>
      </w:r>
    </w:p>
    <w:p>
      <w:pPr>
        <w:pStyle w:val="Heading1"/>
      </w:pPr>
      <w:r>
        <w:t>3 持久层实现与功能验证</w:t>
      </w:r>
    </w:p>
    <w:p>
      <w:r>
        <w:t>读接口为 GET /shops/{shopId}/products/{id}，写接口为 POST /shops/{shopId}/products。两种 profile 共用 Controller、Service、DAO、DTO、数据库结构和业务事务边界。写路径新增商品后读取记录和关联信息构造响应，比较的是完整业务接口。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888"/>
        <w:gridCol w:w="4176"/>
      </w:tblGrid>
      <w:tr>
        <w:trPr>
          <w:cantSplit/>
          <w:tblHeader/>
        </w:trPr>
        <w:tc>
          <w:tcPr>
            <w:tcW w:type="dxa" w:w="1584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部分</w:t>
            </w:r>
          </w:p>
        </w:tc>
        <w:tc>
          <w:tcPr>
            <w:tcW w:type="dxa" w:w="388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JPA</w:t>
            </w:r>
          </w:p>
        </w:tc>
        <w:tc>
          <w:tcPr>
            <w:tcW w:type="dxa" w:w="4176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MyBatis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仓库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Spring Data Repository</w:t>
            </w:r>
          </w:p>
        </w:tc>
        <w:tc>
          <w:tcPr>
            <w:tcW w:type="dxa" w:w="41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同接口的 MyBatis Repository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SQL</w:t>
            </w:r>
          </w:p>
        </w:tc>
        <w:tc>
          <w:tcPr>
            <w:tcW w:type="dxa" w:w="388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Hibernate 生成</w:t>
            </w:r>
          </w:p>
        </w:tc>
        <w:tc>
          <w:tcPr>
            <w:tcW w:type="dxa" w:w="417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Lab3Mapper.xml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事务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 事务管理器</w:t>
            </w:r>
          </w:p>
        </w:tc>
        <w:tc>
          <w:tcPr>
            <w:tcW w:type="dxa" w:w="41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DataSourceTransactionManager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会话</w:t>
            </w:r>
          </w:p>
        </w:tc>
        <w:tc>
          <w:tcPr>
            <w:tcW w:type="dxa" w:w="388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持久化上下文</w:t>
            </w:r>
          </w:p>
        </w:tc>
        <w:tc>
          <w:tcPr>
            <w:tcW w:type="dxa" w:w="417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SqlSessionTemplate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生成字段</w:t>
            </w:r>
          </w:p>
        </w:tc>
        <w:tc>
          <w:tcPr>
            <w:tcW w:type="dxa" w:w="388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数据库生成创建时间回读</w:t>
            </w:r>
          </w:p>
        </w:tc>
        <w:tc>
          <w:tcPr>
            <w:tcW w:type="dxa" w:w="417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插入后读取数据库记录</w:t>
            </w:r>
          </w:p>
        </w:tc>
      </w:tr>
    </w:tbl>
    <w:p>
      <w:pPr>
        <w:spacing w:after="20"/>
      </w:pPr>
    </w:p>
    <w:p>
      <w:r>
        <w:t>MyBatis profile 关闭 Hibernate 与 JPA 仓库自动配置，使用 Spring 管理的 SqlSessionTemplate。[2] JPA 创建时间标记为数据库生成并回读，以保持响应语义；GoodsPo 去掉写死的旧库 schema，使关联查询使用当前实验库。原测试的 VO 类型错误已修正；删除测试改为新建无外键关联的商品。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s-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1  教师数据库和配置下，JPA、MyBatis 各 16 项功能测试通过。真实 SSH 输出渲染截图。</w:t>
      </w:r>
    </w:p>
    <w:p>
      <w:r>
        <w:t>功能测试使用真实 MySQL 并通过事务回滚。完整日志保留在 logs/test-jpa.log 和 logs/test-mybatis.log；它们是功能验证材料，不计入性能样本。</w:t>
      </w:r>
    </w:p>
    <w:p>
      <w:r>
        <w:br w:type="page"/>
      </w:r>
    </w:p>
    <w:p>
      <w:pPr>
        <w:pStyle w:val="Heading1"/>
      </w:pPr>
      <w:r>
        <w:t>4 数据基线与过程控制</w:t>
      </w:r>
    </w:p>
    <w:p>
      <w:r>
        <w:t>从教师原始 product.sql 导入新建专用库 oomall_lab3_teacher：商品 3912 行、关联关系 30660 行、上架记录 3914 行，商品最大 ID 5461，自增起点 5609。原 oomall_demo 保持 3913 行，未用实验数据覆盖。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database-in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2  教师 SQL 导入后基线行数核验。真实 SSH 输出渲染截图。</w:t>
      </w:r>
    </w:p>
    <w:p>
      <w:r>
        <w:t>每组前删除专用实验库中本轮新增记录，恢复基线和自增起点；每组后核对写入增长量与成功请求数，读后数量保持不变。所有检查语句、返回值和每组 metadata.json 均留存。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114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-targe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3  教师配置下的 Prometheus Targets 实际页面，6 个目标均为 UP。</w:t>
      </w:r>
    </w:p>
    <w:p>
      <w:r>
        <w:t>正式采集前停止独立 demo 容器，结束后恢复；控制器有心跳与异常恢复措施。采集中不在发压节点编译或生成 HTML，HTML 和统计在本机离线生成。</w:t>
      </w:r>
    </w:p>
    <w:p>
      <w:r>
        <w:br w:type="page"/>
      </w:r>
    </w:p>
    <w:p>
      <w:pPr>
        <w:pStyle w:val="Heading1"/>
      </w:pPr>
      <w:r>
        <w:t>5 实验设计与监控口径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7992"/>
      </w:tblGrid>
      <w:tr>
        <w:trPr>
          <w:cantSplit/>
          <w:tblHeader/>
        </w:trPr>
        <w:tc>
          <w:tcPr>
            <w:tcW w:type="dxa" w:w="1656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因素</w:t>
            </w:r>
          </w:p>
        </w:tc>
        <w:tc>
          <w:tcPr>
            <w:tcW w:type="dxa" w:w="799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设置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实现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JPA、MyBatis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接口</w:t>
            </w:r>
          </w:p>
        </w:tc>
        <w:tc>
          <w:tcPr>
            <w:tcW w:type="dxa" w:w="79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读取、新建商品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总线程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100、400、1000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升压与循环</w:t>
            </w:r>
          </w:p>
        </w:tc>
        <w:tc>
          <w:tcPr>
            <w:tcW w:type="dxa" w:w="79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全部 10 秒升压、1 次循环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重复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每个组合 3 次，共 36 组、18000 次请求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次序</w:t>
            </w:r>
          </w:p>
        </w:tc>
        <w:tc>
          <w:tcPr>
            <w:tcW w:type="dxa" w:w="79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第1/3轮 JPA→MyBatis，第2轮 MyBatis→JPA；组内固定种子打乱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间隔</w:t>
            </w:r>
          </w:p>
        </w:tc>
        <w:tc>
          <w:tcPr>
            <w:tcW w:type="dxa" w:w="79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首组前等待5分钟；每组前空闲15秒，组后等待12秒采集监控</w:t>
            </w:r>
          </w:p>
        </w:tc>
      </w:tr>
    </w:tbl>
    <w:p>
      <w:pPr>
        <w:spacing w:after="20"/>
      </w:pPr>
    </w:p>
    <w:p>
      <w:r>
        <w:t>1000/10/1 直接对应指导书第 3 页示例，400 对应教师 JMX 默认线程数量，100 是相同计划的低负载对照。没有沿用前期 35 秒循环或固定写载荷，也没有向正式请求加入额外后处理器。</w:t>
      </w:r>
    </w:p>
    <w:p>
      <w:pPr>
        <w:pStyle w:val="Heading2"/>
      </w:pPr>
      <w:r>
        <w:t>请求统计</w:t>
      </w:r>
    </w:p>
    <w:p>
      <w:r>
        <w:t>全程吞吐量为成功请求数除以“最后完成时间−首次发起时间”。延迟直接使用原始 JTL 的 elapsed；不扣除连接时间，不剔除升压、慢请求或异常请求。P50/P90/P95/P99 使用线性插值，重复试验以每轮为观察单位，报告均值、样本标准差与范围。JMeter HTML 采用全程样本；分位数估计器差异可能造成小幅不同。[3]</w:t>
      </w:r>
    </w:p>
    <w:p>
      <w:pPr>
        <w:pStyle w:val="Heading2"/>
      </w:pPr>
      <w:r>
        <w:t>教师监控公式</w:t>
      </w:r>
    </w:p>
    <w:p>
      <w:r>
        <w:t>CPU 使用各主机 idle CPU 时间的 rate[5m] 除以全部 CPU 时间 rate[5m]，再计算 1−该比值。内存使用率为 1−(MemFree+Buffers+Cached)/MemTotal。JVM 活跃线程直接来自 spring:jvm_threads_live_threads。规则文件保持教师原件。</w:t>
      </w:r>
    </w:p>
    <w:p>
      <w:r>
        <w:t>CPU 是最近 5 分钟平滑值，包含组前与相邻组负载，不能解释为单组 10 秒的瞬时峰值；内存公式与 MemAvailable 口径不同，不能混用前期数据。教师的两个规则组显式每30秒评估，覆盖全局5秒设置。query_range 每2秒导出只是对已记录值取样，重复时间点不代表新的独立测量；10秒组内可能没有新规则样本，图中保留这一限制。原始12类时序JSON全部保存。[4]</w:t>
      </w:r>
    </w:p>
    <w:p>
      <w:r>
        <w:br w:type="page"/>
      </w:r>
    </w:p>
    <w:p>
      <w:pPr>
        <w:pStyle w:val="Heading1"/>
      </w:pPr>
      <w:r>
        <w:t>6 正式读写结果</w:t>
      </w:r>
    </w:p>
    <w:p>
      <w:r>
        <w:t>下表汇总三次重复；吞吐量为均值 ± 样本标准差，单位 req/s。延迟各列为每轮对应统计量的平均，单位 ms。P95 均值不等于把三轮请求合并后的整体 P95。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152"/>
        <w:gridCol w:w="792"/>
        <w:gridCol w:w="2448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64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115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实现</w:t>
            </w:r>
          </w:p>
        </w:tc>
        <w:tc>
          <w:tcPr>
            <w:tcW w:type="dxa" w:w="79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线程</w:t>
            </w:r>
          </w:p>
        </w:tc>
        <w:tc>
          <w:tcPr>
            <w:tcW w:type="dxa" w:w="244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吞吐量 req/s</w:t>
            </w:r>
          </w:p>
        </w:tc>
        <w:tc>
          <w:tcPr>
            <w:tcW w:type="dxa" w:w="1296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均值 ms</w:t>
            </w:r>
          </w:p>
        </w:tc>
        <w:tc>
          <w:tcPr>
            <w:tcW w:type="dxa" w:w="1296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P95 ms</w:t>
            </w:r>
          </w:p>
        </w:tc>
        <w:tc>
          <w:tcPr>
            <w:tcW w:type="dxa" w:w="1296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P99 ms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7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10.3 ± 0.0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5.15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6.42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32.38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7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4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10.3 ± 0.0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4.25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4.35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28.69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7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40.7 ± 0.0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5.30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8.37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54.80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7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24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40.7 ± 0.1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3.33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4.00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36.68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7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101.7 ± 0.0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11.58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58.35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183.69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7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24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101.7 ± 0.0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8.35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36.38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139.68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7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10.2 ± 0.0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14.81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19.78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70.32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7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4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10.2 ± 0.0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8.95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11.35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22.85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7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40.5 ± 0.0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10.41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13.67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50.89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7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24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40.5 ± 0.1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7.66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8.37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43.03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JPA</w:t>
            </w:r>
          </w:p>
        </w:tc>
        <w:tc>
          <w:tcPr>
            <w:tcW w:type="dxa" w:w="79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244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101.0 ± 0.7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1307.02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2994.28</w:t>
            </w:r>
          </w:p>
        </w:tc>
        <w:tc>
          <w:tcPr>
            <w:tcW w:type="dxa" w:w="129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3318.22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</w:t>
            </w:r>
          </w:p>
        </w:tc>
        <w:tc>
          <w:tcPr>
            <w:tcW w:type="dxa" w:w="115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MYBATIS</w:t>
            </w:r>
          </w:p>
        </w:tc>
        <w:tc>
          <w:tcPr>
            <w:tcW w:type="dxa" w:w="79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244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101.1 ± 0.1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41.33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248.80</w:t>
            </w:r>
          </w:p>
        </w:tc>
        <w:tc>
          <w:tcPr>
            <w:tcW w:type="dxa" w:w="129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569.08</w:t>
            </w:r>
          </w:p>
        </w:tc>
      </w:tr>
    </w:tbl>
    <w:p>
      <w:pPr>
        <w:spacing w:after="20"/>
      </w:pPr>
    </w:p>
    <w:p>
      <w:r>
        <w:t>累计 18,000 次请求、0 次失败。写测试的数据库增量与成功请求数逐组一致；读测试没有改变商品行数。所有逐次统计见 analysis/all-runs.csv。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1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4  教师单循环计划的成功吞吐量。请求节奏受 10 秒升压约束，不能作为饱和容量曲线。</w:t>
      </w:r>
    </w:p>
    <w:p>
      <w:r>
        <w:br w:type="page"/>
      </w:r>
    </w:p>
    <w:p>
      <w:pPr>
        <w:pStyle w:val="Heading1"/>
      </w:pPr>
      <w:r>
        <w:t>7 延迟与重复波动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2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5  各组 P95 的三轮均值和样本标准差。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64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操作与实现</w:t>
            </w:r>
          </w:p>
        </w:tc>
        <w:tc>
          <w:tcPr>
            <w:tcW w:type="dxa" w:w="864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线程</w:t>
            </w:r>
          </w:p>
        </w:tc>
        <w:tc>
          <w:tcPr>
            <w:tcW w:type="dxa" w:w="17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第1轮均值</w:t>
            </w:r>
          </w:p>
        </w:tc>
        <w:tc>
          <w:tcPr>
            <w:tcW w:type="dxa" w:w="17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第2轮均值</w:t>
            </w:r>
          </w:p>
        </w:tc>
        <w:tc>
          <w:tcPr>
            <w:tcW w:type="dxa" w:w="17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第3轮均值</w:t>
            </w:r>
          </w:p>
        </w:tc>
        <w:tc>
          <w:tcPr>
            <w:tcW w:type="dxa" w:w="1728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标准差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 JPA</w:t>
            </w:r>
          </w:p>
        </w:tc>
        <w:tc>
          <w:tcPr>
            <w:tcW w:type="dxa" w:w="8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5.14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4.91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0.24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 MYBATIS</w:t>
            </w:r>
          </w:p>
        </w:tc>
        <w:tc>
          <w:tcPr>
            <w:tcW w:type="dxa" w:w="8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4.01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4.76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3.99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0.44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 JPA</w:t>
            </w:r>
          </w:p>
        </w:tc>
        <w:tc>
          <w:tcPr>
            <w:tcW w:type="dxa" w:w="8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4.17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3.69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8.05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2.39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 MYBATIS</w:t>
            </w:r>
          </w:p>
        </w:tc>
        <w:tc>
          <w:tcPr>
            <w:tcW w:type="dxa" w:w="8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3.03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3.03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3.94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0.52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 JPA</w:t>
            </w:r>
          </w:p>
        </w:tc>
        <w:tc>
          <w:tcPr>
            <w:tcW w:type="dxa" w:w="8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3.05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26.69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5.01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13.12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读 MYBATIS</w:t>
            </w:r>
          </w:p>
        </w:tc>
        <w:tc>
          <w:tcPr>
            <w:tcW w:type="dxa" w:w="8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3.66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18.04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3.36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8.39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 JPA</w:t>
            </w:r>
          </w:p>
        </w:tc>
        <w:tc>
          <w:tcPr>
            <w:tcW w:type="dxa" w:w="8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17.84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12.26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14.32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2.82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 MYBATIS</w:t>
            </w:r>
          </w:p>
        </w:tc>
        <w:tc>
          <w:tcPr>
            <w:tcW w:type="dxa" w:w="8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9.85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8.16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8.85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0.85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 JPA</w:t>
            </w:r>
          </w:p>
        </w:tc>
        <w:tc>
          <w:tcPr>
            <w:tcW w:type="dxa" w:w="8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11.21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9.32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10.68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0.98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 MYBATIS</w:t>
            </w:r>
          </w:p>
        </w:tc>
        <w:tc>
          <w:tcPr>
            <w:tcW w:type="dxa" w:w="8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8.24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7.64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7.10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0.57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 JPA</w:t>
            </w:r>
          </w:p>
        </w:tc>
        <w:tc>
          <w:tcPr>
            <w:tcW w:type="dxa" w:w="86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1383.62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549.26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1988.18</w:t>
            </w:r>
          </w:p>
        </w:tc>
        <w:tc>
          <w:tcPr>
            <w:tcW w:type="dxa" w:w="17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722.51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写 MYBATIS</w:t>
            </w:r>
          </w:p>
        </w:tc>
        <w:tc>
          <w:tcPr>
            <w:tcW w:type="dxa" w:w="864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51.55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16.45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55.98</w:t>
            </w:r>
          </w:p>
        </w:tc>
        <w:tc>
          <w:tcPr>
            <w:tcW w:type="dxa" w:w="172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21.66</w:t>
            </w:r>
          </w:p>
        </w:tc>
      </w:tr>
    </w:tbl>
    <w:p>
      <w:pPr>
        <w:spacing w:after="20"/>
      </w:pPr>
    </w:p>
    <w:p>
      <w:r>
        <w:t>表中延迟单位 ms。每个实现块重新部署，未额外加入教师计划之外的长时间预热；冷启动、JIT 和缓存积累可能影响早期请求。保留三轮全部结果，以显示这种波动，不挑选最好的一轮代替总体。</w:t>
      </w:r>
    </w:p>
    <w:p>
      <w:r>
        <w:br w:type="page"/>
      </w:r>
    </w:p>
    <w:p>
      <w:pPr>
        <w:pStyle w:val="Heading1"/>
      </w:pPr>
      <w:r>
        <w:t>8 响应分布与监控曲线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682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Product-la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6  第3轮1000线程读取的完整延迟分布与每秒平均响应耗时。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68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Product-laten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7  第3轮1000线程写入的完整延迟分布与每秒平均响应耗时。</w:t>
      </w:r>
    </w:p>
    <w:p>
      <w:r>
        <w:t>展示条件固定为第3轮1000线程，未按结果高低挑选。线程分10秒依次启动、完成一次请求后退出，因此配置线程总数与实际同时活跃线程不同。</w:t>
      </w:r>
    </w:p>
    <w:p>
      <w:r>
        <w:br w:type="page"/>
      </w:r>
    </w:p>
    <w:p>
      <w:pPr>
        <w:pStyle w:val="Heading1"/>
      </w:pPr>
      <w:r>
        <w:t>9 教师指标的时间变化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0709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Product-monitor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8  读取示例的线程、应用CPU、应用内存及发压CPU；CPU保留教师5分钟口径。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30709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Product-monitor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9  写入示例同类指标。横轴各自对齐首个请求，两种实现不是同时发压。</w:t>
      </w:r>
    </w:p>
    <w:p>
      <w:r>
        <w:br w:type="page"/>
      </w:r>
    </w:p>
    <w:p>
      <w:pPr>
        <w:pStyle w:val="Heading1"/>
      </w:pPr>
      <w:r>
        <w:t>10 JMeter 原始报告与截图</w:t>
      </w:r>
    </w:p>
    <w:p>
      <w:r>
        <w:t>以下为本次教师计划运行后，从未经修改的 JTL 生成的 JMeter HTML 实际页面截图。HTML 汇总粒度为1000ms，完整报告36份分别保存。表格中的成功率和请求数量与本次元数据核验。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45368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eter-jpa-read-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3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10  JPA 第3轮1000线程读取，JMeter实际HTML报告页面。完整分辨率原图另附。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7448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meter-mybatis-write-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18"/>
        </w:rPr>
        <w:t>图 11  MyBatis 第3轮1000线程写入，JMeter实际统计区域截图。</w:t>
      </w:r>
    </w:p>
    <w:p>
      <w:r>
        <w:t>1000/10/1 各组必须恰有1000条样本。完整截图还包括JPA写入、MyBatis读取及Prometheus三个课程查询，均存于screenshots/。截图区分实际网页和真实日志渲染页面，不将补拍图称为实时压测现场。</w:t>
      </w:r>
    </w:p>
    <w:p>
      <w:r>
        <w:br w:type="page"/>
      </w:r>
    </w:p>
    <w:p>
      <w:pPr>
        <w:pStyle w:val="Heading1"/>
      </w:pPr>
      <w:r>
        <w:t>11 结果解释与适用范围</w:t>
      </w:r>
    </w:p>
    <w:p>
      <w:r>
        <w:t>在1000线程、10秒升压、1次循环的读取条件下，JPA平均响应为11.58 ms，MyBatis为8.35 ms；对应P95均值为58.35 ms与36.38 ms。三次重复的样本标准差已在表中给出，均值差异仅描述本次运行。</w:t>
      </w:r>
    </w:p>
    <w:p>
      <w:r>
        <w:t>在1000线程、10秒升压、1次循环的写入条件下，JPA平均响应为1307.02 ms，MyBatis为41.33 ms；对应P95均值为2994.28 ms与248.80 ms。三次重复的样本标准差已在表中给出，均值差异仅描述本次运行。</w:t>
      </w:r>
    </w:p>
    <w:p>
      <w:r>
        <w:t>如果两者吞吐量都接近总请求数除以10秒，首先说明测试受线程启动节奏约束，不能据此判定二者极限吞吐量相等。这里更适合结合响应延迟、尾延迟和实际活动线程比较当前负载表现。</w:t>
      </w:r>
    </w:p>
    <w:p>
      <w:r>
        <w:t>JVM线程包含工作线程和维护线程，不等于JMeter并发。CPU的5分钟窗口覆盖邻近测试和部署活动，适合观察整体趋势；不能凭该曲线单独推断某条SQL、锁竞争或磁盘是唯一瓶颈。本实验没有采集火焰图或锁等待证据。</w:t>
      </w:r>
    </w:p>
    <w:p>
      <w:r>
        <w:t>结果仅适用于本次2核/2GiB云主机、3912条商品、教师随机数据及应用路径。没有执行持续并发饱和测试、混合读写、长期稳定性或大规模数据测试，不外推为所有JPA/MyBatis系统的排名。零错误表示本次计划断言和行数核验通过，不等于不存在任何程序缺陷。</w:t>
      </w:r>
    </w:p>
    <w:p>
      <w:pPr>
        <w:pStyle w:val="Heading2"/>
      </w:pPr>
      <w:r>
        <w:t>恢复与留存</w:t>
      </w:r>
    </w:p>
    <w:p>
      <w:r>
        <w:t>结束后恢复JPA应用到原oomall_demo，恢复demo原运行状态，核验服务副本、应用健康、6个监控目标及专用库基线。原始JTL以gzip无损压缩发布，附SHA-256；统计CSV、HTML和图表均为衍生材料，复核以原始JTL及监控JSON为准。</w:t>
      </w:r>
    </w:p>
    <w:p>
      <w:r>
        <w:t>回滚材料在各节点 /root/backups/20261018-lab3-teacher；前期镜像与源码备份均保留。本机原改动备份在 .codex/backups/spring-fundamentals/20261018-before-upstream-sync。</w:t>
      </w:r>
    </w:p>
    <w:p>
      <w:r>
        <w:br w:type="page"/>
      </w:r>
    </w:p>
    <w:p>
      <w:pPr>
        <w:pStyle w:val="Heading1"/>
      </w:pPr>
      <w:r>
        <w:t>12 指导书对应与提交材料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3672"/>
        <w:gridCol w:w="5256"/>
      </w:tblGrid>
      <w:tr>
        <w:trPr>
          <w:cantSplit/>
          <w:tblHeader/>
        </w:trPr>
        <w:tc>
          <w:tcPr>
            <w:tcW w:type="dxa" w:w="720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/>
                <w:sz w:val="19"/>
              </w:rPr>
              <w:t>页码</w:t>
            </w:r>
          </w:p>
        </w:tc>
        <w:tc>
          <w:tcPr>
            <w:tcW w:type="dxa" w:w="3672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指导书要求</w:t>
            </w:r>
          </w:p>
        </w:tc>
        <w:tc>
          <w:tcPr>
            <w:tcW w:type="dxa" w:w="5256"/>
            <w:vAlign w:val="center"/>
            <w:shd w:fill="E5EBF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/>
                <w:sz w:val="19"/>
              </w:rPr>
              <w:t>本次材料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SpringBoot、MySQL、RESTful读写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两种profile、相同接口、真实MySQL功能测试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6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四台Ubuntu主机分工</w:t>
            </w:r>
          </w:p>
        </w:tc>
        <w:tc>
          <w:tcPr>
            <w:tcW w:type="dxa" w:w="52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第2节；内存规格差异已披露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JMeter5.6.3、PATH、内存参数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环境日志与截图、运行脚本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6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1000ms报告粒度、目标IP端口</w:t>
            </w:r>
          </w:p>
        </w:tc>
        <w:tc>
          <w:tcPr>
            <w:tcW w:type="dxa" w:w="52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user.properties、JMX与生成日志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clonefactory、core、应用与镜像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重新构建日志和镜像校验和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6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私网监控、targets/rules</w:t>
            </w:r>
          </w:p>
        </w:tc>
        <w:tc>
          <w:tcPr>
            <w:tcW w:type="dxa" w:w="52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6个UP目标、13条教师规则、真实页面截图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三个课程查询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教师公式、时序JSON与监控截图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6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1000/10/1示例与JTL/HTML</w:t>
            </w:r>
          </w:p>
        </w:tc>
        <w:tc>
          <w:tcPr>
            <w:tcW w:type="dxa" w:w="52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包含12组原例，另有100/400线程参数对照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Git地址、原始数据、报告</w:t>
            </w:r>
          </w:p>
        </w:tc>
        <w:tc>
          <w:tcPr>
            <w:tcW w:type="dxa" w:w="525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个人公开仓库、原始数据包、本报告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67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教师认可程序及原始数据</w:t>
            </w:r>
          </w:p>
        </w:tc>
        <w:tc>
          <w:tcPr>
            <w:tcW w:type="dxa" w:w="525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59" w:lineRule="auto"/>
              <w:jc w:val="center"/>
            </w:pPr>
            <w:r>
              <w:rPr>
                <w:b w:val="0"/>
                <w:sz w:val="19"/>
              </w:rPr>
              <w:t>待教师实际审核，不代为宣称已通过</w:t>
            </w:r>
          </w:p>
        </w:tc>
      </w:tr>
    </w:tbl>
    <w:p>
      <w:pPr>
        <w:spacing w:after="20"/>
      </w:pPr>
    </w:p>
    <w:p>
      <w:r>
        <w:t>Git地址：https://github.com/Re1lya/lab3-mysql-benchmark</w:t>
      </w:r>
    </w:p>
    <w:p>
      <w:r>
        <w:t>正式证据目录：output/playwright/lab3-teacher-20261018。前期探索批次单独保存在lab3-comparison-20261018，不参与本报告计算。</w:t>
      </w:r>
    </w:p>
    <w:p>
      <w:pPr>
        <w:pStyle w:val="Heading2"/>
      </w:pPr>
      <w:r>
        <w:t>参考资料</w:t>
      </w:r>
    </w:p>
    <w:p>
      <w:r>
        <w:t>[1] 《实验三：MySQL读写性能测试》，第1–4页；教师源码 https://gitee.com/mingqcn/spring-fundamentals，提交fce17e7。</w:t>
      </w:r>
    </w:p>
    <w:p>
      <w:r>
        <w:t>[2] MyBatis-Spring，Using an SqlSession。https://mybatis.org/spring/sqlsession.html</w:t>
      </w:r>
    </w:p>
    <w:p>
      <w:r>
        <w:t>[3] Apache JMeter，Generating Dashboard Report。https://jmeter.apache.org/usermanual/generating-dashboard.html</w:t>
      </w:r>
    </w:p>
    <w:p>
      <w:r>
        <w:t>[4] Prometheus，HTTP API。https://prometheus.io/docs/prometheus/latest/querying/api/</w:t>
      </w:r>
    </w:p>
    <w:p>
      <w:r>
        <w:t>在线文档核对日期：2026年10月18日。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936" w:left="129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Spring 框架课程实验三  |  教师版本 fce17e7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黑体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