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一期数据库设计</w:t>
      </w:r>
    </w:p>
    <w:p>
      <w:r>
        <w:t>一期需求对齐修订  2026 年 10 月 22 日</w:t>
      </w:r>
    </w:p>
    <w:p>
      <w:r>
        <w:t>当前结构包含业务、OAuth2 和 HTTP 会话共三十八张表。结构根据 Hibernate 元数据及 Spring 官方 JDBC schema 离线生成；本次未在 MySQL 执行脚本。</w:t>
      </w:r>
    </w:p>
    <w:p>
      <w:pPr>
        <w:pStyle w:val="Subtitle"/>
      </w:pPr>
      <w:r>
        <w:t>依据 DOC 01 V1.0 原始需求  本次未运行项目测试</w:t>
      </w:r>
    </w:p>
    <w:p>
      <w:pPr>
        <w:pStyle w:val="Heading1"/>
      </w:pPr>
      <w:r>
        <w:t>1 数据域与关键关系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4252"/>
        <w:gridCol w:w="3855"/>
      </w:tblGrid>
      <w:tr>
        <w:trPr>
          <w:cantSplit/>
          <w:tblHeader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数据域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主要表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身份与组织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sys_​user sys_​account employee_​profile hr_​identity sys_​department sys_​post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分离人员、凭证和稳定 HR 外部编号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授权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sys_​role sys_​permission sys_​user_​role sys_​role_​permission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RBAC0 权限并集及岗位同名角色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应用接入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application_​access oauth2_​registered_​client oauth2_​authorization oauth2_​authorization_​consent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业务目录关联协议配置与持久化授权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会话与密钥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sys_​login_​session session_​activity platform_​signing_​key SPRING_​SESSION 系列表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平台令牌、浏览器会话、共享密钥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审计与同步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audit_​event audit_​archive permission_​review integration_​event sync_​failure platform_​notification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复核、长期保留、失败记录和交接通知</w:t>
            </w:r>
          </w:p>
        </w:tc>
      </w:tr>
    </w:tbl>
    <w:p>
      <w:pPr>
        <w:spacing w:after="20"/>
      </w:pPr>
    </w:p>
    <w:p>
      <w:r>
        <w:t>sys_account.user_id 同时为主键和外键，一期按一人一账号持久化。hr_identity 以 kind 加 external_id 唯一定位本地记录；此多态映射由服务校验，不伪造数据库外键。应用配置的 system_id 由服务锁定和检查。审计归档沿用原事件编号，保留对象、操作人、部门及时间。完整 ER 源码见 database-er.mmd。</w:t>
      </w:r>
    </w:p>
    <w:p>
      <w:pPr>
        <w:pStyle w:val="Heading1"/>
      </w:pPr>
      <w:r>
        <w:t>2 事务与一致性</w:t>
      </w:r>
    </w:p>
    <w:p>
      <w:r>
        <w:t>员工调岗、授权、权限版本更新在同一事务中提交。OA 审批对申请记录加锁，重复结论不重复授予角色。HR 批次整批原子提交；失败摘要在回滚后单独保存。归档任务锁定一批到期日志，复制到归档表后删除在线副本，同一事务内完成。</w:t>
      </w:r>
    </w:p>
    <w:p>
      <w:pPr>
        <w:pStyle w:val="Heading1"/>
      </w:pPr>
      <w:r>
        <w:t>3 凭证和历史数据</w:t>
      </w:r>
    </w:p>
    <w:p>
      <w:r>
        <w:t>密码只保存 BCrypt。OIDC 私钥位于 platform_signing_key，不通过接口返回；该表访问权限及数据库备份应按凭证管理。平台 JWT 密钥由环境变量注入，多实例必须相同。HTTP 会话和 OAuth2 授权共享数据库，进程重启不再主动更换签名密钥。</w:t>
      </w:r>
    </w:p>
    <w:p>
      <w:pPr>
        <w:pStyle w:val="Heading1"/>
      </w:pPr>
      <w:r>
        <w:t>4 新库与旧库迁移</w:t>
      </w:r>
    </w:p>
    <w:p>
      <w:r>
        <w:t>新库执行 database-mysql-phase-one.sql。旧提交 01b94f06 的二十五表安装执行 ../migrations/20261022-phase-one-completion.sql 一次。迁移前停止写入并备份；MySQL DDL 隐式提交，失败后不能盲目重跑。先复制账号凭证至 sys_account，再移除旧列；已有登录名保持不变，首次管理员标为内置管理员。旧内存中的 OIDC 授权无法迁移，需重新登录。</w:t>
      </w:r>
    </w:p>
    <w:p>
      <w:r>
        <w:t>迁移脚本没有在本次运行，因此表数和字段一致性属于离线元数据检查结果。数据库版本兼容、迁移前后数据核对、回滚恢复及多实例行为仍需运行验收。</w:t>
      </w:r>
    </w:p>
    <w:p>
      <w:pPr>
        <w:pStyle w:val="Heading1"/>
      </w:pPr>
      <w:r>
        <w:t>5 表结构目录</w:t>
      </w:r>
    </w:p>
    <w:p>
      <w:pPr>
        <w:pStyle w:val="Heading2"/>
      </w:pPr>
      <w:r>
        <w:t>account policy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initial_​password_​issued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must_​change_​password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person_​type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admin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application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acceptance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compatibility_​plan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entry_​url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varchar(2048)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protocol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approval record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audit archive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archived_​at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target_​department_​id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audit 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target_​department_​id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biz system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base_​url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company import batch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employees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fingerprint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functions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data dictionary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department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employee profile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hr identity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local_​id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integration 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response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mediumtext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login attempt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failures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locked_​until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managed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detail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function_​id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review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actor_​id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permission template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platform notification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message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platform signing key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jwk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varchar(8000)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session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last_​seen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sync failure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error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request_​id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resolution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account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password_​hash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manager_​name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manager_​id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parent_​id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sys function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module_​id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login 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datetime(6)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module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active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menu_​path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system_​id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post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role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user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built_​in_​administrator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display_​name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sys user 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authorization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registered_​client_​id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authorization_​grant_​type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authorized_​scopes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varchar(500)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access_​token_​type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access_​token_​scopes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oidc_​id_​token_​metadata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refresh_​token_​metadata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device_​code_​value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device_​code_​metadata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authorization consent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registered_​client_​id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authorities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oauth2 registered client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client_​id_​issued_​at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client_​secret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client_​secret_​expires_​at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timestamp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client_​authentication_​methods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authorization_​grant_​types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redirect_​uris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post_​logout_​redirect_​uris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scopes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client_​settings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token_​settings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2"/>
      </w:pPr>
      <w:r>
        <w:t>SPRING 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PRIMARY_​ID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CREATION_​TIME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LAST_​ACCESS_​TIME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MAX_​INACTIVE_​INTERVAL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EXPIRY_​TIME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PRINCIPAL_​NAME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VARCHAR(100)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可空</w:t>
            </w:r>
          </w:p>
        </w:tc>
      </w:tr>
    </w:tbl>
    <w:p>
      <w:pPr>
        <w:spacing w:after="20"/>
      </w:pPr>
    </w:p>
    <w:p>
      <w:pPr>
        <w:pStyle w:val="Heading2"/>
      </w:pPr>
      <w:r>
        <w:t>SPRING SESSION ATTRIBUTES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3402"/>
        <w:gridCol w:w="2268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空值约束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SESSION_​PRIMARY_​ID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CHAR(36)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ATTRIBUTE_​NAME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VARCHAR(200)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ATTRIBUTE_​BYTES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BLOB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非空</w:t>
            </w:r>
          </w:p>
        </w:tc>
      </w:tr>
    </w:tbl>
    <w:p>
      <w:pPr>
        <w:spacing w:after="20"/>
      </w:pPr>
    </w:p>
    <w:p>
      <w:pPr>
        <w:pStyle w:val="Heading1"/>
      </w:pPr>
      <w:r>
        <w:t>6 索引与外键</w:t>
      </w:r>
    </w:p>
    <w:p>
      <w:r>
        <w:t>唯一性包括账号名、外部来源编号、请求幂等编号、客户端编号，以及原有用户角色和角色权限关系。外键和索引的完整名称以配套 SQL 为准。不能用逻辑删除绕过员工、子部门或角色引用校验。归档查询和同步历史的容量、查询计划和索引效果须结合真实数据评估。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一期数据库设计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