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数据库设计文档</w:t>
      </w:r>
    </w:p>
    <w:p>
      <w:r>
        <w:t>一期推进版本  |  2026 年 10 月 21 日</w:t>
      </w:r>
    </w:p>
    <w:p>
      <w:r>
        <w:t>本文件说明从原七表 RBAC0 扩展后的实际 25 张表、三表来源映射和主要约束。字段清单从本次 H2 运行数据库导出，与当前实体映射对应。配套提供 ER 图、关系源码和 MySQL 结构 SQL。</w:t>
      </w:r>
    </w:p>
    <w:p>
      <w:pPr>
        <w:pStyle w:val="Heading1"/>
      </w:pPr>
      <w:r>
        <w:t>1 设计原则和整体关系</w:t>
      </w:r>
    </w:p>
    <w:p>
      <w:r>
        <w:t>账号负责认证，员工档案负责部门、岗位、公司与电话；本版本为一对一。岗位拥有一个角色，但员工不会仅因岗位字段就自动获得该角色。实际授权由 sys_user_role 独立保存。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5102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关系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基数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员工档案与账号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一对一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employee_profile.user_id 唯一外键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部门与员工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一对多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employee_profile.department_id 外键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部门与上级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自关联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parent_id 外键，循环在服务校验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岗位与角色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一对一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sys_post.role_id 唯一外键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用户与角色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多对多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关联组合唯一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角色与权限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多对多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关联组合唯一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 模块 功能 操作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逐级一对多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模块和功能的父项与名称组合唯一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部门管理员与部门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多对多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admin_department 组合唯一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外部来源与事件编号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组合唯一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integration_event 防重复执行</w:t>
            </w:r>
          </w:p>
        </w:tc>
      </w:tr>
    </w:tbl>
    <w:p>
      <w:pPr>
        <w:spacing w:after="0"/>
      </w:pPr>
    </w:p>
    <w:p>
      <w:r>
        <w:t>员工未设置密码时无法登录；密码摘要为空而不是使用统一默认密码。超级管理员由环境变量首次初始化，不从表单角色名称推断。表单原文保存在来源字段与目录中，实际员工授权单独维护。</w:t>
      </w:r>
    </w:p>
    <w:p>
      <w:pPr>
        <w:pStyle w:val="Heading1"/>
      </w:pPr>
      <w:r>
        <w:t>2 实际数据规模和字段设计依据</w:t>
      </w:r>
    </w:p>
    <w:p>
      <w:r>
        <w:t>真实三表验证为 111 部门、10000 员工、54 岗位、18 系统、115 模块、359 功能及 797 操作权限。新员工授权数为 0。五种权限模板不直接等于平台管理身份，也不自动替代岗位角色。</w:t>
      </w:r>
    </w:p>
    <w:p>
      <w:r>
        <w:t>用户名和业务编码作为稳定业务键，内部 id 使用 bigint。显示名称不适合作为员工唯一标识。部门名称按当前表单规则全局唯一。手机号可能重复，因此当前不建立唯一约束。</w:t>
      </w:r>
    </w:p>
    <w:p>
      <w:pPr>
        <w:pStyle w:val="Heading1"/>
      </w:pPr>
      <w:r>
        <w:t>3 数据字典</w:t>
      </w:r>
    </w:p>
    <w:p>
      <w:pPr>
        <w:pStyle w:val="Heading2"/>
      </w:pPr>
      <w:r>
        <w:t>账号过期 首次改密 权限版本和逻辑停用  account_policy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账号逻辑删除标记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must_change_password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首次登录必须修改密码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expires_at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过期时间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权限版本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person_type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人员类别，当前默认 EMPLOYEE</w:t>
            </w:r>
          </w:p>
        </w:tc>
      </w:tr>
    </w:tbl>
    <w:p>
      <w:pPr>
        <w:spacing w:after="0"/>
      </w:pPr>
    </w:p>
    <w:p>
      <w:r>
        <w:t>以关联主体编号为主键，不使用独立自增编号。各关系的外键以配套 SQL 和 ER 图实线为准。</w:t>
      </w:r>
    </w:p>
    <w:p>
      <w:pPr>
        <w:pStyle w:val="Heading2"/>
      </w:pPr>
      <w:r>
        <w:t>管理员精确部门范围  admin_department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</w:tbl>
    <w:p>
      <w:pPr>
        <w:spacing w:after="0"/>
      </w:pPr>
    </w:p>
    <w:p>
      <w:pPr>
        <w:pStyle w:val="Heading2"/>
      </w:pPr>
      <w:r>
        <w:t>岗位角色申请与审批结论  approval_record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PENDING APPROVED REJECTED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业务事件或申请标识</w:t>
            </w:r>
          </w:p>
        </w:tc>
      </w:tr>
    </w:tbl>
    <w:p>
      <w:pPr>
        <w:spacing w:after="0"/>
      </w:pPr>
    </w:p>
    <w:p>
      <w:pPr>
        <w:pStyle w:val="Heading2"/>
      </w:pPr>
      <w:r>
        <w:t>只读审计事件  audit_event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actor_id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处理结果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kind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事件类型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操作对象，不含请求密码</w:t>
            </w:r>
          </w:p>
        </w:tc>
      </w:tr>
    </w:tbl>
    <w:p>
      <w:pPr>
        <w:spacing w:after="0"/>
      </w:pPr>
    </w:p>
    <w:p>
      <w:pPr>
        <w:pStyle w:val="Heading2"/>
      </w:pPr>
      <w:r>
        <w:t>业务软件目录  biz_system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启用标记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稳定编码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base_url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业务入口地址</w:t>
            </w:r>
          </w:p>
        </w:tc>
      </w:tr>
    </w:tbl>
    <w:p>
      <w:pPr>
        <w:spacing w:after="0"/>
      </w:pPr>
    </w:p>
    <w:p>
      <w:pPr>
        <w:pStyle w:val="Heading2"/>
      </w:pPr>
      <w:r>
        <w:t>已提交导入批次  company_import_batch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部门行数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员工行数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functions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功能行数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actor_id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fingerprint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三文件 SHA256 指纹，唯一</w:t>
            </w:r>
          </w:p>
        </w:tc>
      </w:tr>
    </w:tbl>
    <w:p>
      <w:pPr>
        <w:spacing w:after="0"/>
      </w:pPr>
    </w:p>
    <w:p>
      <w:pPr>
        <w:pStyle w:val="Heading2"/>
      </w:pPr>
      <w:r>
        <w:t>分类字典  data_dictionary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字典分类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稳定编码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</w:tbl>
    <w:p>
      <w:pPr>
        <w:spacing w:after="0"/>
      </w:pPr>
    </w:p>
    <w:p>
      <w:pPr>
        <w:pStyle w:val="Heading2"/>
      </w:pPr>
      <w:r>
        <w:t>部门授权上限  department_permission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权限编号</w:t>
            </w:r>
          </w:p>
        </w:tc>
      </w:tr>
    </w:tbl>
    <w:p>
      <w:pPr>
        <w:spacing w:after="0"/>
      </w:pPr>
    </w:p>
    <w:p>
      <w:pPr>
        <w:pStyle w:val="Heading2"/>
      </w:pPr>
      <w:r>
        <w:t>员工组织和联系方式  employee_profile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岗位编号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手机号，不保证唯一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分公司原始名称</w:t>
            </w:r>
          </w:p>
        </w:tc>
      </w:tr>
    </w:tbl>
    <w:p>
      <w:pPr>
        <w:spacing w:after="0"/>
      </w:pPr>
    </w:p>
    <w:p>
      <w:pPr>
        <w:pStyle w:val="Heading2"/>
      </w:pPr>
      <w:r>
        <w:t>来源事件幂等记录  integration_event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外部来源 hr 或 oa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处理结果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digest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请求体 SHA256 摘要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业务事件或申请标识</w:t>
            </w:r>
          </w:p>
        </w:tc>
      </w:tr>
    </w:tbl>
    <w:p>
      <w:pPr>
        <w:spacing w:after="0"/>
      </w:pPr>
    </w:p>
    <w:p>
      <w:pPr>
        <w:pStyle w:val="Heading2"/>
      </w:pPr>
      <w:r>
        <w:t>登录失败计数与锁定  login_attempt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failures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失败次数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locked_until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锁定截止时间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用户名，唯一</w:t>
            </w:r>
          </w:p>
        </w:tc>
      </w:tr>
    </w:tbl>
    <w:p>
      <w:pPr>
        <w:spacing w:after="0"/>
      </w:pPr>
    </w:p>
    <w:p>
      <w:pPr>
        <w:pStyle w:val="Heading2"/>
      </w:pPr>
      <w:r>
        <w:t>部门受管角色  managed_role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角色编号</w:t>
            </w:r>
          </w:p>
        </w:tc>
      </w:tr>
    </w:tbl>
    <w:p>
      <w:pPr>
        <w:spacing w:after="0"/>
      </w:pPr>
    </w:p>
    <w:p>
      <w:r>
        <w:t>以关联主体编号为主键，不使用独立自增编号。各关系的外键以配套 SQL 和 ER 图实线为准。</w:t>
      </w:r>
    </w:p>
    <w:p>
      <w:pPr>
        <w:pStyle w:val="Heading2"/>
      </w:pPr>
      <w:r>
        <w:t>功能与操作权限关联  permission_detail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function_id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功能编号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操作编码</w:t>
            </w:r>
          </w:p>
        </w:tc>
      </w:tr>
    </w:tbl>
    <w:p>
      <w:pPr>
        <w:spacing w:after="0"/>
      </w:pPr>
    </w:p>
    <w:p>
      <w:pPr>
        <w:pStyle w:val="Heading2"/>
      </w:pPr>
      <w:r>
        <w:t>五类来源权限模板  permission_template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</w:tbl>
    <w:p>
      <w:pPr>
        <w:spacing w:after="0"/>
      </w:pPr>
    </w:p>
    <w:p>
      <w:pPr>
        <w:pStyle w:val="Heading2"/>
      </w:pPr>
      <w:r>
        <w:t>会话最近活动时间  session_activity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last_seen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最近访问时间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session_id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varchar(36)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JWT 会话编号</w:t>
            </w:r>
          </w:p>
        </w:tc>
      </w:tr>
    </w:tbl>
    <w:p>
      <w:pPr>
        <w:spacing w:after="0"/>
      </w:pPr>
    </w:p>
    <w:p>
      <w:r>
        <w:t>以关联主体编号为主键，不使用独立自增编号。各关系的外键以配套 SQL 和 ER 图实线为准。</w:t>
      </w:r>
    </w:p>
    <w:p>
      <w:pPr>
        <w:pStyle w:val="Heading2"/>
      </w:pPr>
      <w:r>
        <w:t>部门树与负责人  sys_department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manager_id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负责人账号，可空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parent_id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上级部门，可空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manager_name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来源表负责人姓名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</w:tbl>
    <w:p>
      <w:pPr>
        <w:spacing w:after="0"/>
      </w:pPr>
    </w:p>
    <w:p>
      <w:pPr>
        <w:pStyle w:val="Heading2"/>
      </w:pPr>
      <w:r>
        <w:t>模块下的业务功能  sys_function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module_id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模块编号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varchar(2000)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</w:t>
            </w:r>
          </w:p>
        </w:tc>
      </w:tr>
    </w:tbl>
    <w:p>
      <w:pPr>
        <w:spacing w:after="0"/>
      </w:pPr>
    </w:p>
    <w:p>
      <w:pPr>
        <w:pStyle w:val="Heading2"/>
      </w:pPr>
      <w:r>
        <w:t>可撤销的 JWT 会话  sys_login_session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expires_at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过期时间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issued_at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timestamp(6) UTC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签发时间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varchar(36)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</w:tbl>
    <w:p>
      <w:pPr>
        <w:spacing w:after="0"/>
      </w:pPr>
    </w:p>
    <w:p>
      <w:pPr>
        <w:pStyle w:val="Heading2"/>
      </w:pPr>
      <w:r>
        <w:t>应用下的功能模块  sys_module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system_id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业务系统编号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</w:tbl>
    <w:p>
      <w:pPr>
        <w:spacing w:after="0"/>
      </w:pPr>
    </w:p>
    <w:p>
      <w:pPr>
        <w:pStyle w:val="Heading2"/>
      </w:pPr>
      <w:r>
        <w:t>原子权限点  sys_permission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system_id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业务系统编号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稳定编码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menu_path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资源或菜单路径</w:t>
            </w:r>
          </w:p>
        </w:tc>
      </w:tr>
    </w:tbl>
    <w:p>
      <w:pPr>
        <w:spacing w:after="0"/>
      </w:pPr>
    </w:p>
    <w:p>
      <w:pPr>
        <w:pStyle w:val="Heading2"/>
      </w:pPr>
      <w:r>
        <w:t>岗位与一对一角色  sys_post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</w:tbl>
    <w:p>
      <w:pPr>
        <w:spacing w:after="0"/>
      </w:pPr>
    </w:p>
    <w:p>
      <w:pPr>
        <w:pStyle w:val="Heading2"/>
      </w:pPr>
      <w:r>
        <w:t>RBAC0 角色  sys_role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启用标记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稳定编码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</w:t>
            </w:r>
          </w:p>
        </w:tc>
      </w:tr>
    </w:tbl>
    <w:p>
      <w:pPr>
        <w:spacing w:after="0"/>
      </w:pPr>
    </w:p>
    <w:p>
      <w:pPr>
        <w:pStyle w:val="Heading2"/>
      </w:pPr>
      <w:r>
        <w:t>角色权限关联  sys_role_permission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角色编号</w:t>
            </w:r>
          </w:p>
        </w:tc>
      </w:tr>
    </w:tbl>
    <w:p>
      <w:pPr>
        <w:spacing w:after="0"/>
      </w:pPr>
    </w:p>
    <w:p>
      <w:pPr>
        <w:pStyle w:val="Heading2"/>
      </w:pPr>
      <w:r>
        <w:t>登录账号与显示姓名  sys_user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平台超级管理员标记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启用标记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用户名，唯一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display_name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显示姓名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BCrypt 摘要，可空</w:t>
            </w:r>
          </w:p>
        </w:tc>
      </w:tr>
    </w:tbl>
    <w:p>
      <w:pPr>
        <w:spacing w:after="0"/>
      </w:pPr>
    </w:p>
    <w:p>
      <w:pPr>
        <w:pStyle w:val="Heading2"/>
      </w:pPr>
      <w:r>
        <w:t>用户角色关联  sys_user_role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964"/>
        <w:gridCol w:w="3685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空值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角色编号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账号编号</w:t>
            </w:r>
          </w:p>
        </w:tc>
      </w:tr>
    </w:tbl>
    <w:p>
      <w:pPr>
        <w:spacing w:after="0"/>
      </w:pPr>
    </w:p>
    <w:p>
      <w:pPr>
        <w:pStyle w:val="Heading1"/>
      </w:pPr>
      <w:r>
        <w:t>4 主要约束和一致性</w:t>
      </w:r>
    </w:p>
    <w:p>
      <w:r>
        <w:t>sys_user.username、角色和系统及权限的 code 唯一。employee_profile.user_id、sys_post.role_id、permission_detail.permission_id 唯一。用户角色、角色权限、管理员部门、部门委派权限、模块名称和功能名称分别建立组合唯一约束。集成事件以 source 和 request_id 唯一，导入批次以 fingerprint 唯一。</w:t>
      </w:r>
    </w:p>
    <w:p>
      <w:r>
        <w:t>数据库外键约束实体引用存在；组织树无环、管理范围、模板使用方式、审批只处理一次等规则在服务层处理。HR 调岗、审批、三表提交均有数据库事务。数据库唯一键是并发下最终防线，当前进程使用 synchronized 顺序处理集成事件。</w:t>
      </w:r>
    </w:p>
    <w:p>
      <w:r>
        <w:t>应用和角色停用保留关联，但不再参与有效权限计算。新用户管理删除接口通过 account_policy.deleted 和 sys_user.enabled 逻辑停用，并撤销会话、回收角色。旧接口和部分目录仍使用物理删除，已有引用时拒绝或由外键阻止。</w:t>
      </w:r>
    </w:p>
    <w:p>
      <w:pPr>
        <w:pStyle w:val="Heading1"/>
      </w:pPr>
      <w:r>
        <w:t>5 索引与结构 SQL</w:t>
      </w:r>
    </w:p>
    <w:p>
      <w:r>
        <w:t>用户名、角色权限关联与外部事件编号采用唯一约束。会话按用户及到期时间建索引，审计按操作人及时间建索引。database-mysql-phase-one.sql 提供 CREATE TABLE、主键、唯一键、外键和索引定义，使用 InnoDB、utf8mb4 与 UTC 时间；脚本仅含结构。</w:t>
      </w:r>
    </w:p>
    <w:p>
      <w:pPr>
        <w:pStyle w:val="Heading1"/>
      </w:pPr>
      <w:r>
        <w:t>6 本地数据准备</w:t>
      </w:r>
    </w:p>
    <w:p>
      <w:r>
        <w:t>H2 演示库使用 create-drop，停止进程后数据清空。重启后可重新导入三表或使用虚构演示表单。OIDC 客户端、授权、同意与 RSA 密钥保存在内存，与数据库会话区分。</w:t>
      </w:r>
    </w:p>
    <w:p>
      <w:pPr>
        <w:pStyle w:val="Heading1"/>
        <w:pageBreakBefore/>
      </w:pPr>
      <w:r>
        <w:t>ER 图：RBAC0 授权</w:t>
      </w:r>
    </w:p>
    <w:p>
      <w:r>
        <w:t>方框为实际表，连线标明外键；1 为被引用端，N 为引用端，0..1 为唯一且可选的关联。完整可编辑关系见 database-er.mmd。</w:t>
      </w:r>
    </w:p>
    <w:p>
      <w:r>
        <w:drawing>
          <wp:inline xmlns:a="http://schemas.openxmlformats.org/drawingml/2006/main" xmlns:pic="http://schemas.openxmlformats.org/drawingml/2006/picture">
            <wp:extent cx="6120000" cy="37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rb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ER 图：组织与功能目录</w:t>
      </w:r>
    </w:p>
    <w:p>
      <w:r>
        <w:t>方框为实际表，连线标明外键；1 为被引用端，N 为引用端，0..1 为唯一且可选的关联。完整可编辑关系见 database-er.mmd。</w:t>
      </w:r>
    </w:p>
    <w:p>
      <w:r>
        <w:drawing>
          <wp:inline xmlns:a="http://schemas.openxmlformats.org/drawingml/2006/main" xmlns:pic="http://schemas.openxmlformats.org/drawingml/2006/picture">
            <wp:extent cx="6120000" cy="630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ompan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ER 图：管理与集成记录</w:t>
      </w:r>
    </w:p>
    <w:p>
      <w:r>
        <w:t>方框为实际表，连线标明外键；1 为被引用端，N 为引用端，0..1 为唯一且可选的关联。完整可编辑关系见 database-er.mmd。</w:t>
      </w:r>
    </w:p>
    <w:p>
      <w:r>
        <w:drawing>
          <wp:inline xmlns:a="http://schemas.openxmlformats.org/drawingml/2006/main" xmlns:pic="http://schemas.openxmlformats.org/drawingml/2006/picture">
            <wp:extent cx="6120000" cy="426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plat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数据库设计文档</dc:title>
  <dc:subject>统一权限管理系统一期设计与实际实现边界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