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g89xdvzklvz" w:id="0"/>
      <w:bookmarkEnd w:id="0"/>
      <w:r w:rsidDel="00000000" w:rsidR="00000000" w:rsidRPr="00000000">
        <w:rPr>
          <w:rtl w:val="0"/>
        </w:rPr>
        <w:t xml:space="preserve">Formen der Geldanlage (</w:t>
      </w:r>
      <w:r w:rsidDel="00000000" w:rsidR="00000000" w:rsidRPr="00000000">
        <w:rPr>
          <w:sz w:val="22"/>
          <w:szCs w:val="22"/>
          <w:rtl w:val="0"/>
        </w:rPr>
        <w:t xml:space="preserve">Dokument von den Dreisten Vier</w:t>
      </w:r>
      <w:r w:rsidDel="00000000" w:rsidR="00000000" w:rsidRPr="00000000">
        <w:rPr>
          <w:rtl w:val="0"/>
        </w:rPr>
        <w:t xml:space="preserve">)</w:t>
      </w:r>
    </w:p>
    <w:p w:rsidR="00000000" w:rsidDel="00000000" w:rsidP="00000000" w:rsidRDefault="00000000" w:rsidRPr="00000000" w14:paraId="00000002">
      <w:pPr>
        <w:pStyle w:val="Heading3"/>
        <w:rPr/>
      </w:pPr>
      <w:bookmarkStart w:colFirst="0" w:colLast="0" w:name="_tvnlbf2egab8" w:id="1"/>
      <w:bookmarkEnd w:id="1"/>
      <w:r w:rsidDel="00000000" w:rsidR="00000000" w:rsidRPr="00000000">
        <w:rPr>
          <w:rtl w:val="0"/>
        </w:rPr>
        <w:t xml:space="preserve">Über welche Fragen muss sich Paolo vor der Geldanlage Gedanken machen?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Wie lange soll das Geld angelegt werden?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Wie viel Risiko er eingehen will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Wie sollen seine Gewinnaussichten sein?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Wie viel Moral habe ich? Kaufe ich Ankerkraut Aktien?</w:t>
      </w:r>
    </w:p>
    <w:p w:rsidR="00000000" w:rsidDel="00000000" w:rsidP="00000000" w:rsidRDefault="00000000" w:rsidRPr="00000000" w14:paraId="00000007">
      <w:pPr>
        <w:pStyle w:val="Heading3"/>
        <w:rPr/>
      </w:pPr>
      <w:bookmarkStart w:colFirst="0" w:colLast="0" w:name="_yjc0m5t2o1by" w:id="2"/>
      <w:bookmarkEnd w:id="2"/>
      <w:r w:rsidDel="00000000" w:rsidR="00000000" w:rsidRPr="00000000">
        <w:rPr>
          <w:rtl w:val="0"/>
        </w:rPr>
        <w:t xml:space="preserve">Welche Folgen hat eine langfristige Geldanlage für Paolo?</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Geringere Erträge/Zinsen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Meist geringeres Risiko, da durch eine langfristige Investition Panikverkäufe ausgeschlossen sind.</w:t>
      </w:r>
    </w:p>
    <w:p w:rsidR="00000000" w:rsidDel="00000000" w:rsidP="00000000" w:rsidRDefault="00000000" w:rsidRPr="00000000" w14:paraId="0000000A">
      <w:pPr>
        <w:pStyle w:val="Heading3"/>
        <w:rPr/>
      </w:pPr>
      <w:bookmarkStart w:colFirst="0" w:colLast="0" w:name="_r3ja20vvqr8y" w:id="3"/>
      <w:bookmarkEnd w:id="3"/>
      <w:r w:rsidDel="00000000" w:rsidR="00000000" w:rsidRPr="00000000">
        <w:rPr>
          <w:rtl w:val="0"/>
        </w:rPr>
        <w:t xml:space="preserve">Wieso besteht bei der Anlage in Aktien oder auf dem Sparkonto ein Unterschiedliches Risiko?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Aktien können im Wert fallen, da ihr Wert an den Wert eines Unternehmens gebunden ist.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Durch die Inflation kann das Geld auf dem Konto auf längere Dauer an Wert verlieren </w:t>
      </w:r>
    </w:p>
    <w:p w:rsidR="00000000" w:rsidDel="00000000" w:rsidP="00000000" w:rsidRDefault="00000000" w:rsidRPr="00000000" w14:paraId="0000000D">
      <w:pPr>
        <w:pStyle w:val="Heading3"/>
        <w:rPr/>
      </w:pPr>
      <w:bookmarkStart w:colFirst="0" w:colLast="0" w:name="_wbg86nqu4fxv" w:id="4"/>
      <w:bookmarkEnd w:id="4"/>
      <w:r w:rsidDel="00000000" w:rsidR="00000000" w:rsidRPr="00000000">
        <w:rPr>
          <w:rtl w:val="0"/>
        </w:rPr>
        <w:t xml:space="preserve">Welche Sparform ist in den folgenden Fällen sinnvoll? Begründen Sie.</w:t>
      </w:r>
    </w:p>
    <w:p w:rsidR="00000000" w:rsidDel="00000000" w:rsidP="00000000" w:rsidRDefault="00000000" w:rsidRPr="00000000" w14:paraId="0000000E">
      <w:pPr>
        <w:pStyle w:val="Heading4"/>
        <w:rPr/>
      </w:pPr>
      <w:bookmarkStart w:colFirst="0" w:colLast="0" w:name="_jaqfae4j3zm2" w:id="5"/>
      <w:bookmarkEnd w:id="5"/>
      <w:r w:rsidDel="00000000" w:rsidR="00000000" w:rsidRPr="00000000">
        <w:rPr>
          <w:rtl w:val="0"/>
        </w:rPr>
        <w:t xml:space="preserve">Sie wollen für ein neues Auto sparen.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Sparschwein / -konto</w:t>
      </w:r>
    </w:p>
    <w:p w:rsidR="00000000" w:rsidDel="00000000" w:rsidP="00000000" w:rsidRDefault="00000000" w:rsidRPr="00000000" w14:paraId="00000010">
      <w:pPr>
        <w:pStyle w:val="Heading4"/>
        <w:rPr/>
      </w:pPr>
      <w:bookmarkStart w:colFirst="0" w:colLast="0" w:name="_t3drdzrt7y5j" w:id="6"/>
      <w:bookmarkEnd w:id="6"/>
      <w:r w:rsidDel="00000000" w:rsidR="00000000" w:rsidRPr="00000000">
        <w:rPr>
          <w:rtl w:val="0"/>
        </w:rPr>
        <w:t xml:space="preserve">Im Sommer möchten Sie eine Weltreise machen.</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Sparschwein / -konto</w:t>
      </w:r>
    </w:p>
    <w:p w:rsidR="00000000" w:rsidDel="00000000" w:rsidP="00000000" w:rsidRDefault="00000000" w:rsidRPr="00000000" w14:paraId="00000012">
      <w:pPr>
        <w:pStyle w:val="Heading5"/>
        <w:rPr/>
      </w:pPr>
      <w:bookmarkStart w:colFirst="0" w:colLast="0" w:name="_ds7z3wyh2ke7" w:id="7"/>
      <w:bookmarkEnd w:id="7"/>
      <w:r w:rsidDel="00000000" w:rsidR="00000000" w:rsidRPr="00000000">
        <w:rPr>
          <w:rtl w:val="0"/>
        </w:rPr>
        <w:t xml:space="preserve">Herr und Frau Klein wollen für die Ausbildung ihrer Kinder vorsorgen.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ETF / Aktienpakete</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Bausparverträge</w:t>
      </w:r>
    </w:p>
    <w:p w:rsidR="00000000" w:rsidDel="00000000" w:rsidP="00000000" w:rsidRDefault="00000000" w:rsidRPr="00000000" w14:paraId="00000015">
      <w:pPr>
        <w:pStyle w:val="Heading5"/>
        <w:rPr/>
      </w:pPr>
      <w:bookmarkStart w:colFirst="0" w:colLast="0" w:name="_1okzdkz5359o" w:id="8"/>
      <w:bookmarkEnd w:id="8"/>
      <w:r w:rsidDel="00000000" w:rsidR="00000000" w:rsidRPr="00000000">
        <w:rPr>
          <w:rtl w:val="0"/>
        </w:rPr>
        <w:t xml:space="preserve">Sie wollen für ihr Geld einen möglichst hohen Ertrag erzielen.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Daytrading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Krypto-Währungen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Tipico</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Immobilien</w:t>
      </w:r>
    </w:p>
    <w:p w:rsidR="00000000" w:rsidDel="00000000" w:rsidP="00000000" w:rsidRDefault="00000000" w:rsidRPr="00000000" w14:paraId="0000001A">
      <w:pPr>
        <w:pStyle w:val="Heading4"/>
        <w:rPr/>
      </w:pPr>
      <w:bookmarkStart w:colFirst="0" w:colLast="0" w:name="_f92tvymd2tb2" w:id="9"/>
      <w:bookmarkEnd w:id="9"/>
      <w:r w:rsidDel="00000000" w:rsidR="00000000" w:rsidRPr="00000000">
        <w:rPr>
          <w:rtl w:val="0"/>
        </w:rPr>
        <w:t xml:space="preserve">Sie haben 8.000,00€ zur Verfügung. In drei Monaten wollen Sie eine größere Anschaffung tätigen.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Daytrading</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Sparkonto</w:t>
      </w:r>
    </w:p>
    <w:p w:rsidR="00000000" w:rsidDel="00000000" w:rsidP="00000000" w:rsidRDefault="00000000" w:rsidRPr="00000000" w14:paraId="0000001D">
      <w:pPr>
        <w:pStyle w:val="Heading3"/>
        <w:rPr/>
      </w:pPr>
      <w:bookmarkStart w:colFirst="0" w:colLast="0" w:name="_sygbfl9ri07j" w:id="10"/>
      <w:bookmarkEnd w:id="10"/>
      <w:r w:rsidDel="00000000" w:rsidR="00000000" w:rsidRPr="00000000">
        <w:rPr>
          <w:rtl w:val="0"/>
        </w:rPr>
        <w:t xml:space="preserve">Warum ist es sinnvoll, seine Ersparnisse nicht nur in einer Anlageform anzulegen, sondern sie auf verschiedene Anlageformen zu verteilen?</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Deutlich weniger Risiko, da für den Fall, dass eine Investition nicht erfolgreich und ein Verlust entsteht, eine weitere Investition den Verlust ausgleichen kann (Diversifizierung).</w:t>
      </w:r>
    </w:p>
    <w:p w:rsidR="00000000" w:rsidDel="00000000" w:rsidP="00000000" w:rsidRDefault="00000000" w:rsidRPr="00000000" w14:paraId="0000001F">
      <w:pPr>
        <w:pStyle w:val="Heading3"/>
        <w:rPr/>
      </w:pPr>
      <w:bookmarkStart w:colFirst="0" w:colLast="0" w:name="_qcb2k6lfrj5y" w:id="11"/>
      <w:bookmarkEnd w:id="11"/>
      <w:r w:rsidDel="00000000" w:rsidR="00000000" w:rsidRPr="00000000">
        <w:rPr>
          <w:rtl w:val="0"/>
        </w:rPr>
        <w:t xml:space="preserve">Erklären Sie, welche Vorteile Ihnen als Auszubildender die staatliche Sparförderung bringt?</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Banksparplan (Keine Gebühren)</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Bausparvertrag (Arbeitnehmersparzulagen</w:t>
      </w:r>
      <w:r w:rsidDel="00000000" w:rsidR="00000000" w:rsidRPr="00000000">
        <w:rPr>
          <w:rFonts w:ascii="Georgia" w:cs="Georgia" w:eastAsia="Georgia" w:hAnsi="Georgia"/>
          <w:color w:val="29293a"/>
          <w:sz w:val="32"/>
          <w:szCs w:val="32"/>
          <w:highlight w:val="white"/>
          <w:rtl w:val="0"/>
        </w:rPr>
        <w:t xml:space="preserve"> </w:t>
      </w:r>
      <w:r w:rsidDel="00000000" w:rsidR="00000000" w:rsidRPr="00000000">
        <w:rPr>
          <w:rtl w:val="0"/>
        </w:rPr>
        <w:t xml:space="preserve">)</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Fondssparplan (Arbeitnehmersparzulagen)</w:t>
      </w:r>
    </w:p>
    <w:p w:rsidR="00000000" w:rsidDel="00000000" w:rsidP="00000000" w:rsidRDefault="00000000" w:rsidRPr="00000000" w14:paraId="00000023">
      <w:pPr>
        <w:pStyle w:val="Heading3"/>
        <w:rPr>
          <w:b w:val="1"/>
        </w:rPr>
      </w:pPr>
      <w:bookmarkStart w:colFirst="0" w:colLast="0" w:name="_ws8jujp33ivk" w:id="12"/>
      <w:bookmarkEnd w:id="12"/>
      <w:r w:rsidDel="00000000" w:rsidR="00000000" w:rsidRPr="00000000">
        <w:rPr>
          <w:rtl w:val="0"/>
        </w:rPr>
        <w:t xml:space="preserve">Verschaffen Sie sich mit Hilfe des Internets einen Überblick über gängige Anlageformen und die zu erwartende Rendite. Tauschen Sie Ihre Ergebnisse hierzu in der Arbeitsgruppe aus und diskutieren Sie die Risiken der gewählten Anlageformen. Halten Sie die Ergebnisse in einem Protokoll fest.</w:t>
        <w:br w:type="textWrapping"/>
      </w:r>
      <w:r w:rsidDel="00000000" w:rsidR="00000000" w:rsidRPr="00000000">
        <w:rPr>
          <w:b w:val="1"/>
          <w:rtl w:val="0"/>
        </w:rPr>
        <w:t xml:space="preserve">Vergleich der Anlageformen</w:t>
      </w:r>
    </w:p>
    <w:tbl>
      <w:tblPr>
        <w:tblStyle w:val="Table1"/>
        <w:tblW w:w="97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930"/>
        <w:gridCol w:w="1635"/>
        <w:gridCol w:w="1560"/>
        <w:gridCol w:w="1245"/>
        <w:gridCol w:w="2415"/>
        <w:tblGridChange w:id="0">
          <w:tblGrid>
            <w:gridCol w:w="1935"/>
            <w:gridCol w:w="930"/>
            <w:gridCol w:w="1635"/>
            <w:gridCol w:w="1560"/>
            <w:gridCol w:w="1245"/>
            <w:gridCol w:w="2415"/>
          </w:tblGrid>
        </w:tblGridChange>
      </w:tblGrid>
      <w:tr>
        <w:trPr>
          <w:cantSplit w:val="0"/>
          <w:trHeight w:val="698.935546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ff0000"/>
                <w:highlight w:val="yellow"/>
                <w:u w:val="single"/>
              </w:rPr>
            </w:pPr>
            <w:r w:rsidDel="00000000" w:rsidR="00000000" w:rsidRPr="00000000">
              <w:rPr>
                <w:b w:val="1"/>
                <w:color w:val="ff0000"/>
                <w:highlight w:val="yellow"/>
                <w:u w:val="single"/>
                <w:rtl w:val="0"/>
              </w:rPr>
              <w:t xml:space="preserve">Anlageform / Kriterium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color w:val="ff0000"/>
                <w:highlight w:val="yellow"/>
                <w:u w:val="single"/>
              </w:rPr>
            </w:pPr>
            <w:r w:rsidDel="00000000" w:rsidR="00000000" w:rsidRPr="00000000">
              <w:rPr>
                <w:b w:val="1"/>
                <w:color w:val="ff0000"/>
                <w:highlight w:val="yellow"/>
                <w:u w:val="single"/>
                <w:rtl w:val="0"/>
              </w:rPr>
              <w:t xml:space="preserve">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ff0000"/>
                <w:highlight w:val="yellow"/>
                <w:u w:val="single"/>
              </w:rPr>
            </w:pPr>
            <w:r w:rsidDel="00000000" w:rsidR="00000000" w:rsidRPr="00000000">
              <w:rPr>
                <w:b w:val="1"/>
                <w:color w:val="ff0000"/>
                <w:highlight w:val="yellow"/>
                <w:u w:val="single"/>
                <w:rtl w:val="0"/>
              </w:rPr>
              <w:t xml:space="preserve">Rendite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ff0000"/>
                <w:highlight w:val="yellow"/>
                <w:u w:val="single"/>
              </w:rPr>
            </w:pPr>
            <w:r w:rsidDel="00000000" w:rsidR="00000000" w:rsidRPr="00000000">
              <w:rPr>
                <w:b w:val="1"/>
                <w:color w:val="ff0000"/>
                <w:highlight w:val="yellow"/>
                <w:u w:val="single"/>
                <w:rtl w:val="0"/>
              </w:rPr>
              <w:t xml:space="preserve">Anlagedauer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ff0000"/>
                <w:highlight w:val="yellow"/>
                <w:u w:val="single"/>
              </w:rPr>
            </w:pPr>
            <w:r w:rsidDel="00000000" w:rsidR="00000000" w:rsidRPr="00000000">
              <w:rPr>
                <w:b w:val="1"/>
                <w:color w:val="ff0000"/>
                <w:highlight w:val="yellow"/>
                <w:u w:val="single"/>
                <w:rtl w:val="0"/>
              </w:rPr>
              <w:t xml:space="preserve">Aufwand</w:t>
            </w:r>
          </w:p>
          <w:p w:rsidR="00000000" w:rsidDel="00000000" w:rsidP="00000000" w:rsidRDefault="00000000" w:rsidRPr="00000000" w14:paraId="00000029">
            <w:pPr>
              <w:widowControl w:val="0"/>
              <w:spacing w:line="240" w:lineRule="auto"/>
              <w:rPr>
                <w:b w:val="1"/>
                <w:color w:val="ff0000"/>
                <w:highlight w:val="yellow"/>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ff0000"/>
                <w:highlight w:val="yellow"/>
                <w:u w:val="single"/>
              </w:rPr>
            </w:pPr>
            <w:r w:rsidDel="00000000" w:rsidR="00000000" w:rsidRPr="00000000">
              <w:rPr>
                <w:b w:val="1"/>
                <w:color w:val="ff0000"/>
                <w:highlight w:val="yellow"/>
                <w:u w:val="single"/>
                <w:rtl w:val="0"/>
              </w:rPr>
              <w:t xml:space="preserve">Grundkapital</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gering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gering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gering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Aktien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variabel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mittel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Immobilien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hoch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hoch + Finanzierung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Hängt vom Kurs ab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gering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mittel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Sparkonto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kurz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gering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gering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Daytrading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-1000%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kurz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Bausparvertrag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0,1 - 0 %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gering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Regelmäßige Einzahlungen</w:t>
            </w:r>
          </w:p>
        </w:tc>
      </w:tr>
    </w:tbl>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3"/>
        <w:rPr>
          <w:b w:val="1"/>
        </w:rPr>
      </w:pPr>
      <w:bookmarkStart w:colFirst="0" w:colLast="0" w:name="_bxmzwx25ptxc" w:id="13"/>
      <w:bookmarkEnd w:id="13"/>
      <w:r w:rsidDel="00000000" w:rsidR="00000000" w:rsidRPr="00000000">
        <w:rPr>
          <w:b w:val="1"/>
          <w:rtl w:val="0"/>
        </w:rPr>
        <w:t xml:space="preserve">Auflistung der Risiken</w:t>
      </w:r>
    </w:p>
    <w:tbl>
      <w:tblPr>
        <w:tblStyle w:val="Table2"/>
        <w:tblW w:w="98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8085"/>
        <w:tblGridChange w:id="0">
          <w:tblGrid>
            <w:gridCol w:w="1755"/>
            <w:gridCol w:w="8085"/>
          </w:tblGrid>
        </w:tblGridChange>
      </w:tblGrid>
      <w:tr>
        <w:trPr>
          <w:cantSplit w:val="0"/>
          <w:trHeight w:val="698.935546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ff0000"/>
                <w:highlight w:val="yellow"/>
              </w:rPr>
            </w:pPr>
            <w:r w:rsidDel="00000000" w:rsidR="00000000" w:rsidRPr="00000000">
              <w:rPr>
                <w:color w:val="ff0000"/>
                <w:highlight w:val="yellow"/>
                <w:rtl w:val="0"/>
              </w:rPr>
              <w:t xml:space="preserve">Anlageform / Kriterium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Risiken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ff0000"/>
                <w:highlight w:val="yellow"/>
              </w:rPr>
            </w:pPr>
            <w:r w:rsidDel="00000000" w:rsidR="00000000" w:rsidRPr="00000000">
              <w:rPr>
                <w:color w:val="ff0000"/>
                <w:highlight w:val="yellow"/>
                <w:rtl w:val="0"/>
              </w:rPr>
              <w:t xml:space="preserve">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Risiko eines globalen Wirtschaftskollaps ist sehr gering, keine direkte Teilhabe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ff0000"/>
                <w:highlight w:val="yellow"/>
              </w:rPr>
            </w:pPr>
            <w:r w:rsidDel="00000000" w:rsidR="00000000" w:rsidRPr="00000000">
              <w:rPr>
                <w:color w:val="ff0000"/>
                <w:highlight w:val="yellow"/>
                <w:rtl w:val="0"/>
              </w:rPr>
              <w:t xml:space="preserve">Aktien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Geringes Risiko eines Bankrotts, es besteht aber eine Abhängigkeit von der öffentlichen Meinung über das Unternehmen.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ff0000"/>
                <w:highlight w:val="yellow"/>
              </w:rPr>
            </w:pPr>
            <w:r w:rsidDel="00000000" w:rsidR="00000000" w:rsidRPr="00000000">
              <w:rPr>
                <w:color w:val="ff0000"/>
                <w:highlight w:val="yellow"/>
                <w:rtl w:val="0"/>
              </w:rPr>
              <w:t xml:space="preserve">Immobilien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Mittel. Die Investition an sich hat ein geringes Risiko, da aber meist die Immobilie vermietet wird, liegt das Risiko nicht in der Hand des Investors und ist somit mittel.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ff0000"/>
                <w:highlight w:val="yellow"/>
              </w:rPr>
            </w:pPr>
            <w:r w:rsidDel="00000000" w:rsidR="00000000" w:rsidRPr="00000000">
              <w:rPr>
                <w:color w:val="ff0000"/>
                <w:highlight w:val="yellow"/>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Gering, da diese Methode meist verwendet wird, um den Wert des Geldes beizubehalten.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ff0000"/>
                <w:highlight w:val="yellow"/>
              </w:rPr>
            </w:pPr>
            <w:r w:rsidDel="00000000" w:rsidR="00000000" w:rsidRPr="00000000">
              <w:rPr>
                <w:color w:val="ff0000"/>
                <w:highlight w:val="yellow"/>
                <w:rtl w:val="0"/>
              </w:rPr>
              <w:t xml:space="preserve">Sparkonto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Gering, da nur die Inflation als Verlust mitgenommen wird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ff0000"/>
                <w:highlight w:val="yellow"/>
              </w:rPr>
            </w:pPr>
            <w:r w:rsidDel="00000000" w:rsidR="00000000" w:rsidRPr="00000000">
              <w:rPr>
                <w:color w:val="ff0000"/>
                <w:highlight w:val="yellow"/>
                <w:rtl w:val="0"/>
              </w:rPr>
              <w:t xml:space="preserve">Daytrading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Hoch, da meist die Expertise des Investors nicht den Erwartungen entspricht</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C35E62C415F4408905692EB01B25CF" ma:contentTypeVersion="8" ma:contentTypeDescription="Ein neues Dokument erstellen." ma:contentTypeScope="" ma:versionID="fead2af41952e4f38b44ad1f25ae70b4">
  <xsd:schema xmlns:xsd="http://www.w3.org/2001/XMLSchema" xmlns:xs="http://www.w3.org/2001/XMLSchema" xmlns:p="http://schemas.microsoft.com/office/2006/metadata/properties" xmlns:ns2="bd0b8d36-186c-4cba-8003-01123307342e" xmlns:ns3="16c928dc-ab21-4472-aeb3-cbf06dbb74c2" targetNamespace="http://schemas.microsoft.com/office/2006/metadata/properties" ma:root="true" ma:fieldsID="f8bce966440e3324ec9d1218d8df0580" ns2:_="" ns3:_="">
    <xsd:import namespace="bd0b8d36-186c-4cba-8003-01123307342e"/>
    <xsd:import namespace="16c928dc-ab21-4472-aeb3-cbf06dbb74c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b8d36-186c-4cba-8003-01123307342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c4988e1d-8945-4892-83cc-ccef4cb8a5b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928dc-ab21-4472-aeb3-cbf06dbb74c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52e2a4-a217-4cc8-a5bb-078893546be8}" ma:internalName="TaxCatchAll" ma:showField="CatchAllData" ma:web="16c928dc-ab21-4472-aeb3-cbf06dbb74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0b8d36-186c-4cba-8003-01123307342e">
      <Terms xmlns="http://schemas.microsoft.com/office/infopath/2007/PartnerControls"/>
    </lcf76f155ced4ddcb4097134ff3c332f>
    <TaxCatchAll xmlns="16c928dc-ab21-4472-aeb3-cbf06dbb74c2" xsi:nil="true"/>
  </documentManagement>
</p:properties>
</file>

<file path=customXml/itemProps1.xml><?xml version="1.0" encoding="utf-8"?>
<ds:datastoreItem xmlns:ds="http://schemas.openxmlformats.org/officeDocument/2006/customXml" ds:itemID="{46746E05-E8FF-49D9-8E9C-C28DEA3487E2}"/>
</file>

<file path=customXml/itemProps2.xml><?xml version="1.0" encoding="utf-8"?>
<ds:datastoreItem xmlns:ds="http://schemas.openxmlformats.org/officeDocument/2006/customXml" ds:itemID="{379883EF-5E1E-4A06-9BB5-F46CEF5C2C6C}"/>
</file>

<file path=customXml/itemProps3.xml><?xml version="1.0" encoding="utf-8"?>
<ds:datastoreItem xmlns:ds="http://schemas.openxmlformats.org/officeDocument/2006/customXml" ds:itemID="{D5BB7EAF-11E6-4416-9BAD-3828664BBCA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0x010100E7C35E62C415F4408905692EB01B25CF</vt:lpwstr>
  </property>
</Properties>
</file>