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0" w:before="600"/>
      </w:pPr>
    </w:p>
    <w:p>
      <w:pPr>
        <w:spacing w:after="0" w:before="600"/>
      </w:pPr>
    </w:p>
    <w:p>
      <w:pPr>
        <w:jc w:val="center"/>
      </w:pPr>
      <w:r>
        <w:drawing>
          <wp:inline distT="0" distB="0" distL="0" distR="0">
            <wp:extent cx="2667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666750"/>
                    </a:xfrm>
                    <a:prstGeom prst="rect">
                      <a:avLst/>
                    </a:prstGeom>
                  </pic:spPr>
                </pic:pic>
              </a:graphicData>
            </a:graphic>
          </wp:inline>
        </w:drawing>
      </w:r>
    </w:p>
    <w:p>
      <w:pPr>
        <w:spacing w:after="0" w:before="400"/>
      </w:pPr>
    </w:p>
    <w:p>
      <w:pPr>
        <w:pBdr>
          <w:bottom w:val="single" w:color="BC9C45" w:sz="6" w:space="12"/>
        </w:pBdr>
        <w:spacing w:after="0" w:before="0"/>
        <w:jc w:val="center"/>
      </w:pPr>
    </w:p>
    <w:p>
      <w:pPr>
        <w:spacing w:after="0" w:before="200"/>
      </w:pPr>
    </w:p>
    <w:p>
      <w:pPr>
        <w:spacing w:after="80" w:before="0"/>
        <w:jc w:val="center"/>
      </w:pPr>
      <w:r>
        <w:rPr>
          <w:rFonts w:ascii="Arial" w:cs="Arial" w:eastAsia="Arial" w:hAnsi="Arial"/>
          <w:b/>
          <w:bCs/>
          <w:color w:val="FFFFFF"/>
          <w:sz w:val="52"/>
          <w:szCs w:val="52"/>
        </w:rPr>
        <w:t xml:space="preserve">REPRIME TERMINAL</w:t>
      </w:r>
    </w:p>
    <w:p>
      <w:pPr>
        <w:spacing w:after="200" w:before="0"/>
        <w:jc w:val="center"/>
      </w:pPr>
      <w:r>
        <w:rPr>
          <w:rFonts w:ascii="Arial" w:cs="Arial" w:eastAsia="Arial" w:hAnsi="Arial"/>
          <w:b/>
          <w:bCs/>
          <w:color w:val="BC9C45"/>
          <w:sz w:val="36"/>
          <w:szCs w:val="36"/>
        </w:rPr>
        <w:t xml:space="preserve">THE MASTER PLAN</w:t>
      </w:r>
    </w:p>
    <w:p>
      <w:pPr>
        <w:spacing w:after="0" w:before="200"/>
      </w:pPr>
    </w:p>
    <w:p>
      <w:pPr>
        <w:pBdr>
          <w:bottom w:val="single" w:color="BC9C45" w:sz="6" w:space="12"/>
        </w:pBdr>
        <w:spacing w:after="0" w:before="0"/>
        <w:jc w:val="center"/>
      </w:pPr>
    </w:p>
    <w:p>
      <w:pPr>
        <w:spacing w:after="0" w:before="400"/>
      </w:pPr>
    </w:p>
    <w:p>
      <w:pPr>
        <w:spacing w:after="60" w:before="0"/>
        <w:jc w:val="center"/>
      </w:pPr>
      <w:r>
        <w:rPr>
          <w:rFonts w:ascii="Arial" w:cs="Arial" w:eastAsia="Arial" w:hAnsi="Arial"/>
          <w:i/>
          <w:iCs/>
          <w:color w:val="AAAAAA"/>
          <w:sz w:val="22"/>
          <w:szCs w:val="22"/>
        </w:rPr>
        <w:t xml:space="preserve">Staged Build Plan for the Bloomberg Terminal of Commercial Real Estate</w:t>
      </w:r>
    </w:p>
    <w:p>
      <w:pPr>
        <w:spacing w:after="0" w:before="600"/>
      </w:pPr>
    </w:p>
    <w:p>
      <w:pPr>
        <w:spacing w:after="0" w:before="600"/>
      </w:pPr>
    </w:p>
    <w:p>
      <w:pPr>
        <w:jc w:val="center"/>
      </w:pPr>
      <w:r>
        <w:rPr>
          <w:rFonts w:ascii="Arial" w:cs="Arial" w:eastAsia="Arial" w:hAnsi="Arial"/>
          <w:b/>
          <w:bCs/>
          <w:color w:val="BC9C45"/>
          <w:sz w:val="18"/>
          <w:szCs w:val="18"/>
        </w:rPr>
        <w:t xml:space="preserve">CONFIDENTIAL</w:t>
      </w:r>
    </w:p>
    <w:p>
      <w:pPr>
        <w:jc w:val="center"/>
      </w:pPr>
      <w:r>
        <w:rPr>
          <w:rFonts w:ascii="Arial" w:cs="Arial" w:eastAsia="Arial" w:hAnsi="Arial"/>
          <w:color w:val="AAAAAA"/>
          <w:sz w:val="18"/>
          <w:szCs w:val="18"/>
        </w:rPr>
        <w:t xml:space="preserve">March 2026</w:t>
      </w:r>
    </w:p>
    <w:p>
      <w:pPr>
        <w:sectPr>
          <w:headerReference w:type="default" r:id="rId7"/>
          <w:footerReference w:type="default" r:id="rId8"/>
          <w:pgSz w:w="12240" w:h="15840" w:orient="portrait"/>
          <w:pgMar w:top="720" w:right="1440" w:bottom="720" w:left="1440" w:header="708" w:footer="708" w:gutter="0"/>
          <w:pgNumType/>
          <w:docGrid w:linePitch="360"/>
        </w:sectPr>
      </w:pPr>
    </w:p>
    <w:p>
      <w:pPr>
        <w:spacing w:after="120" w:before="360"/>
      </w:pPr>
      <w:r>
        <w:rPr>
          <w:rFonts w:ascii="Arial" w:cs="Arial" w:eastAsia="Arial" w:hAnsi="Arial"/>
          <w:b/>
          <w:bCs/>
          <w:color w:val="0E3470"/>
          <w:sz w:val="28"/>
          <w:szCs w:val="28"/>
        </w:rPr>
        <w:t xml:space="preserve">THE VISION</w:t>
      </w:r>
    </w:p>
    <w:p>
      <w:pPr>
        <w:pBdr>
          <w:bottom w:val="single" w:color="BC9C45" w:sz="6" w:space="4"/>
        </w:pBdr>
        <w:spacing w:after="200" w:before="200"/>
      </w:pPr>
    </w:p>
    <w:p>
      <w:pPr>
        <w:spacing w:after="80" w:before="80" w:line="312"/>
        <w:jc w:val="left"/>
      </w:pPr>
      <w:r>
        <w:rPr>
          <w:rFonts w:ascii="Arial" w:cs="Arial" w:eastAsia="Arial" w:hAnsi="Arial"/>
          <w:b w:val="false"/>
          <w:bCs w:val="false"/>
          <w:i w:val="false"/>
          <w:iCs w:val="false"/>
          <w:color w:val="000000"/>
          <w:sz w:val="22"/>
          <w:szCs w:val="22"/>
        </w:rPr>
        <w:t xml:space="preserve">Twenty years from now, Terminal is autonomous. A self-learning machine that sources deals across every asset class, every market condition, every cycle. It monitors every county courthouse, every CMBS trust, every bank call report, every probate filing, every tax delinquency list, every broker inbox in the country. It analyzes properties in seconds using data sources that would cost a single buyer millions per year to assemble. It generates institutional-grade reports that strip away every lie in every offering memorandum. It produces offers calibrated to the specific psychology of whoever is sitting on the other side of the table. It distributes those offers to a vetted club of investors who compete with non-refundable deposits, creating the most efficient capital allocation mechanism in American commercial real estate. It closes deals in thirty days without financing contingencies.</w:t>
      </w:r>
    </w:p>
    <w:p>
      <w:pPr>
        <w:spacing w:after="80" w:before="80" w:line="312"/>
        <w:jc w:val="left"/>
      </w:pPr>
      <w:r>
        <w:rPr>
          <w:rFonts w:ascii="Arial" w:cs="Arial" w:eastAsia="Arial" w:hAnsi="Arial"/>
          <w:b w:val="false"/>
          <w:bCs w:val="false"/>
          <w:i w:val="false"/>
          <w:iCs w:val="false"/>
          <w:color w:val="000000"/>
          <w:sz w:val="22"/>
          <w:szCs w:val="22"/>
        </w:rPr>
        <w:t xml:space="preserve">It handles distressed, stabilized, value-add, institutional, tax liens, tax deeds, auctions, courthouse sales, seller financing structures, master leases, assumptions, and earnouts. It works when the market crashes and it works when the market soars.</w:t>
      </w:r>
    </w:p>
    <w:p>
      <w:pPr>
        <w:spacing w:after="80" w:before="80" w:line="312"/>
        <w:jc w:val="left"/>
      </w:pPr>
      <w:r>
        <w:rPr>
          <w:rFonts w:ascii="Arial" w:cs="Arial" w:eastAsia="Arial" w:hAnsi="Arial"/>
          <w:b w:val="false"/>
          <w:bCs w:val="false"/>
          <w:i w:val="false"/>
          <w:iCs w:val="false"/>
          <w:color w:val="000000"/>
          <w:sz w:val="22"/>
          <w:szCs w:val="22"/>
        </w:rPr>
        <w:t xml:space="preserve">No single employee understands the full system. The family controls the machine. The machine stays with the family. Nobody outside the family even knows the machine exists. The public face is institutional: researchers, analysts, a technology division, thirty years of expertise. The AI is invisible. The competitive advantage lives in that invisibility.</w:t>
      </w:r>
    </w:p>
    <w:p>
      <w:pPr>
        <w:spacing w:after="80" w:before="80" w:line="312"/>
        <w:jc w:val="left"/>
      </w:pPr>
      <w:r>
        <w:rPr>
          <w:rFonts w:ascii="Arial" w:cs="Arial" w:eastAsia="Arial" w:hAnsi="Arial"/>
          <w:b w:val="false"/>
          <w:bCs w:val="false"/>
          <w:i w:val="false"/>
          <w:iCs w:val="false"/>
          <w:color w:val="000000"/>
          <w:sz w:val="22"/>
          <w:szCs w:val="22"/>
        </w:rPr>
        <w:t xml:space="preserve">That is where we are going. Now here is how we get there.</w:t>
      </w:r>
    </w:p>
    <w:p>
      <w:r>
        <w:br w:type="page"/>
      </w:r>
    </w:p>
    <w:p>
      <w:pPr>
        <w:spacing w:after="60" w:before="400"/>
      </w:pPr>
      <w:r>
        <w:rPr>
          <w:rFonts w:ascii="Arial" w:cs="Arial" w:eastAsia="Arial" w:hAnsi="Arial"/>
          <w:b/>
          <w:bCs/>
          <w:color w:val="0E3470"/>
          <w:sz w:val="32"/>
          <w:szCs w:val="32"/>
        </w:rPr>
        <w:t xml:space="preserve">STAGE 1 — FIRST BLOOD</w:t>
      </w:r>
    </w:p>
    <w:p>
      <w:pPr>
        <w:pBdr>
          <w:bottom w:val="single" w:color="BC9C45" w:sz="6" w:space="4"/>
        </w:pBdr>
        <w:spacing w:after="200" w:before="200"/>
      </w:pPr>
    </w:p>
    <w:p>
      <w:pPr>
        <w:pBdr>
          <w:left w:val="single" w:color="BC9C45" w:sz="12" w:space="8"/>
        </w:pBdr>
        <w:spacing w:after="120" w:before="60"/>
        <w:ind w:left="360"/>
      </w:pPr>
      <w:r>
        <w:rPr>
          <w:rFonts w:ascii="Arial" w:cs="Arial" w:eastAsia="Arial" w:hAnsi="Arial"/>
          <w:b/>
          <w:bCs/>
          <w:color w:val="BC9C45"/>
          <w:sz w:val="22"/>
          <w:szCs w:val="22"/>
        </w:rPr>
        <w:t xml:space="preserve">Goal: </w:t>
      </w:r>
      <w:r>
        <w:rPr>
          <w:rFonts w:ascii="Arial" w:cs="Arial" w:eastAsia="Arial" w:hAnsi="Arial"/>
          <w:i/>
          <w:iCs/>
          <w:color w:val="000000"/>
          <w:sz w:val="22"/>
          <w:szCs w:val="22"/>
        </w:rPr>
        <w:t xml:space="preserve">Close one deal where the machine contributed meaningfully to sourcing, analysis, or execution. Prove to yourself that this works.</w:t>
      </w:r>
    </w:p>
    <w:p>
      <w:pPr>
        <w:spacing w:after="80" w:before="80" w:line="312"/>
        <w:jc w:val="left"/>
      </w:pPr>
      <w:r>
        <w:rPr>
          <w:rFonts w:ascii="Arial" w:cs="Arial" w:eastAsia="Arial" w:hAnsi="Arial"/>
          <w:b w:val="false"/>
          <w:bCs w:val="false"/>
          <w:i w:val="false"/>
          <w:iCs w:val="false"/>
          <w:color w:val="000000"/>
          <w:sz w:val="22"/>
          <w:szCs w:val="22"/>
        </w:rPr>
        <w:t xml:space="preserve">This stage uses what already exists. CoStar is active. Buildout is active. The Psychology Engine is built — twelve sections, every claim sourced, every framework validated. The LOI methodology has been tested on Bay Valley, Morton, Frayser Village, and the Florida portfolio. The Pre-LOI Information Request is board-certified. Three DD addendums are complete. The deal pipeline app exists in Lovable with Supabase. The reference letters exist. Bruce Smoler is ready. Motty is ready. Neil Bane is ready.</w:t>
      </w:r>
    </w:p>
    <w:p>
      <w:pPr>
        <w:spacing w:after="80" w:before="80" w:line="312"/>
        <w:jc w:val="left"/>
      </w:pPr>
      <w:r>
        <w:rPr>
          <w:rFonts w:ascii="Arial" w:cs="Arial" w:eastAsia="Arial" w:hAnsi="Arial"/>
          <w:b w:val="false"/>
          <w:bCs w:val="false"/>
          <w:i w:val="false"/>
          <w:iCs w:val="false"/>
          <w:color w:val="000000"/>
          <w:sz w:val="22"/>
          <w:szCs w:val="22"/>
        </w:rPr>
        <w:t xml:space="preserve">Pick two to three brokers from the existing network — people Gideon knows, people who trust him. Reactivate those relationships using the ten-word email: "Are you still working on distressed CRE deals in [market]?" Run every property they bring through the full Psychology Engine. Generate an LOI using the tested methodology. Use the Pre-LOI Information Request to get financials before committing. Close the deal.</w:t>
      </w:r>
    </w:p>
    <w:p>
      <w:pPr>
        <w:spacing w:after="80" w:before="80" w:line="312"/>
        <w:jc w:val="left"/>
      </w:pPr>
      <w:r>
        <w:rPr>
          <w:rFonts w:ascii="Arial" w:cs="Arial" w:eastAsia="Arial" w:hAnsi="Arial"/>
          <w:b w:val="false"/>
          <w:bCs w:val="false"/>
          <w:i w:val="false"/>
          <w:iCs w:val="false"/>
          <w:color w:val="000000"/>
          <w:sz w:val="22"/>
          <w:szCs w:val="22"/>
        </w:rPr>
        <w:t xml:space="preserve">While that deal moves forward, Shirel manages the pipeline app, tracking every stage from outreach through post-closing transition. The four approval gates are live from day one: Presentation Gate, Go/No-Go Gate, Extension Decision Gate, Closing Authorization Gate.</w:t>
      </w:r>
    </w:p>
    <w:p>
      <w:pPr>
        <w:spacing w:after="80" w:before="80" w:line="312"/>
        <w:jc w:val="left"/>
      </w:pPr>
      <w:r>
        <w:rPr>
          <w:rFonts w:ascii="Arial" w:cs="Arial" w:eastAsia="Arial" w:hAnsi="Arial"/>
          <w:b w:val="false"/>
          <w:bCs w:val="false"/>
          <w:i w:val="false"/>
          <w:iCs w:val="false"/>
          <w:color w:val="000000"/>
          <w:sz w:val="22"/>
          <w:szCs w:val="22"/>
        </w:rPr>
        <w:t xml:space="preserve">No new subscriptions needed. No new hires needed. The tools in hand are sufficient to close deals. What is needed is execution, not infrastructure.</w:t>
      </w:r>
    </w:p>
    <w:p>
      <w:pPr>
        <w:spacing w:after="80" w:before="240"/>
      </w:pPr>
      <w:r>
        <w:rPr>
          <w:rFonts w:ascii="Arial" w:cs="Arial" w:eastAsia="Arial" w:hAnsi="Arial"/>
          <w:b/>
          <w:bCs/>
          <w:color w:val="0E3470"/>
          <w:sz w:val="24"/>
          <w:szCs w:val="24"/>
        </w:rPr>
        <w:t xml:space="preserve">Completion Criteria</w:t>
      </w:r>
    </w:p>
    <w:p>
      <w:pPr>
        <w:spacing w:after="80" w:before="80" w:line="312"/>
        <w:jc w:val="left"/>
      </w:pPr>
      <w:r>
        <w:rPr>
          <w:rFonts w:ascii="Arial" w:cs="Arial" w:eastAsia="Arial" w:hAnsi="Arial"/>
          <w:b w:val="false"/>
          <w:bCs w:val="false"/>
          <w:i w:val="false"/>
          <w:iCs w:val="false"/>
          <w:color w:val="000000"/>
          <w:sz w:val="22"/>
          <w:szCs w:val="22"/>
        </w:rPr>
        <w:t xml:space="preserve">Stage 1 is complete when a deal closes using the Terminal methodology end to end. One deal. Verified. Real money. The machine produced the analysis, the psychology shaped the LOI, the pipeline tracked every milestone. That is proof of concept.</w:t>
      </w:r>
    </w:p>
    <w:p>
      <w:pPr>
        <w:spacing w:after="80" w:before="240"/>
      </w:pPr>
      <w:r>
        <w:rPr>
          <w:rFonts w:ascii="Arial" w:cs="Arial" w:eastAsia="Arial" w:hAnsi="Arial"/>
          <w:b/>
          <w:bCs/>
          <w:color w:val="0E3470"/>
          <w:sz w:val="24"/>
          <w:szCs w:val="24"/>
        </w:rPr>
        <w:t xml:space="preserve">Direction</w:t>
      </w:r>
    </w:p>
    <w:p>
      <w:pPr>
        <w:spacing w:after="80" w:before="80" w:line="312"/>
        <w:jc w:val="left"/>
      </w:pPr>
      <w:r>
        <w:rPr>
          <w:rFonts w:ascii="Arial" w:cs="Arial" w:eastAsia="Arial" w:hAnsi="Arial"/>
          <w:b w:val="false"/>
          <w:bCs w:val="false"/>
          <w:i w:val="false"/>
          <w:iCs w:val="false"/>
          <w:color w:val="000000"/>
          <w:sz w:val="22"/>
          <w:szCs w:val="22"/>
        </w:rPr>
        <w:t xml:space="preserve">Gideon focuses exclusively on deal flow. Steve focuses exclusively on the Email Machine MVP. Shirel manages the pipeline. Mushka handles research tasks. Everything else waits.</w:t>
      </w:r>
    </w:p>
    <w:p>
      <w:r>
        <w:br w:type="page"/>
      </w:r>
    </w:p>
    <w:p>
      <w:pPr>
        <w:spacing w:after="60" w:before="400"/>
      </w:pPr>
      <w:r>
        <w:rPr>
          <w:rFonts w:ascii="Arial" w:cs="Arial" w:eastAsia="Arial" w:hAnsi="Arial"/>
          <w:b/>
          <w:bCs/>
          <w:color w:val="0E3470"/>
          <w:sz w:val="32"/>
          <w:szCs w:val="32"/>
        </w:rPr>
        <w:t xml:space="preserve">STAGE 2 — THE ENGINE TURNS</w:t>
      </w:r>
    </w:p>
    <w:p>
      <w:pPr>
        <w:pBdr>
          <w:bottom w:val="single" w:color="BC9C45" w:sz="6" w:space="4"/>
        </w:pBdr>
        <w:spacing w:after="200" w:before="200"/>
      </w:pPr>
    </w:p>
    <w:p>
      <w:pPr>
        <w:pBdr>
          <w:left w:val="single" w:color="BC9C45" w:sz="12" w:space="8"/>
        </w:pBdr>
        <w:spacing w:after="120" w:before="60"/>
        <w:ind w:left="360"/>
      </w:pPr>
      <w:r>
        <w:rPr>
          <w:rFonts w:ascii="Arial" w:cs="Arial" w:eastAsia="Arial" w:hAnsi="Arial"/>
          <w:b/>
          <w:bCs/>
          <w:color w:val="BC9C45"/>
          <w:sz w:val="22"/>
          <w:szCs w:val="22"/>
        </w:rPr>
        <w:t xml:space="preserve">Goal: </w:t>
      </w:r>
      <w:r>
        <w:rPr>
          <w:rFonts w:ascii="Arial" w:cs="Arial" w:eastAsia="Arial" w:hAnsi="Arial"/>
          <w:i/>
          <w:iCs/>
          <w:color w:val="000000"/>
          <w:sz w:val="22"/>
          <w:szCs w:val="22"/>
        </w:rPr>
        <w:t xml:space="preserve">The Email Machine is online and autonomously managing broker communications at scale. The deal submission portal is live and accepting properties. RePrime processes fifty or more inbound deals per month.</w:t>
      </w:r>
    </w:p>
    <w:p>
      <w:pPr>
        <w:spacing w:after="80" w:before="240"/>
      </w:pPr>
      <w:r>
        <w:rPr>
          <w:rFonts w:ascii="Arial" w:cs="Arial" w:eastAsia="Arial" w:hAnsi="Arial"/>
          <w:b/>
          <w:bCs/>
          <w:color w:val="0E3470"/>
          <w:sz w:val="24"/>
          <w:szCs w:val="24"/>
        </w:rPr>
        <w:t xml:space="preserve">The Email Machine</w:t>
      </w:r>
    </w:p>
    <w:p>
      <w:pPr>
        <w:spacing w:after="80" w:before="80" w:line="312"/>
        <w:jc w:val="left"/>
      </w:pPr>
      <w:r>
        <w:rPr>
          <w:rFonts w:ascii="Arial" w:cs="Arial" w:eastAsia="Arial" w:hAnsi="Arial"/>
          <w:b w:val="false"/>
          <w:bCs w:val="false"/>
          <w:i w:val="false"/>
          <w:iCs w:val="false"/>
          <w:color w:val="000000"/>
          <w:sz w:val="22"/>
          <w:szCs w:val="22"/>
        </w:rPr>
        <w:t xml:space="preserve">The Email Machine is the single most important technical build in the entire project. Five hundred sixty-six dead leads. Sixty-three percent died after a single message with zero follow-up. Seventy-three high-priority leads with real engagement went silent. That is money sitting on the ground. The Email Machine picks it up.</w:t>
      </w:r>
    </w:p>
    <w:p>
      <w:pPr>
        <w:spacing w:after="80" w:before="80" w:line="312"/>
        <w:jc w:val="left"/>
      </w:pPr>
      <w:r>
        <w:rPr>
          <w:rFonts w:ascii="Arial" w:cs="Arial" w:eastAsia="Arial" w:hAnsi="Arial"/>
          <w:b w:val="false"/>
          <w:bCs w:val="false"/>
          <w:i w:val="false"/>
          <w:iCs w:val="false"/>
          <w:color w:val="000000"/>
          <w:sz w:val="22"/>
          <w:szCs w:val="22"/>
        </w:rPr>
        <w:t xml:space="preserve">Steve builds the custom hybrid architecture: Instantly for sending infrastructure, Claude API for the conversation engine, Supabase for state management, n8n for orchestration. The build sequence is already determined by the board. Component 6 first — the integration spec so Steve can start coding infrastructure. Then Components 1 and 2 paired — the five email archetypes plus Voss-mapped response taxonomy. Then Component 3 — behavioral scoring, defined architecturally but activated after the first email cycle produces real data. Then Component 5 — data verification, because every property-data email needs Troutman-compliant disclosures. Then Component 4 last — the confidence threshold that determines which emails send autonomously and which get flagged for human review. Shirel and Adir handle fifteen to twenty flagged drafts per day, about thirty minutes of work.</w:t>
      </w:r>
    </w:p>
    <w:p>
      <w:pPr>
        <w:spacing w:after="80" w:before="240"/>
      </w:pPr>
      <w:r>
        <w:rPr>
          <w:rFonts w:ascii="Arial" w:cs="Arial" w:eastAsia="Arial" w:hAnsi="Arial"/>
          <w:b/>
          <w:bCs/>
          <w:color w:val="0E3470"/>
          <w:sz w:val="24"/>
          <w:szCs w:val="24"/>
        </w:rPr>
        <w:t xml:space="preserve">The Deal Submission Portal</w:t>
      </w:r>
    </w:p>
    <w:p>
      <w:pPr>
        <w:spacing w:after="80" w:before="80" w:line="312"/>
        <w:jc w:val="left"/>
      </w:pPr>
      <w:r>
        <w:rPr>
          <w:rFonts w:ascii="Arial" w:cs="Arial" w:eastAsia="Arial" w:hAnsi="Arial"/>
          <w:b w:val="false"/>
          <w:bCs w:val="false"/>
          <w:i w:val="false"/>
          <w:iCs w:val="false"/>
          <w:color w:val="000000"/>
          <w:sz w:val="22"/>
          <w:szCs w:val="22"/>
        </w:rPr>
        <w:t xml:space="preserve">Three entry paths: OM upload with automatic extraction, property address entry with API auto-fill from CoStar and Crexi, and a guided push-button conversation for submitters with minimal documentation. Three separate entry experiences calibrated to three counterparty types: brokers get the relationship-first experience, sellers get the burden-relief experience, flippers get the speed-and-certainty experience with invisible deception detection using the Strategic Use of Evidence method. The portal is the reciprocity engine — every submission gets a free institutional-grade property analysis. That analysis is the costly signal that replaces phone calls. Brokers submit because they get something valuable for free regardless of whether RePrime buys.</w:t>
      </w:r>
    </w:p>
    <w:p>
      <w:pPr>
        <w:spacing w:after="80" w:before="240"/>
      </w:pPr>
      <w:r>
        <w:rPr>
          <w:rFonts w:ascii="Arial" w:cs="Arial" w:eastAsia="Arial" w:hAnsi="Arial"/>
          <w:b/>
          <w:bCs/>
          <w:color w:val="0E3470"/>
          <w:sz w:val="24"/>
          <w:szCs w:val="24"/>
        </w:rPr>
        <w:t xml:space="preserve">Warm Reconnect</w:t>
      </w:r>
    </w:p>
    <w:p>
      <w:pPr>
        <w:spacing w:after="80" w:before="80" w:line="312"/>
        <w:jc w:val="left"/>
      </w:pPr>
      <w:r>
        <w:rPr>
          <w:rFonts w:ascii="Arial" w:cs="Arial" w:eastAsia="Arial" w:hAnsi="Arial"/>
          <w:b w:val="false"/>
          <w:bCs w:val="false"/>
          <w:i w:val="false"/>
          <w:iCs w:val="false"/>
          <w:color w:val="000000"/>
          <w:sz w:val="22"/>
          <w:szCs w:val="22"/>
        </w:rPr>
        <w:t xml:space="preserve">The warm reconnect module targets the 4,154 existing broker contacts. The reactivation sequence runs four emails over four weeks, calibrated from cold to warm, ending with an invitation to submit through the portal. The goal is not to sell anything. The goal is to reopen the door.</w:t>
      </w:r>
    </w:p>
    <w:p>
      <w:pPr>
        <w:spacing w:after="80" w:before="240"/>
      </w:pPr>
      <w:r>
        <w:rPr>
          <w:rFonts w:ascii="Arial" w:cs="Arial" w:eastAsia="Arial" w:hAnsi="Arial"/>
          <w:b/>
          <w:bCs/>
          <w:color w:val="0E3470"/>
          <w:sz w:val="24"/>
          <w:szCs w:val="24"/>
        </w:rPr>
        <w:t xml:space="preserve">New Costs at This Stage</w:t>
      </w:r>
    </w:p>
    <w:p>
      <w:pPr>
        <w:spacing w:after="80" w:before="80" w:line="312"/>
        <w:jc w:val="left"/>
      </w:pPr>
      <w:r>
        <w:rPr>
          <w:rFonts w:ascii="Arial" w:cs="Arial" w:eastAsia="Arial" w:hAnsi="Arial"/>
          <w:b w:val="false"/>
          <w:bCs w:val="false"/>
          <w:i w:val="false"/>
          <w:iCs w:val="false"/>
          <w:color w:val="000000"/>
          <w:sz w:val="22"/>
          <w:szCs w:val="22"/>
        </w:rPr>
        <w:t xml:space="preserve">Instantly at $97/month, Claude API at $200-400/month, CRED iQ at $1,200/month for CMBS distressed data. Total new cost: approximately $2,000/month. Scale to the deals, not ahead of them.</w:t>
      </w:r>
    </w:p>
    <w:p>
      <w:pPr>
        <w:spacing w:after="80" w:before="240"/>
      </w:pPr>
      <w:r>
        <w:rPr>
          <w:rFonts w:ascii="Arial" w:cs="Arial" w:eastAsia="Arial" w:hAnsi="Arial"/>
          <w:b/>
          <w:bCs/>
          <w:color w:val="0E3470"/>
          <w:sz w:val="24"/>
          <w:szCs w:val="24"/>
        </w:rPr>
        <w:t xml:space="preserve">Completion Criteria</w:t>
      </w:r>
    </w:p>
    <w:p>
      <w:pPr>
        <w:spacing w:after="80" w:before="80" w:line="312"/>
        <w:jc w:val="left"/>
      </w:pPr>
      <w:r>
        <w:rPr>
          <w:rFonts w:ascii="Arial" w:cs="Arial" w:eastAsia="Arial" w:hAnsi="Arial"/>
          <w:b w:val="false"/>
          <w:bCs w:val="false"/>
          <w:i w:val="false"/>
          <w:iCs w:val="false"/>
          <w:color w:val="000000"/>
          <w:sz w:val="22"/>
          <w:szCs w:val="22"/>
        </w:rPr>
        <w:t xml:space="preserve">Stage 2 is complete when the Email Machine is processing broker conversations autonomously, the portal is accepting submissions, and RePrime is reviewing fifty or more inbound deals per month. The machine is now doing work that previously required a team of ten.</w:t>
      </w:r>
    </w:p>
    <w:p>
      <w:r>
        <w:br w:type="page"/>
      </w:r>
    </w:p>
    <w:p>
      <w:pPr>
        <w:spacing w:after="60" w:before="400"/>
      </w:pPr>
      <w:r>
        <w:rPr>
          <w:rFonts w:ascii="Arial" w:cs="Arial" w:eastAsia="Arial" w:hAnsi="Arial"/>
          <w:b/>
          <w:bCs/>
          <w:color w:val="0E3470"/>
          <w:sz w:val="32"/>
          <w:szCs w:val="32"/>
        </w:rPr>
        <w:t xml:space="preserve">STAGE 3 — THE CLUB OPENS</w:t>
      </w:r>
    </w:p>
    <w:p>
      <w:pPr>
        <w:pBdr>
          <w:bottom w:val="single" w:color="BC9C45" w:sz="6" w:space="4"/>
        </w:pBdr>
        <w:spacing w:after="200" w:before="200"/>
      </w:pPr>
    </w:p>
    <w:p>
      <w:pPr>
        <w:pBdr>
          <w:left w:val="single" w:color="BC9C45" w:sz="12" w:space="8"/>
        </w:pBdr>
        <w:spacing w:after="120" w:before="60"/>
        <w:ind w:left="360"/>
      </w:pPr>
      <w:r>
        <w:rPr>
          <w:rFonts w:ascii="Arial" w:cs="Arial" w:eastAsia="Arial" w:hAnsi="Arial"/>
          <w:b/>
          <w:bCs/>
          <w:color w:val="BC9C45"/>
          <w:sz w:val="22"/>
          <w:szCs w:val="22"/>
        </w:rPr>
        <w:t xml:space="preserve">Goal: </w:t>
      </w:r>
      <w:r>
        <w:rPr>
          <w:rFonts w:ascii="Arial" w:cs="Arial" w:eastAsia="Arial" w:hAnsi="Arial"/>
          <w:i/>
          <w:iCs/>
          <w:color w:val="000000"/>
          <w:sz w:val="22"/>
          <w:szCs w:val="22"/>
        </w:rPr>
        <w:t xml:space="preserve">Twenty founding investors are onboarded. The investor portal is live. The first deal is presented to the club and locked by a member. Membership revenue begins.</w:t>
      </w:r>
    </w:p>
    <w:p>
      <w:pPr>
        <w:spacing w:after="80" w:before="240"/>
      </w:pPr>
      <w:r>
        <w:rPr>
          <w:rFonts w:ascii="Arial" w:cs="Arial" w:eastAsia="Arial" w:hAnsi="Arial"/>
          <w:b/>
          <w:bCs/>
          <w:color w:val="0E3470"/>
          <w:sz w:val="24"/>
          <w:szCs w:val="24"/>
        </w:rPr>
        <w:t xml:space="preserve">The Investor Portal</w:t>
      </w:r>
    </w:p>
    <w:p>
      <w:pPr>
        <w:spacing w:after="80" w:before="80" w:line="312"/>
        <w:jc w:val="left"/>
      </w:pPr>
      <w:r>
        <w:rPr>
          <w:rFonts w:ascii="Arial" w:cs="Arial" w:eastAsia="Arial" w:hAnsi="Arial"/>
          <w:b w:val="false"/>
          <w:bCs w:val="false"/>
          <w:i w:val="false"/>
          <w:iCs w:val="false"/>
          <w:color w:val="000000"/>
          <w:sz w:val="22"/>
          <w:szCs w:val="22"/>
        </w:rPr>
        <w:t xml:space="preserve">The investor portal is Side 2 of the two-sided platform. Password-protected. Restricted to vetted accredited investors. No self-registration. No sign-up page. Admin creates each account after vetting: financial statement, tax return, or third-party verification. Proof of funds. Background check for institutional-level deals.</w:t>
      </w:r>
    </w:p>
    <w:p>
      <w:pPr>
        <w:spacing w:after="80" w:before="80" w:line="312"/>
        <w:jc w:val="left"/>
      </w:pPr>
      <w:r>
        <w:rPr>
          <w:rFonts w:ascii="Arial" w:cs="Arial" w:eastAsia="Arial" w:hAnsi="Arial"/>
          <w:b w:val="false"/>
          <w:bCs w:val="false"/>
          <w:i w:val="false"/>
          <w:iCs w:val="false"/>
          <w:color w:val="000000"/>
          <w:sz w:val="22"/>
          <w:szCs w:val="22"/>
        </w:rPr>
        <w:t xml:space="preserve">The portal shows every active deal simultaneously on a deal board. Each deal card displays the property photo, asset type, location, deal size, equity required, target IRR, fee structure from the McDonald's Menu, current pipeline status, and countdown timers. Those countdown timers are the killer feature. No existing platform has them — not InvestNext, not Agora, not Juniper Square, not any VDR. Color-coded from green through yellow, orange, red, to pulsing red at less than twenty-four hours. Kahneman's loss aversion coefficient working in real time.</w:t>
      </w:r>
    </w:p>
    <w:p>
      <w:pPr>
        <w:spacing w:after="80" w:before="80" w:line="312"/>
        <w:jc w:val="left"/>
      </w:pPr>
      <w:r>
        <w:rPr>
          <w:rFonts w:ascii="Arial" w:cs="Arial" w:eastAsia="Arial" w:hAnsi="Arial"/>
          <w:b w:val="false"/>
          <w:bCs w:val="false"/>
          <w:i w:val="false"/>
          <w:iCs w:val="false"/>
          <w:color w:val="000000"/>
          <w:sz w:val="22"/>
          <w:szCs w:val="22"/>
        </w:rPr>
        <w:t xml:space="preserve">Each deal gets a full page with the acquisition thesis written using Minto Pyramid structure, a financial model summary, the fee structure, property data, professional photos, an interactive map, and a secure data room with dynamic watermarks on financial documents. The page sequences information deliberately: System 2 content first — analysis, data room, financials — followed by System 1 triggers last — countdown timer, scarcity cue, commitment button.</w:t>
      </w:r>
    </w:p>
    <w:p>
      <w:pPr>
        <w:spacing w:after="80" w:before="240"/>
      </w:pPr>
      <w:r>
        <w:rPr>
          <w:rFonts w:ascii="Arial" w:cs="Arial" w:eastAsia="Arial" w:hAnsi="Arial"/>
          <w:b/>
          <w:bCs/>
          <w:color w:val="0E3470"/>
          <w:sz w:val="24"/>
          <w:szCs w:val="24"/>
        </w:rPr>
        <w:t xml:space="preserve">The Deal Lock Mechanism</w:t>
      </w:r>
    </w:p>
    <w:p>
      <w:pPr>
        <w:spacing w:after="80" w:before="80" w:line="312"/>
        <w:jc w:val="left"/>
      </w:pPr>
      <w:r>
        <w:rPr>
          <w:rFonts w:ascii="Arial" w:cs="Arial" w:eastAsia="Arial" w:hAnsi="Arial"/>
          <w:b w:val="false"/>
          <w:bCs w:val="false"/>
          <w:i w:val="false"/>
          <w:iCs w:val="false"/>
          <w:color w:val="000000"/>
          <w:sz w:val="22"/>
          <w:szCs w:val="22"/>
        </w:rPr>
        <w:t xml:space="preserve">The deal hits the portal already under contract, with RePrime holding the contract. A member locks the deal by replacing RePrime's deposit dollar-for-dollar. Once locked, five to seven days to choose a participation plan. Three days to wire funds. If the wire does not arrive, the deal releases to the next buyer. A backup buyer is taken on every deal — transparent, not hidden.</w:t>
      </w:r>
    </w:p>
    <w:p>
      <w:pPr>
        <w:spacing w:after="80" w:before="240"/>
      </w:pPr>
      <w:r>
        <w:rPr>
          <w:rFonts w:ascii="Arial" w:cs="Arial" w:eastAsia="Arial" w:hAnsi="Arial"/>
          <w:b/>
          <w:bCs/>
          <w:color w:val="0E3470"/>
          <w:sz w:val="24"/>
          <w:szCs w:val="24"/>
        </w:rPr>
        <w:t xml:space="preserve">The Five Buyer Groups</w:t>
      </w:r>
    </w:p>
    <w:p>
      <w:pPr>
        <w:spacing w:after="80" w:before="80" w:line="312"/>
        <w:jc w:val="left"/>
      </w:pPr>
      <w:r>
        <w:rPr>
          <w:rFonts w:ascii="Arial" w:cs="Arial" w:eastAsia="Arial" w:hAnsi="Arial"/>
          <w:b w:val="false"/>
          <w:bCs w:val="false"/>
          <w:i w:val="false"/>
          <w:iCs w:val="false"/>
          <w:color w:val="000000"/>
          <w:sz w:val="22"/>
          <w:szCs w:val="22"/>
        </w:rPr>
        <w:t xml:space="preserve">Group 1: 7-Day Close — as fast as title clears, non-refundable, no contingencies, 2 cap rate points above market. Group 2: Non-Refundable Day One — no DD, no financing contingency, ~1.5 cap rate points from market. Group 3: 30-45 Day Standard (Most Active) — standard institutional execution, 0.5-1 cap rate point from market. Group 4: Traditional with financing contingency — market cap rate, longest timeline. Group 5: Premium Institutional — mandatory 60/60, at or above market cap rate, highest recovery. Each group maps to a distinct LP coalition. The terms are the headlines.</w:t>
      </w:r>
    </w:p>
    <w:p>
      <w:pPr>
        <w:spacing w:after="80" w:before="240"/>
      </w:pPr>
      <w:r>
        <w:rPr>
          <w:rFonts w:ascii="Arial" w:cs="Arial" w:eastAsia="Arial" w:hAnsi="Arial"/>
          <w:b/>
          <w:bCs/>
          <w:color w:val="0E3470"/>
          <w:sz w:val="24"/>
          <w:szCs w:val="24"/>
        </w:rPr>
        <w:t xml:space="preserve">Founding Members</w:t>
      </w:r>
    </w:p>
    <w:p>
      <w:pPr>
        <w:spacing w:after="80" w:before="80" w:line="312"/>
        <w:jc w:val="left"/>
      </w:pPr>
      <w:r>
        <w:rPr>
          <w:rFonts w:ascii="Arial" w:cs="Arial" w:eastAsia="Arial" w:hAnsi="Arial"/>
          <w:b w:val="false"/>
          <w:bCs w:val="false"/>
          <w:i w:val="false"/>
          <w:iCs w:val="false"/>
          <w:color w:val="000000"/>
          <w:sz w:val="22"/>
          <w:szCs w:val="22"/>
        </w:rPr>
        <w:t xml:space="preserve">Twenty founding members. Annual Platform Access Fee of $30,000, waived for the first year as a gift. Not a discount — a gift. Anchoring effect: investors process value at $30,000 even when paying zero. Every member sees every deal simultaneously. No timing advantages. First deposit locks the deal. The only exception: members committing $10M+ as a blind pool get first look on GP deals.</w:t>
      </w:r>
    </w:p>
    <w:p>
      <w:pPr>
        <w:spacing w:after="80" w:before="240"/>
      </w:pPr>
      <w:r>
        <w:rPr>
          <w:rFonts w:ascii="Arial" w:cs="Arial" w:eastAsia="Arial" w:hAnsi="Arial"/>
          <w:b/>
          <w:bCs/>
          <w:color w:val="0E3470"/>
          <w:sz w:val="24"/>
          <w:szCs w:val="24"/>
        </w:rPr>
        <w:t xml:space="preserve">Completion Criteria</w:t>
      </w:r>
    </w:p>
    <w:p>
      <w:pPr>
        <w:spacing w:after="80" w:before="80" w:line="312"/>
        <w:jc w:val="left"/>
      </w:pPr>
      <w:r>
        <w:rPr>
          <w:rFonts w:ascii="Arial" w:cs="Arial" w:eastAsia="Arial" w:hAnsi="Arial"/>
          <w:b w:val="false"/>
          <w:bCs w:val="false"/>
          <w:i w:val="false"/>
          <w:iCs w:val="false"/>
          <w:color w:val="000000"/>
          <w:sz w:val="22"/>
          <w:szCs w:val="22"/>
        </w:rPr>
        <w:t xml:space="preserve">Stage 3 is complete when twenty founding members are active, the first deal has been presented and locked through the portal, and the membership renewal clock is ticking.</w:t>
      </w:r>
    </w:p>
    <w:p>
      <w:r>
        <w:br w:type="page"/>
      </w:r>
    </w:p>
    <w:p>
      <w:pPr>
        <w:spacing w:after="60" w:before="400"/>
      </w:pPr>
      <w:r>
        <w:rPr>
          <w:rFonts w:ascii="Arial" w:cs="Arial" w:eastAsia="Arial" w:hAnsi="Arial"/>
          <w:b/>
          <w:bCs/>
          <w:color w:val="0E3470"/>
          <w:sz w:val="32"/>
          <w:szCs w:val="32"/>
        </w:rPr>
        <w:t xml:space="preserve">STAGE 4 — FULL PIPELINE</w:t>
      </w:r>
    </w:p>
    <w:p>
      <w:pPr>
        <w:pBdr>
          <w:bottom w:val="single" w:color="BC9C45" w:sz="6" w:space="4"/>
        </w:pBdr>
        <w:spacing w:after="200" w:before="200"/>
      </w:pPr>
    </w:p>
    <w:p>
      <w:pPr>
        <w:pBdr>
          <w:left w:val="single" w:color="BC9C45" w:sz="12" w:space="8"/>
        </w:pBdr>
        <w:spacing w:after="120" w:before="60"/>
        <w:ind w:left="360"/>
      </w:pPr>
      <w:r>
        <w:rPr>
          <w:rFonts w:ascii="Arial" w:cs="Arial" w:eastAsia="Arial" w:hAnsi="Arial"/>
          <w:b/>
          <w:bCs/>
          <w:color w:val="BC9C45"/>
          <w:sz w:val="22"/>
          <w:szCs w:val="22"/>
        </w:rPr>
        <w:t xml:space="preserve">Goal: </w:t>
      </w:r>
      <w:r>
        <w:rPr>
          <w:rFonts w:ascii="Arial" w:cs="Arial" w:eastAsia="Arial" w:hAnsi="Arial"/>
          <w:i/>
          <w:iCs/>
          <w:color w:val="000000"/>
          <w:sz w:val="22"/>
          <w:szCs w:val="22"/>
        </w:rPr>
        <w:t xml:space="preserve">All fourteen sourcing channels are active. The NPL bank campaign is producing deal flow. Revenue exceeds $2M/year. The team expands.</w:t>
      </w:r>
    </w:p>
    <w:p>
      <w:pPr>
        <w:spacing w:after="80" w:before="240"/>
      </w:pPr>
      <w:r>
        <w:rPr>
          <w:rFonts w:ascii="Arial" w:cs="Arial" w:eastAsia="Arial" w:hAnsi="Arial"/>
          <w:b/>
          <w:bCs/>
          <w:color w:val="0E3470"/>
          <w:sz w:val="24"/>
          <w:szCs w:val="24"/>
        </w:rPr>
        <w:t xml:space="preserve">Fourteen Channels Online</w:t>
      </w:r>
    </w:p>
    <w:p>
      <w:pPr>
        <w:spacing w:after="80" w:before="80" w:line="312"/>
        <w:jc w:val="left"/>
      </w:pPr>
      <w:r>
        <w:rPr>
          <w:rFonts w:ascii="Arial" w:cs="Arial" w:eastAsia="Arial" w:hAnsi="Arial"/>
          <w:b w:val="false"/>
          <w:bCs w:val="false"/>
          <w:i w:val="false"/>
          <w:iCs w:val="false"/>
          <w:color w:val="000000"/>
          <w:sz w:val="22"/>
          <w:szCs w:val="22"/>
        </w:rPr>
        <w:t xml:space="preserve">Broker network reactivation running from Stage 2 expands to 100+ active relationships using the Founding Partner program. Maturing loan outreach targets 900 CoStar properties expanding to 5,000+ using CRED iQ and Reonomy. Multi-touch sequence: seven touches over twenty-five days. Ten secondary domains through Instantly producing 300 emails per day.</w:t>
      </w:r>
    </w:p>
    <w:p>
      <w:pPr>
        <w:spacing w:after="80" w:before="80" w:line="312"/>
        <w:jc w:val="left"/>
      </w:pPr>
      <w:r>
        <w:rPr>
          <w:rFonts w:ascii="Arial" w:cs="Arial" w:eastAsia="Arial" w:hAnsi="Arial"/>
          <w:b w:val="false"/>
          <w:bCs w:val="false"/>
          <w:i w:val="false"/>
          <w:iCs w:val="false"/>
          <w:color w:val="000000"/>
          <w:sz w:val="22"/>
          <w:szCs w:val="22"/>
        </w:rPr>
        <w:t xml:space="preserve">NPL bank campaign launches with eleven profiled targets. First Guaranty Bank first — proven seller, existing infrastructure, $130M+ in distressed assets. Fieldpoint Private second — live Federal Reserve Written Agreement creating regulatory pressure. Nano Banc third — leadership vacuum, 21.16% CRE NPL.</w:t>
      </w:r>
    </w:p>
    <w:p>
      <w:pPr>
        <w:spacing w:after="80" w:before="80" w:line="312"/>
        <w:jc w:val="left"/>
      </w:pPr>
      <w:r>
        <w:rPr>
          <w:rFonts w:ascii="Arial" w:cs="Arial" w:eastAsia="Arial" w:hAnsi="Arial"/>
          <w:b w:val="false"/>
          <w:bCs w:val="false"/>
          <w:i w:val="false"/>
          <w:iCs w:val="false"/>
          <w:color w:val="000000"/>
          <w:sz w:val="22"/>
          <w:szCs w:val="22"/>
        </w:rPr>
        <w:t xml:space="preserve">Bankruptcy monitoring through PACER, DailyDAC, and Inforuptcy. Tax-delinquent outreach using composite distress scoring. Government and agency sources: RI Marketplace, FDIC prospective purchaser program, GSA surplus, Bid4Assets.</w:t>
      </w:r>
    </w:p>
    <w:p>
      <w:pPr>
        <w:spacing w:after="80" w:before="80" w:line="312"/>
        <w:jc w:val="left"/>
      </w:pPr>
      <w:r>
        <w:rPr>
          <w:rFonts w:ascii="Arial" w:cs="Arial" w:eastAsia="Arial" w:hAnsi="Arial"/>
          <w:b w:val="false"/>
          <w:bCs w:val="false"/>
          <w:i w:val="false"/>
          <w:iCs w:val="false"/>
          <w:color w:val="000000"/>
          <w:sz w:val="22"/>
          <w:szCs w:val="22"/>
        </w:rPr>
        <w:t xml:space="preserve">Israeli institutional capital enters the pipeline. IBI Investment House already engaged. Expand to Migdal, Harel, Menora Mivtachim, Phoenix, and Clal. Yaron Sitbon runs Israel operations.</w:t>
      </w:r>
    </w:p>
    <w:p>
      <w:pPr>
        <w:spacing w:after="80" w:before="240"/>
      </w:pPr>
      <w:r>
        <w:rPr>
          <w:rFonts w:ascii="Arial" w:cs="Arial" w:eastAsia="Arial" w:hAnsi="Arial"/>
          <w:b/>
          <w:bCs/>
          <w:color w:val="0E3470"/>
          <w:sz w:val="24"/>
          <w:szCs w:val="24"/>
        </w:rPr>
        <w:t xml:space="preserve">Revenue Model</w:t>
      </w:r>
    </w:p>
    <w:p>
      <w:pPr>
        <w:spacing w:after="80" w:before="80" w:line="312"/>
        <w:jc w:val="left"/>
      </w:pPr>
      <w:r>
        <w:rPr>
          <w:rFonts w:ascii="Arial" w:cs="Arial" w:eastAsia="Arial" w:hAnsi="Arial"/>
          <w:b w:val="false"/>
          <w:bCs w:val="false"/>
          <w:i w:val="false"/>
          <w:iCs w:val="false"/>
          <w:color w:val="000000"/>
          <w:sz w:val="22"/>
          <w:szCs w:val="22"/>
        </w:rPr>
        <w:t xml:space="preserve">Transaction coordination fee: 1.5% of deal size ($15,000 minimum). DDaaS: 1% of deal size ($50,000 minimum). Membership fees begin in year two. Conservative projection: 4 deals/month at $50,000 average fee = $2.4M/year.</w:t>
      </w:r>
    </w:p>
    <w:p>
      <w:pPr>
        <w:spacing w:after="80" w:before="240"/>
      </w:pPr>
      <w:r>
        <w:rPr>
          <w:rFonts w:ascii="Arial" w:cs="Arial" w:eastAsia="Arial" w:hAnsi="Arial"/>
          <w:b/>
          <w:bCs/>
          <w:color w:val="0E3470"/>
          <w:sz w:val="24"/>
          <w:szCs w:val="24"/>
        </w:rPr>
        <w:t xml:space="preserve">Team Expansion</w:t>
      </w:r>
    </w:p>
    <w:p>
      <w:pPr>
        <w:spacing w:after="80" w:before="80" w:line="312"/>
        <w:jc w:val="left"/>
      </w:pPr>
      <w:r>
        <w:rPr>
          <w:rFonts w:ascii="Arial" w:cs="Arial" w:eastAsia="Arial" w:hAnsi="Arial"/>
          <w:b w:val="false"/>
          <w:bCs w:val="false"/>
          <w:i w:val="false"/>
          <w:iCs w:val="false"/>
          <w:color w:val="000000"/>
          <w:sz w:val="22"/>
          <w:szCs w:val="22"/>
        </w:rPr>
        <w:t xml:space="preserve">Two to three CS interns from nearby universities with compartmentalized tasks. Best intern becomes full hire after six months. No deal bonuses — base salary plus permanent milestone raises, phantom equity at 1-2% after 12-18 months, back-weighted 4-year vest (10/20/30/40). PIIA, NDA, and non-solicitation before day one. Free housing in Postville.</w:t>
      </w:r>
    </w:p>
    <w:p>
      <w:pPr>
        <w:spacing w:after="80" w:before="240"/>
      </w:pPr>
      <w:r>
        <w:rPr>
          <w:rFonts w:ascii="Arial" w:cs="Arial" w:eastAsia="Arial" w:hAnsi="Arial"/>
          <w:b/>
          <w:bCs/>
          <w:color w:val="0E3470"/>
          <w:sz w:val="24"/>
          <w:szCs w:val="24"/>
        </w:rPr>
        <w:t xml:space="preserve">Subscription Additions</w:t>
      </w:r>
    </w:p>
    <w:p>
      <w:pPr>
        <w:spacing w:after="80" w:before="80" w:line="312"/>
        <w:jc w:val="left"/>
      </w:pPr>
      <w:r>
        <w:rPr>
          <w:rFonts w:ascii="Arial" w:cs="Arial" w:eastAsia="Arial" w:hAnsi="Arial"/>
          <w:b w:val="false"/>
          <w:bCs w:val="false"/>
          <w:i w:val="false"/>
          <w:iCs w:val="false"/>
          <w:color w:val="000000"/>
          <w:sz w:val="22"/>
          <w:szCs w:val="22"/>
        </w:rPr>
        <w:t xml:space="preserve">Add as deal volume justifies: Reonomy at $4,800/year, Placer.ai at $5,000-15,000, CreditRiskMonitor at $8,000-15,000, PropertyRadar at $1,200. Monthly review of all AI tools and new market entrants. The LLM itself assesses which tools to add.</w:t>
      </w:r>
    </w:p>
    <w:p>
      <w:pPr>
        <w:spacing w:after="80" w:before="240"/>
      </w:pPr>
      <w:r>
        <w:rPr>
          <w:rFonts w:ascii="Arial" w:cs="Arial" w:eastAsia="Arial" w:hAnsi="Arial"/>
          <w:b/>
          <w:bCs/>
          <w:color w:val="0E3470"/>
          <w:sz w:val="24"/>
          <w:szCs w:val="24"/>
        </w:rPr>
        <w:t xml:space="preserve">Completion Criteria</w:t>
      </w:r>
    </w:p>
    <w:p>
      <w:pPr>
        <w:spacing w:after="80" w:before="80" w:line="312"/>
        <w:jc w:val="left"/>
      </w:pPr>
      <w:r>
        <w:rPr>
          <w:rFonts w:ascii="Arial" w:cs="Arial" w:eastAsia="Arial" w:hAnsi="Arial"/>
          <w:b w:val="false"/>
          <w:bCs w:val="false"/>
          <w:i w:val="false"/>
          <w:iCs w:val="false"/>
          <w:color w:val="000000"/>
          <w:sz w:val="22"/>
          <w:szCs w:val="22"/>
        </w:rPr>
        <w:t xml:space="preserve">All fourteen channels producing deal flow, revenue exceeding $2M annually, team expanded beyond the founding group.</w:t>
      </w:r>
    </w:p>
    <w:p>
      <w:r>
        <w:br w:type="page"/>
      </w:r>
    </w:p>
    <w:p>
      <w:pPr>
        <w:spacing w:after="60" w:before="400"/>
      </w:pPr>
      <w:r>
        <w:rPr>
          <w:rFonts w:ascii="Arial" w:cs="Arial" w:eastAsia="Arial" w:hAnsi="Arial"/>
          <w:b/>
          <w:bCs/>
          <w:color w:val="0E3470"/>
          <w:sz w:val="32"/>
          <w:szCs w:val="32"/>
        </w:rPr>
        <w:t xml:space="preserve">STAGE 5 — CATEGORY OWNERSHIP</w:t>
      </w:r>
    </w:p>
    <w:p>
      <w:pPr>
        <w:pBdr>
          <w:bottom w:val="single" w:color="BC9C45" w:sz="6" w:space="4"/>
        </w:pBdr>
        <w:spacing w:after="200" w:before="200"/>
      </w:pPr>
    </w:p>
    <w:p>
      <w:pPr>
        <w:pBdr>
          <w:left w:val="single" w:color="BC9C45" w:sz="12" w:space="8"/>
        </w:pBdr>
        <w:spacing w:after="120" w:before="60"/>
        <w:ind w:left="360"/>
      </w:pPr>
      <w:r>
        <w:rPr>
          <w:rFonts w:ascii="Arial" w:cs="Arial" w:eastAsia="Arial" w:hAnsi="Arial"/>
          <w:b/>
          <w:bCs/>
          <w:color w:val="BC9C45"/>
          <w:sz w:val="22"/>
          <w:szCs w:val="22"/>
        </w:rPr>
        <w:t xml:space="preserve">Goal: </w:t>
      </w:r>
      <w:r>
        <w:rPr>
          <w:rFonts w:ascii="Arial" w:cs="Arial" w:eastAsia="Arial" w:hAnsi="Arial"/>
          <w:i/>
          <w:iCs/>
          <w:color w:val="000000"/>
          <w:sz w:val="22"/>
          <w:szCs w:val="22"/>
        </w:rPr>
        <w:t xml:space="preserve">Terminal is the recognized institutional standard for CRE deal intelligence. 100+ investor members. International capital flowing. Multiple deals closing simultaneously.</w:t>
      </w:r>
    </w:p>
    <w:p>
      <w:pPr>
        <w:spacing w:after="80" w:before="240"/>
      </w:pPr>
      <w:r>
        <w:rPr>
          <w:rFonts w:ascii="Arial" w:cs="Arial" w:eastAsia="Arial" w:hAnsi="Arial"/>
          <w:b/>
          <w:bCs/>
          <w:color w:val="0E3470"/>
          <w:sz w:val="24"/>
          <w:szCs w:val="24"/>
        </w:rPr>
        <w:t xml:space="preserve">Membership Expansion</w:t>
      </w:r>
    </w:p>
    <w:p>
      <w:pPr>
        <w:spacing w:after="80" w:before="80" w:line="312"/>
        <w:jc w:val="left"/>
      </w:pPr>
      <w:r>
        <w:rPr>
          <w:rFonts w:ascii="Arial" w:cs="Arial" w:eastAsia="Arial" w:hAnsi="Arial"/>
          <w:b w:val="false"/>
          <w:bCs w:val="false"/>
          <w:i w:val="false"/>
          <w:iCs w:val="false"/>
          <w:color w:val="000000"/>
          <w:sz w:val="22"/>
          <w:szCs w:val="22"/>
        </w:rPr>
        <w:t xml:space="preserve">Observer tier: $5,000-10,000/year for market intelligence without co-investment. Associate: $20,000-30,000. Principal Partner: $50,000-75,000 with priority deal allocation and IC seat. Institutional: $100,000+ with custom mandates. 50-100 members producing $500K-$1M+ in annual membership revenue.</w:t>
      </w:r>
    </w:p>
    <w:p>
      <w:pPr>
        <w:spacing w:after="80" w:before="240"/>
      </w:pPr>
      <w:r>
        <w:rPr>
          <w:rFonts w:ascii="Arial" w:cs="Arial" w:eastAsia="Arial" w:hAnsi="Arial"/>
          <w:b/>
          <w:bCs/>
          <w:color w:val="0E3470"/>
          <w:sz w:val="24"/>
          <w:szCs w:val="24"/>
        </w:rPr>
        <w:t xml:space="preserve">The Broker AI Relationship Machine at Maturity</w:t>
      </w:r>
    </w:p>
    <w:p>
      <w:pPr>
        <w:spacing w:after="80" w:before="80" w:line="312"/>
        <w:jc w:val="left"/>
      </w:pPr>
      <w:r>
        <w:rPr>
          <w:rFonts w:ascii="Arial" w:cs="Arial" w:eastAsia="Arial" w:hAnsi="Arial"/>
          <w:b w:val="false"/>
          <w:bCs w:val="false"/>
          <w:i w:val="false"/>
          <w:iCs w:val="false"/>
          <w:color w:val="000000"/>
          <w:sz w:val="22"/>
          <w:szCs w:val="22"/>
        </w:rPr>
        <w:t xml:space="preserve">Every call recorded and transcribed. Every broker's personal details, family information, deal history, and communication style maintained. Auto-generated briefing before every meeting. Gideon appears to remember everything about every broker he has ever spoken with. The machine creates the human touch. When an employee leaves, they lose the machine, not the other way around.</w:t>
      </w:r>
    </w:p>
    <w:p>
      <w:pPr>
        <w:spacing w:after="80" w:before="240"/>
      </w:pPr>
      <w:r>
        <w:rPr>
          <w:rFonts w:ascii="Arial" w:cs="Arial" w:eastAsia="Arial" w:hAnsi="Arial"/>
          <w:b/>
          <w:bCs/>
          <w:color w:val="0E3470"/>
          <w:sz w:val="24"/>
          <w:szCs w:val="24"/>
        </w:rPr>
        <w:t xml:space="preserve">Additional Revenue Streams</w:t>
      </w:r>
    </w:p>
    <w:p>
      <w:pPr>
        <w:spacing w:after="80" w:before="80" w:line="312"/>
        <w:jc w:val="left"/>
      </w:pPr>
      <w:r>
        <w:rPr>
          <w:rFonts w:ascii="Arial" w:cs="Arial" w:eastAsia="Arial" w:hAnsi="Arial"/>
          <w:b w:val="false"/>
          <w:bCs w:val="false"/>
          <w:i w:val="false"/>
          <w:iCs w:val="false"/>
          <w:color w:val="000000"/>
          <w:sz w:val="22"/>
          <w:szCs w:val="22"/>
        </w:rPr>
        <w:t xml:space="preserve">Tax appeal coordination at 30% contingency on savings. Disposition advisory at 1% of exit price. Co-investment vehicles with management fees and carry. Debt placement. Title and escrow affiliate revenue. 1031 exchange matching. Insurance placement. Cost segregation referrals. Total platform revenue potential at maturity: $14.5M-$32.5M/year.</w:t>
      </w:r>
    </w:p>
    <w:p>
      <w:pPr>
        <w:spacing w:after="80" w:before="240"/>
      </w:pPr>
      <w:r>
        <w:rPr>
          <w:rFonts w:ascii="Arial" w:cs="Arial" w:eastAsia="Arial" w:hAnsi="Arial"/>
          <w:b/>
          <w:bCs/>
          <w:color w:val="0E3470"/>
          <w:sz w:val="24"/>
          <w:szCs w:val="24"/>
        </w:rPr>
        <w:t xml:space="preserve">Operation Gateway — International Capital</w:t>
      </w:r>
    </w:p>
    <w:p>
      <w:pPr>
        <w:spacing w:after="80" w:before="80" w:line="312"/>
        <w:jc w:val="left"/>
      </w:pPr>
      <w:r>
        <w:rPr>
          <w:rFonts w:ascii="Arial" w:cs="Arial" w:eastAsia="Arial" w:hAnsi="Arial"/>
          <w:b w:val="false"/>
          <w:bCs w:val="false"/>
          <w:i w:val="false"/>
          <w:iCs w:val="false"/>
          <w:color w:val="000000"/>
          <w:sz w:val="22"/>
          <w:szCs w:val="22"/>
        </w:rPr>
        <w:t xml:space="preserve">The Credibility Stack built layer by layer: sovereign (SelectUSA/ITA), state (EDO partnerships), intellectual (Wharton Zell/Lurie), professional (AFIRE/ULI), ethical (educational foundation). Four corridors: Israel first, Brazil/LatAm second, Gulf States third, Korea fourth.</w:t>
      </w:r>
    </w:p>
    <w:p>
      <w:pPr>
        <w:spacing w:after="80" w:before="240"/>
      </w:pPr>
      <w:r>
        <w:rPr>
          <w:rFonts w:ascii="Arial" w:cs="Arial" w:eastAsia="Arial" w:hAnsi="Arial"/>
          <w:b/>
          <w:bCs/>
          <w:color w:val="0E3470"/>
          <w:sz w:val="24"/>
          <w:szCs w:val="24"/>
        </w:rPr>
        <w:t xml:space="preserve">Fund Structure</w:t>
      </w:r>
    </w:p>
    <w:p>
      <w:pPr>
        <w:spacing w:after="80" w:before="80" w:line="312"/>
        <w:jc w:val="left"/>
      </w:pPr>
      <w:r>
        <w:rPr>
          <w:rFonts w:ascii="Arial" w:cs="Arial" w:eastAsia="Arial" w:hAnsi="Arial"/>
          <w:b w:val="false"/>
          <w:bCs w:val="false"/>
          <w:i w:val="false"/>
          <w:iCs w:val="false"/>
          <w:color w:val="000000"/>
          <w:sz w:val="22"/>
          <w:szCs w:val="22"/>
        </w:rPr>
        <w:t xml:space="preserve">Delaware LP, LLC GP, Reg D 506(c), 7-year term, 1.5% management fee, 20% carry above 8% preferred return, 2-5% GP commitment. First fund: $25M. NPL acquisition fund targeting $5B from Israeli institutional capital across the 2026-2030 maturity wall.</w:t>
      </w:r>
    </w:p>
    <w:p>
      <w:pPr>
        <w:spacing w:after="80" w:before="240"/>
      </w:pPr>
      <w:r>
        <w:rPr>
          <w:rFonts w:ascii="Arial" w:cs="Arial" w:eastAsia="Arial" w:hAnsi="Arial"/>
          <w:b/>
          <w:bCs/>
          <w:color w:val="0E3470"/>
          <w:sz w:val="24"/>
          <w:szCs w:val="24"/>
        </w:rPr>
        <w:t xml:space="preserve">Valuation Division</w:t>
      </w:r>
    </w:p>
    <w:p>
      <w:pPr>
        <w:spacing w:after="80" w:before="80" w:line="312"/>
        <w:jc w:val="left"/>
      </w:pPr>
      <w:r>
        <w:rPr>
          <w:rFonts w:ascii="Arial" w:cs="Arial" w:eastAsia="Arial" w:hAnsi="Arial"/>
          <w:b w:val="false"/>
          <w:bCs w:val="false"/>
          <w:i w:val="false"/>
          <w:iCs w:val="false"/>
          <w:color w:val="000000"/>
          <w:sz w:val="22"/>
          <w:szCs w:val="22"/>
        </w:rPr>
        <w:t xml:space="preserve">Separate brand and website. Property valuations for anyone. Paid reports starting at $7,500 for properties outside Terminal's buy box. Broker recommendation engine analyzing every broker's transaction history, specialization, and closing rate.</w:t>
      </w:r>
    </w:p>
    <w:p>
      <w:pPr>
        <w:spacing w:after="80" w:before="240"/>
      </w:pPr>
      <w:r>
        <w:rPr>
          <w:rFonts w:ascii="Arial" w:cs="Arial" w:eastAsia="Arial" w:hAnsi="Arial"/>
          <w:b/>
          <w:bCs/>
          <w:color w:val="0E3470"/>
          <w:sz w:val="24"/>
          <w:szCs w:val="24"/>
        </w:rPr>
        <w:t xml:space="preserve">Completion Criteria</w:t>
      </w:r>
    </w:p>
    <w:p>
      <w:pPr>
        <w:spacing w:after="80" w:before="80" w:line="312"/>
        <w:jc w:val="left"/>
      </w:pPr>
      <w:r>
        <w:rPr>
          <w:rFonts w:ascii="Arial" w:cs="Arial" w:eastAsia="Arial" w:hAnsi="Arial"/>
          <w:b w:val="false"/>
          <w:bCs w:val="false"/>
          <w:i w:val="false"/>
          <w:iCs w:val="false"/>
          <w:color w:val="000000"/>
          <w:sz w:val="22"/>
          <w:szCs w:val="22"/>
        </w:rPr>
        <w:t xml:space="preserve">Terminal recognized as category leader. Revenue exceeding $10M annually. International capital flowing through the platform.</w:t>
      </w:r>
    </w:p>
    <w:p>
      <w:r>
        <w:br w:type="page"/>
      </w:r>
    </w:p>
    <w:p>
      <w:pPr>
        <w:spacing w:after="60" w:before="400"/>
      </w:pPr>
      <w:r>
        <w:rPr>
          <w:rFonts w:ascii="Arial" w:cs="Arial" w:eastAsia="Arial" w:hAnsi="Arial"/>
          <w:b/>
          <w:bCs/>
          <w:color w:val="0E3470"/>
          <w:sz w:val="32"/>
          <w:szCs w:val="32"/>
        </w:rPr>
        <w:t xml:space="preserve">STAGE 6 — THE BLOOMBERG OF CRE</w:t>
      </w:r>
    </w:p>
    <w:p>
      <w:pPr>
        <w:pBdr>
          <w:bottom w:val="single" w:color="BC9C45" w:sz="6" w:space="4"/>
        </w:pBdr>
        <w:spacing w:after="200" w:before="200"/>
      </w:pPr>
    </w:p>
    <w:p>
      <w:pPr>
        <w:pBdr>
          <w:left w:val="single" w:color="BC9C45" w:sz="12" w:space="8"/>
        </w:pBdr>
        <w:spacing w:after="120" w:before="60"/>
        <w:ind w:left="360"/>
      </w:pPr>
      <w:r>
        <w:rPr>
          <w:rFonts w:ascii="Arial" w:cs="Arial" w:eastAsia="Arial" w:hAnsi="Arial"/>
          <w:b/>
          <w:bCs/>
          <w:color w:val="BC9C45"/>
          <w:sz w:val="22"/>
          <w:szCs w:val="22"/>
        </w:rPr>
        <w:t xml:space="preserve">Goal: </w:t>
      </w:r>
      <w:r>
        <w:rPr>
          <w:rFonts w:ascii="Arial" w:cs="Arial" w:eastAsia="Arial" w:hAnsi="Arial"/>
          <w:i/>
          <w:iCs/>
          <w:color w:val="000000"/>
          <w:sz w:val="22"/>
          <w:szCs w:val="22"/>
        </w:rPr>
        <w:t xml:space="preserve">Terminal is to commercial real estate what Bloomberg is to financial markets. Self-sustaining. Self-learning. Dominant.</w:t>
      </w:r>
    </w:p>
    <w:p>
      <w:pPr>
        <w:spacing w:after="80" w:before="80" w:line="312"/>
        <w:jc w:val="left"/>
      </w:pPr>
      <w:r>
        <w:rPr>
          <w:rFonts w:ascii="Arial" w:cs="Arial" w:eastAsia="Arial" w:hAnsi="Arial"/>
          <w:b w:val="false"/>
          <w:bCs w:val="false"/>
          <w:i w:val="false"/>
          <w:iCs w:val="false"/>
          <w:color w:val="000000"/>
          <w:sz w:val="22"/>
          <w:szCs w:val="22"/>
        </w:rPr>
        <w:t xml:space="preserve">At this point the machine monitors every data source in real time. It identifies distressed opportunities before the owners know they are distressed. It predicts loan defaults before they happen. It generates offers autonomously, calibrated to the specific psychological profile of each counterparty. It handles the entire lifecycle from sourcing through closing through asset management through disposition.</w:t>
      </w:r>
    </w:p>
    <w:p>
      <w:pPr>
        <w:spacing w:after="80" w:before="80" w:line="312"/>
        <w:jc w:val="left"/>
      </w:pPr>
      <w:r>
        <w:rPr>
          <w:rFonts w:ascii="Arial" w:cs="Arial" w:eastAsia="Arial" w:hAnsi="Arial"/>
          <w:b w:val="false"/>
          <w:bCs w:val="false"/>
          <w:i w:val="false"/>
          <w:iCs w:val="false"/>
          <w:color w:val="000000"/>
          <w:sz w:val="22"/>
          <w:szCs w:val="22"/>
        </w:rPr>
        <w:t xml:space="preserve">The investor club is no longer just distressed. Stabilized acquisitions, value-add plays, development deals, credit tenant lease financing, ground leases, portfolio trades. Any deal that touches commercial real estate flows through Terminal.</w:t>
      </w:r>
    </w:p>
    <w:p>
      <w:pPr>
        <w:spacing w:after="80" w:before="80" w:line="312"/>
        <w:jc w:val="left"/>
      </w:pPr>
      <w:r>
        <w:rPr>
          <w:rFonts w:ascii="Arial" w:cs="Arial" w:eastAsia="Arial" w:hAnsi="Arial"/>
          <w:b w:val="false"/>
          <w:bCs w:val="false"/>
          <w:i w:val="false"/>
          <w:iCs w:val="false"/>
          <w:color w:val="000000"/>
          <w:sz w:val="22"/>
          <w:szCs w:val="22"/>
        </w:rPr>
        <w:t xml:space="preserve">Human access becomes the premium service. Lower-tier members operate entirely through AI. Platinum members get direct access to Gideon and the family. The moment you put humans into the system at scale, the system stops being capable. Human access is scarce by design.</w:t>
      </w:r>
    </w:p>
    <w:p>
      <w:pPr>
        <w:spacing w:after="80" w:before="80" w:line="312"/>
        <w:jc w:val="left"/>
      </w:pPr>
      <w:r>
        <w:rPr>
          <w:rFonts w:ascii="Arial" w:cs="Arial" w:eastAsia="Arial" w:hAnsi="Arial"/>
          <w:b w:val="false"/>
          <w:bCs w:val="false"/>
          <w:i w:val="false"/>
          <w:iCs w:val="false"/>
          <w:color w:val="000000"/>
          <w:sz w:val="22"/>
          <w:szCs w:val="22"/>
        </w:rPr>
        <w:t xml:space="preserve">The Apple-style interactive presentation exists. Every button works, every screen is clickable, the vision is tangible. Show investors the future as if it already exists.</w:t>
      </w:r>
    </w:p>
    <w:p>
      <w:pPr>
        <w:spacing w:after="80" w:before="80" w:line="312"/>
        <w:jc w:val="left"/>
      </w:pPr>
      <w:r>
        <w:rPr>
          <w:rFonts w:ascii="Arial" w:cs="Arial" w:eastAsia="Arial" w:hAnsi="Arial"/>
          <w:b w:val="false"/>
          <w:bCs w:val="false"/>
          <w:i w:val="false"/>
          <w:iCs w:val="false"/>
          <w:color w:val="000000"/>
          <w:sz w:val="22"/>
          <w:szCs w:val="22"/>
        </w:rPr>
        <w:t xml:space="preserve">The branded status system places physical items in brokers' offices at three tiers: first touch, active contributor, inner circle. Terminal's brand propagates through physical presence, not advertising.</w:t>
      </w:r>
    </w:p>
    <w:p>
      <w:pPr>
        <w:spacing w:after="80" w:before="80" w:line="312"/>
        <w:jc w:val="left"/>
      </w:pPr>
      <w:r>
        <w:rPr>
          <w:rFonts w:ascii="Arial" w:cs="Arial" w:eastAsia="Arial" w:hAnsi="Arial"/>
          <w:b w:val="false"/>
          <w:bCs w:val="false"/>
          <w:i w:val="false"/>
          <w:iCs w:val="false"/>
          <w:color w:val="000000"/>
          <w:sz w:val="22"/>
          <w:szCs w:val="22"/>
        </w:rPr>
        <w:t xml:space="preserve">Terminal goes public when the time is right.</w:t>
      </w:r>
    </w:p>
    <w:p>
      <w:r>
        <w:br w:type="page"/>
      </w:r>
    </w:p>
    <w:p>
      <w:pPr>
        <w:spacing w:after="120" w:before="360"/>
      </w:pPr>
      <w:r>
        <w:rPr>
          <w:rFonts w:ascii="Arial" w:cs="Arial" w:eastAsia="Arial" w:hAnsi="Arial"/>
          <w:b/>
          <w:bCs/>
          <w:color w:val="0E3470"/>
          <w:sz w:val="28"/>
          <w:szCs w:val="28"/>
        </w:rPr>
        <w:t xml:space="preserve">THREADS THAT RUN THROUGH EVERY STAGE</w:t>
      </w:r>
    </w:p>
    <w:p>
      <w:pPr>
        <w:pBdr>
          <w:bottom w:val="single" w:color="BC9C45" w:sz="6" w:space="4"/>
        </w:pBdr>
        <w:spacing w:after="200" w:before="200"/>
      </w:pPr>
    </w:p>
    <w:p>
      <w:pPr>
        <w:spacing w:after="80" w:before="240"/>
      </w:pPr>
      <w:r>
        <w:rPr>
          <w:rFonts w:ascii="Arial" w:cs="Arial" w:eastAsia="Arial" w:hAnsi="Arial"/>
          <w:b/>
          <w:bCs/>
          <w:color w:val="0E3470"/>
          <w:sz w:val="24"/>
          <w:szCs w:val="24"/>
        </w:rPr>
        <w:t xml:space="preserve">The Constitution</w:t>
      </w:r>
    </w:p>
    <w:p>
      <w:pPr>
        <w:spacing w:after="80" w:before="80" w:line="312"/>
        <w:jc w:val="left"/>
      </w:pPr>
      <w:r>
        <w:rPr>
          <w:rFonts w:ascii="Arial" w:cs="Arial" w:eastAsia="Arial" w:hAnsi="Arial"/>
          <w:b w:val="false"/>
          <w:bCs w:val="false"/>
          <w:i w:val="false"/>
          <w:iCs w:val="false"/>
          <w:color w:val="000000"/>
          <w:sz w:val="22"/>
          <w:szCs w:val="22"/>
        </w:rPr>
        <w:t xml:space="preserve">Terminal's values are honesty, transparency, and ethical business conduct. No kickbacks ever. Every deal fully transparent. Every report honest. Never take vendor markups. All services pass-through at direct cost. Terminal's volume negotiates better rates for members, and the savings flow to the member. Monthly company-wide days where everyone disconnects, shares, and votes on changes. Democratic governance within visionary-led execution.</w:t>
      </w:r>
    </w:p>
    <w:p>
      <w:pPr>
        <w:spacing w:after="80" w:before="240"/>
      </w:pPr>
      <w:r>
        <w:rPr>
          <w:rFonts w:ascii="Arial" w:cs="Arial" w:eastAsia="Arial" w:hAnsi="Arial"/>
          <w:b/>
          <w:bCs/>
          <w:color w:val="0E3470"/>
          <w:sz w:val="24"/>
          <w:szCs w:val="24"/>
        </w:rPr>
        <w:t xml:space="preserve">The Psychology Engine</w:t>
      </w:r>
    </w:p>
    <w:p>
      <w:pPr>
        <w:spacing w:after="80" w:before="80" w:line="312"/>
        <w:jc w:val="left"/>
      </w:pPr>
      <w:r>
        <w:rPr>
          <w:rFonts w:ascii="Arial" w:cs="Arial" w:eastAsia="Arial" w:hAnsi="Arial"/>
          <w:b w:val="false"/>
          <w:bCs w:val="false"/>
          <w:i w:val="false"/>
          <w:iCs w:val="false"/>
          <w:color w:val="000000"/>
          <w:sz w:val="22"/>
          <w:szCs w:val="22"/>
        </w:rPr>
        <w:t xml:space="preserve">Before every external communication, the system identifies the psychological dynamics and counterparty emotional state, selects the relevant frameworks, and produces output where every sentence persuades or informs with zero filler. The psychology is invisible to the counterparty. The twelve sections are the default operating system. When a named counterparty with three or more communications exists, Group 12 activates first for behavioral profiling, then Group 5 for strategy, then Group 7 for execution.</w:t>
      </w:r>
    </w:p>
    <w:p>
      <w:pPr>
        <w:spacing w:after="80" w:before="240"/>
      </w:pPr>
      <w:r>
        <w:rPr>
          <w:rFonts w:ascii="Arial" w:cs="Arial" w:eastAsia="Arial" w:hAnsi="Arial"/>
          <w:b/>
          <w:bCs/>
          <w:color w:val="0E3470"/>
          <w:sz w:val="24"/>
          <w:szCs w:val="24"/>
        </w:rPr>
        <w:t xml:space="preserve">The Brand</w:t>
      </w:r>
    </w:p>
    <w:p>
      <w:pPr>
        <w:spacing w:after="80" w:before="80" w:line="312"/>
        <w:jc w:val="left"/>
      </w:pPr>
      <w:r>
        <w:rPr>
          <w:rFonts w:ascii="Arial" w:cs="Arial" w:eastAsia="Arial" w:hAnsi="Arial"/>
          <w:b w:val="false"/>
          <w:bCs w:val="false"/>
          <w:i w:val="false"/>
          <w:iCs w:val="false"/>
          <w:color w:val="000000"/>
          <w:sz w:val="22"/>
          <w:szCs w:val="22"/>
        </w:rPr>
        <w:t xml:space="preserve">Navy and gold. Blackstone-level precision. Institutional but warm. "Our research team." "Our analysts." "Institutional-grade research capabilities." The word AI never appears on any document, any report, any portal, any communication. This rule is permanent.</w:t>
      </w:r>
    </w:p>
    <w:p>
      <w:pPr>
        <w:spacing w:after="80" w:before="240"/>
      </w:pPr>
      <w:r>
        <w:rPr>
          <w:rFonts w:ascii="Arial" w:cs="Arial" w:eastAsia="Arial" w:hAnsi="Arial"/>
          <w:b/>
          <w:bCs/>
          <w:color w:val="0E3470"/>
          <w:sz w:val="24"/>
          <w:szCs w:val="24"/>
        </w:rPr>
        <w:t xml:space="preserve">The Moat</w:t>
      </w:r>
    </w:p>
    <w:p>
      <w:pPr>
        <w:spacing w:after="80" w:before="80" w:line="312"/>
        <w:jc w:val="left"/>
      </w:pPr>
      <w:r>
        <w:rPr>
          <w:rFonts w:ascii="Arial" w:cs="Arial" w:eastAsia="Arial" w:hAnsi="Arial"/>
          <w:b w:val="false"/>
          <w:bCs w:val="false"/>
          <w:i w:val="false"/>
          <w:iCs w:val="false"/>
          <w:color w:val="000000"/>
          <w:sz w:val="22"/>
          <w:szCs w:val="22"/>
        </w:rPr>
        <w:t xml:space="preserve">Three layers. First, Gideon's thirty-year broker network — irreplaceable relationships built on trust that money cannot buy. Second, AI automation combined with those relationships — no competitor has both simultaneously. Third, the competitive landscape has thinned: Cadre acquired, CrowdStreet damaged, Roofstock collapsed. No dedicated distressed CRE deal-sourcing platform exists. Terminal fills a vacuum.</w:t>
      </w:r>
    </w:p>
    <w:p>
      <w:pPr>
        <w:spacing w:after="80" w:before="240"/>
      </w:pPr>
      <w:r>
        <w:rPr>
          <w:rFonts w:ascii="Arial" w:cs="Arial" w:eastAsia="Arial" w:hAnsi="Arial"/>
          <w:b/>
          <w:bCs/>
          <w:color w:val="0E3470"/>
          <w:sz w:val="24"/>
          <w:szCs w:val="24"/>
        </w:rPr>
        <w:t xml:space="preserve">The Security Architecture</w:t>
      </w:r>
    </w:p>
    <w:p>
      <w:pPr>
        <w:spacing w:after="80" w:before="80" w:line="312"/>
        <w:jc w:val="left"/>
      </w:pPr>
      <w:r>
        <w:rPr>
          <w:rFonts w:ascii="Arial" w:cs="Arial" w:eastAsia="Arial" w:hAnsi="Arial"/>
          <w:b w:val="false"/>
          <w:bCs w:val="false"/>
          <w:i w:val="false"/>
          <w:iCs w:val="false"/>
          <w:color w:val="000000"/>
          <w:sz w:val="22"/>
          <w:szCs w:val="22"/>
        </w:rPr>
        <w:t xml:space="preserve">Two-layer system. Client portal on one URL, internal engine on another. Only the family has access to the full system. Every person who touches any component is compartmentalized. No single person can reconstruct the machine independently. PIIA, NDA, and non-solicitation before day one. Phantom equity vesting on a back-weighted schedule that makes leaving increasingly irrational. Betrayal prevention through architecture, not trust.</w:t>
      </w:r>
    </w:p>
    <w:p>
      <w:pPr>
        <w:spacing w:after="80" w:before="240"/>
      </w:pPr>
      <w:r>
        <w:rPr>
          <w:rFonts w:ascii="Arial" w:cs="Arial" w:eastAsia="Arial" w:hAnsi="Arial"/>
          <w:b/>
          <w:bCs/>
          <w:color w:val="0E3470"/>
          <w:sz w:val="24"/>
          <w:szCs w:val="24"/>
        </w:rPr>
        <w:t xml:space="preserve">Cycle Independence</w:t>
      </w:r>
    </w:p>
    <w:p>
      <w:pPr>
        <w:spacing w:after="80" w:before="80" w:line="312"/>
        <w:jc w:val="left"/>
      </w:pPr>
      <w:r>
        <w:rPr>
          <w:rFonts w:ascii="Arial" w:cs="Arial" w:eastAsia="Arial" w:hAnsi="Arial"/>
          <w:b w:val="false"/>
          <w:bCs w:val="false"/>
          <w:i w:val="false"/>
          <w:iCs w:val="false"/>
          <w:color w:val="000000"/>
          <w:sz w:val="22"/>
          <w:szCs w:val="22"/>
        </w:rPr>
        <w:t xml:space="preserve">The maturity wall is the entry window — $2T+ in CRE debt maturing 2025-2028. This creates enormous immediate deal flow. But Terminal is not the maturity wall. Terminal operates in all market conditions, all cycles. Start with the distressed edge because that is where the immediate money is. Build for thirty years across all cycles.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9C45" w:sz="3" w:space="4"/>
      </w:pBdr>
      <w:tabs>
        <w:tab w:val="right" w:pos="9360"/>
      </w:tabs>
      <w:spacing w:before="0"/>
    </w:pPr>
    <w:r>
      <w:rPr>
        <w:rFonts w:ascii="Arial" w:cs="Arial" w:eastAsia="Arial" w:hAnsi="Arial"/>
        <w:color w:val="666666"/>
        <w:sz w:val="14"/>
        <w:szCs w:val="14"/>
      </w:rPr>
      <w:t xml:space="preserve">RePrime Group  |  Confidential</w:t>
    </w:r>
    <w:r>
      <w:t xml:space="preserve">	</w:t>
    </w:r>
    <w:r>
      <w:rPr>
        <w:rFonts w:ascii="Arial" w:cs="Arial" w:eastAsia="Arial" w:hAnsi="Arial"/>
        <w:color w:val="0E3470"/>
        <w:sz w:val="14"/>
        <w:szCs w:val="14"/>
      </w:rPr>
      <w:t xml:space="preserve">reprime.com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9C45" w:sz="3" w:space="4"/>
      </w:pBdr>
      <w:tabs>
        <w:tab w:val="right" w:pos="9360"/>
      </w:tabs>
      <w:spacing w:after="0"/>
    </w:pPr>
    <w:r>
      <w:rPr>
        <w:rFonts w:ascii="Arial" w:cs="Arial" w:eastAsia="Arial" w:hAnsi="Arial"/>
        <w:b/>
        <w:bCs/>
        <w:color w:val="0E3470"/>
        <w:sz w:val="16"/>
        <w:szCs w:val="16"/>
      </w:rPr>
      <w:t xml:space="preserve">REPRIME TERMINAL</w:t>
    </w:r>
    <w:r>
      <w:t xml:space="preserve">	</w:t>
    </w:r>
    <w:r>
      <w:rPr>
        <w:rFonts w:ascii="Arial" w:cs="Arial" w:eastAsia="Arial" w:hAnsi="Arial"/>
        <w:color w:val="BC9C45"/>
        <w:sz w:val="16"/>
        <w:szCs w:val="16"/>
      </w:rPr>
      <w:t xml:space="preserve">THE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419e2fd74ad294bbeee3fbac1cb19fdfe33d4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2026-03-22T21:12:21.831Z</dcterms:created>
  <dcterms:modified xsi:type="dcterms:W3CDTF">2026-03-22T21:12:21.832Z</dcterms:modified>
</cp:coreProperties>
</file>

<file path=docProps/custom.xml><?xml version="1.0" encoding="utf-8"?>
<Properties xmlns="http://schemas.openxmlformats.org/officeDocument/2006/custom-properties" xmlns:vt="http://schemas.openxmlformats.org/officeDocument/2006/docPropsVTypes"/>
</file>