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0E3470"/>
          <w:sz w:val="48"/>
          <w:szCs w:val="48"/>
        </w:rPr>
        <w:t xml:space="preserve">REPRIME TERMINAL</w:t>
      </w:r>
    </w:p>
    <w:p>
      <w:pPr>
        <w:spacing w:after="0" w:before="120"/>
        <w:jc w:val="center"/>
      </w:pPr>
      <w:r>
        <w:rPr>
          <w:rFonts w:ascii="Arial" w:cs="Arial" w:eastAsia="Arial" w:hAnsi="Arial"/>
          <w:b/>
          <w:bCs/>
          <w:color w:val="BC9C45"/>
          <w:sz w:val="32"/>
          <w:szCs w:val="32"/>
        </w:rPr>
        <w:t xml:space="preserve">COMPREHENSIVE STATUS REPORT</w:t>
      </w:r>
    </w:p>
    <w:p>
      <w:pPr>
        <w:pBdr>
          <w:bottom w:val="single" w:color="BC9C45" w:sz="6" w:space="4"/>
        </w:pBdr>
        <w:spacing w:after="160" w:before="160"/>
      </w:pPr>
    </w:p>
    <w:p>
      <w:pPr>
        <w:spacing w:after="60" w:before="200"/>
        <w:jc w:val="center"/>
      </w:pPr>
      <w:r>
        <w:rPr>
          <w:rFonts w:ascii="Arial" w:cs="Arial" w:eastAsia="Arial" w:hAnsi="Arial"/>
          <w:i/>
          <w:iCs/>
          <w:color w:val="666666"/>
          <w:sz w:val="20"/>
          <w:szCs w:val="20"/>
        </w:rPr>
        <w:t xml:space="preserve">Internal Document — Full Project History, Decisions, Debates, and Open Items</w:t>
      </w:r>
    </w:p>
    <w:p>
      <w:pPr>
        <w:jc w:val="center"/>
      </w:pPr>
      <w:r>
        <w:rPr>
          <w:rFonts w:ascii="Arial" w:cs="Arial" w:eastAsia="Arial" w:hAnsi="Arial"/>
          <w:color w:val="666666"/>
          <w:sz w:val="20"/>
          <w:szCs w:val="20"/>
        </w:rPr>
        <w:t xml:space="preserve">Assembled from 12 Source Extractions Spanning 60+ Conversations</w:t>
      </w:r>
    </w:p>
    <w:p>
      <w:pPr>
        <w:jc w:val="center"/>
      </w:pPr>
      <w:r>
        <w:rPr>
          <w:rFonts w:ascii="Arial" w:cs="Arial" w:eastAsia="Arial" w:hAnsi="Arial"/>
          <w:color w:val="666666"/>
          <w:sz w:val="20"/>
          <w:szCs w:val="20"/>
        </w:rPr>
        <w:t xml:space="preserve">February 4 — March 22, 2026</w:t>
      </w:r>
    </w:p>
    <w:p>
      <w:pPr>
        <w:spacing w:after="0" w:before="300"/>
      </w:pPr>
    </w:p>
    <w:p>
      <w:pPr>
        <w:jc w:val="center"/>
      </w:pPr>
      <w:r>
        <w:rPr>
          <w:rFonts w:ascii="Arial" w:cs="Arial" w:eastAsia="Arial" w:hAnsi="Arial"/>
          <w:b/>
          <w:bCs/>
          <w:color w:val="CC0000"/>
          <w:sz w:val="18"/>
          <w:szCs w:val="18"/>
        </w:rPr>
        <w:t xml:space="preserve">CONFIDENTIAL — FAMILY ONLY</w:t>
      </w:r>
    </w:p>
    <w:p>
      <w:r>
        <w:br w:type="page"/>
      </w:r>
    </w:p>
    <w:p>
      <w:pPr>
        <w:spacing w:after="100" w:before="400"/>
      </w:pPr>
      <w:r>
        <w:rPr>
          <w:rFonts w:ascii="Arial" w:cs="Arial" w:eastAsia="Arial" w:hAnsi="Arial"/>
          <w:b/>
          <w:bCs/>
          <w:color w:val="0E3470"/>
          <w:sz w:val="28"/>
          <w:szCs w:val="28"/>
        </w:rPr>
        <w:t xml:space="preserve">1. WHAT THIS DOCUMENT IS</w:t>
      </w:r>
    </w:p>
    <w:p>
      <w:pPr>
        <w:pBdr>
          <w:bottom w:val="single" w:color="BC9C45" w:sz="6" w:space="4"/>
        </w:pBdr>
        <w:spacing w:after="160" w:before="160"/>
      </w:pPr>
    </w:p>
    <w:p>
      <w:pPr>
        <w:spacing w:after="60" w:before="60" w:line="300"/>
        <w:jc w:val="left"/>
      </w:pPr>
      <w:r>
        <w:rPr>
          <w:rFonts w:ascii="Arial" w:cs="Arial" w:eastAsia="Arial" w:hAnsi="Arial"/>
          <w:b w:val="false"/>
          <w:bCs w:val="false"/>
          <w:i w:val="false"/>
          <w:iCs w:val="false"/>
          <w:color w:val="000000"/>
          <w:sz w:val="21"/>
          <w:szCs w:val="21"/>
        </w:rPr>
        <w:t xml:space="preserve">This is the complete internal history of the RePrime Terminal project as it stands on March 22, 2026. It is written for the internal team — Gideon, Shirel, Steve, Adir, and Mushka — to understand exactly where every workstream is, what decisions were made, what debates happened and how they resolved, what was started and never finished, what was researched and never built, and what contradictions exist between different conversations that were never reconciled.</w:t>
      </w:r>
    </w:p>
    <w:p>
      <w:pPr>
        <w:spacing w:after="60" w:before="60" w:line="300"/>
        <w:jc w:val="left"/>
      </w:pPr>
      <w:r>
        <w:rPr>
          <w:rFonts w:ascii="Arial" w:cs="Arial" w:eastAsia="Arial" w:hAnsi="Arial"/>
          <w:b w:val="false"/>
          <w:bCs w:val="false"/>
          <w:i w:val="false"/>
          <w:iCs w:val="false"/>
          <w:color w:val="000000"/>
          <w:sz w:val="21"/>
          <w:szCs w:val="21"/>
        </w:rPr>
        <w:t xml:space="preserve">This document was assembled from twelve complete project extractions covering every Claude project that touched Terminal: the Psychology Engine project, the Terminal Building project, the Deal Room, Operation Gateway, the Investor Portal, the Email and Outreach Systems project, and several cross-project briefings. It draws on summaries of sixty-plus conversations spanning seven weeks of intensive development. It includes every live deal that was worked, every research paper that was produced, every board debate that was conducted, and every correction Gideon made along the way.</w:t>
      </w:r>
    </w:p>
    <w:p>
      <w:pPr>
        <w:spacing w:after="60" w:before="60" w:line="300"/>
        <w:jc w:val="left"/>
      </w:pPr>
      <w:r>
        <w:rPr>
          <w:rFonts w:ascii="Arial" w:cs="Arial" w:eastAsia="Arial" w:hAnsi="Arial"/>
          <w:b w:val="false"/>
          <w:bCs w:val="false"/>
          <w:i w:val="false"/>
          <w:iCs w:val="false"/>
          <w:color w:val="000000"/>
          <w:sz w:val="21"/>
          <w:szCs w:val="21"/>
        </w:rPr>
        <w:t xml:space="preserve">Nothing in this document is opinion. Everything is documented fact from the project record. Where something was decided, it says so. Where something was debated and left open, it says so. Where something was started and abandoned, it says so. Where two different conversations reached contradictory conclusions, both are presented.</w:t>
      </w:r>
    </w:p>
    <w:p>
      <w:r>
        <w:br w:type="page"/>
      </w:r>
    </w:p>
    <w:p>
      <w:pPr>
        <w:spacing w:after="100" w:before="400"/>
      </w:pPr>
      <w:r>
        <w:rPr>
          <w:rFonts w:ascii="Arial" w:cs="Arial" w:eastAsia="Arial" w:hAnsi="Arial"/>
          <w:b/>
          <w:bCs/>
          <w:color w:val="0E3470"/>
          <w:sz w:val="28"/>
          <w:szCs w:val="28"/>
        </w:rPr>
        <w:t xml:space="preserve">2. THE DEAL PSYCHOLOGY AND PERSUASION ENGINE</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What It Is</w:t>
      </w:r>
    </w:p>
    <w:p>
      <w:pPr>
        <w:spacing w:after="60" w:before="60" w:line="300"/>
        <w:jc w:val="left"/>
      </w:pPr>
      <w:r>
        <w:rPr>
          <w:rFonts w:ascii="Arial" w:cs="Arial" w:eastAsia="Arial" w:hAnsi="Arial"/>
          <w:b w:val="false"/>
          <w:bCs w:val="false"/>
          <w:i w:val="false"/>
          <w:iCs w:val="false"/>
          <w:color w:val="000000"/>
          <w:sz w:val="21"/>
          <w:szCs w:val="21"/>
        </w:rPr>
        <w:t xml:space="preserve">The Deal Psychology Engine is the intellectual core of Terminal. It is twelve sections of primary behavioral science research, organized into six paired documents, totaling over 116 pages. Every claim is sourced to peer-reviewed studies with quantified effect sizes. Every recommendation is classified into one of three tiers: Validated (with published effect size), Practitioner Framework (widely used but never tested in controlled study), and Intuition (anecdotal only). The Engine is described in the project instructions not as optional suggestions but as the default operating system for all Terminal output.</w:t>
      </w:r>
    </w:p>
    <w:p>
      <w:pPr>
        <w:spacing w:after="80" w:before="280"/>
      </w:pPr>
      <w:r>
        <w:rPr>
          <w:rFonts w:ascii="Arial" w:cs="Arial" w:eastAsia="Arial" w:hAnsi="Arial"/>
          <w:b/>
          <w:bCs/>
          <w:color w:val="0E3470"/>
          <w:sz w:val="24"/>
          <w:szCs w:val="24"/>
        </w:rPr>
        <w:t xml:space="preserve">How It Was Built</w:t>
      </w:r>
    </w:p>
    <w:p>
      <w:pPr>
        <w:spacing w:after="60" w:before="60" w:line="300"/>
        <w:jc w:val="left"/>
      </w:pPr>
      <w:r>
        <w:rPr>
          <w:rFonts w:ascii="Arial" w:cs="Arial" w:eastAsia="Arial" w:hAnsi="Arial"/>
          <w:b w:val="false"/>
          <w:bCs w:val="false"/>
          <w:i w:val="false"/>
          <w:iCs w:val="false"/>
          <w:color w:val="000000"/>
          <w:sz w:val="21"/>
          <w:szCs w:val="21"/>
        </w:rPr>
        <w:t xml:space="preserve">The Engine was constructed through six sequential research and build sessions on February 5, 2026. Each session followed a disciplined methodology: deep research phase using primary academic sources, research supplement to fill gaps, a build prompt specifying exact deliverable requirements, and section construction using only verified findings. The research board — initially 27 members, later expanded to 113 — contributed findings from their specific domains for each section.</w:t>
      </w:r>
    </w:p>
    <w:p>
      <w:pPr>
        <w:spacing w:after="80" w:before="280"/>
      </w:pPr>
      <w:r>
        <w:rPr>
          <w:rFonts w:ascii="Arial" w:cs="Arial" w:eastAsia="Arial" w:hAnsi="Arial"/>
          <w:b/>
          <w:bCs/>
          <w:color w:val="0E3470"/>
          <w:sz w:val="24"/>
          <w:szCs w:val="24"/>
        </w:rPr>
        <w:t xml:space="preserve">The Twelve Sections — Summary of What Each Contains</w:t>
      </w:r>
    </w:p>
    <w:p>
      <w:pPr>
        <w:spacing w:after="60" w:before="200"/>
      </w:pPr>
      <w:r>
        <w:rPr>
          <w:rFonts w:ascii="Arial" w:cs="Arial" w:eastAsia="Arial" w:hAnsi="Arial"/>
          <w:b/>
          <w:bCs/>
          <w:color w:val="0E3470"/>
          <w:sz w:val="22"/>
          <w:szCs w:val="22"/>
        </w:rPr>
        <w:t xml:space="preserve">Sections 1 and 2: First Contact Psychology and Word-Level Persuasion</w:t>
      </w:r>
    </w:p>
    <w:p>
      <w:pPr>
        <w:spacing w:after="60" w:before="60" w:line="300"/>
        <w:jc w:val="left"/>
      </w:pPr>
      <w:r>
        <w:rPr>
          <w:rFonts w:ascii="Arial" w:cs="Arial" w:eastAsia="Arial" w:hAnsi="Arial"/>
          <w:b w:val="false"/>
          <w:bCs w:val="false"/>
          <w:i w:val="false"/>
          <w:iCs w:val="false"/>
          <w:color w:val="000000"/>
          <w:sz w:val="21"/>
          <w:szCs w:val="21"/>
        </w:rPr>
        <w:t xml:space="preserve">These sections cover how counterparties form initial judgments about RePrime from first contact. Key validated findings include: first impressions form in 100 milliseconds with r=0.73 correlation to extended judgments (Willis and Todorov 2006); warmth accounts for 82% of variance in first-impression evaluation and is judged before competence (Fiske, Cuddy, Glick 2002); Cialdini's pre-suasion technique raises compliance from 29% to 77%; reciprocity power disappears after approximately one week (Burger 1997), meaning asks must be timed within days of providing value; precise numbers like $4,237,500 generate counteroffers $744 closer to anchor than round numbers (Mason 2013, d=0.57); loss framing is 2-2.5 times more motivating than equivalent gains (Kahneman and Tversky, lambda approximately 2.0 from Brown et al. 2024 meta-analysis of 607 estimates); and affect labeling — naming the counterparty's emotion — reduces amygdala response with d=0.79-1.22 (Lieberman 2007 fMRI). Several frameworks were explicitly downgraded: Schwartz's 5 Awareness Levels was classified as unvalidated (useful conceptually but never academically tested), Ogilvy's 5x headline rule was classified as observational only, and Klaff's "croc brain" theory was classified as discredited because it relies on MacLean's refuted triune brain model.</w:t>
      </w:r>
    </w:p>
    <w:p>
      <w:pPr>
        <w:spacing w:after="60" w:before="200"/>
      </w:pPr>
      <w:r>
        <w:rPr>
          <w:rFonts w:ascii="Arial" w:cs="Arial" w:eastAsia="Arial" w:hAnsi="Arial"/>
          <w:b/>
          <w:bCs/>
          <w:color w:val="0E3470"/>
          <w:sz w:val="22"/>
          <w:szCs w:val="22"/>
        </w:rPr>
        <w:t xml:space="preserve">Sections 3 and 4: Document Architecture and Visual Design</w:t>
      </w:r>
    </w:p>
    <w:p>
      <w:pPr>
        <w:spacing w:after="60" w:before="60" w:line="300"/>
        <w:jc w:val="left"/>
      </w:pPr>
      <w:r>
        <w:rPr>
          <w:rFonts w:ascii="Arial" w:cs="Arial" w:eastAsia="Arial" w:hAnsi="Arial"/>
          <w:b w:val="false"/>
          <w:bCs w:val="false"/>
          <w:i w:val="false"/>
          <w:iCs w:val="false"/>
          <w:color w:val="000000"/>
          <w:sz w:val="21"/>
          <w:szCs w:val="21"/>
        </w:rPr>
        <w:t xml:space="preserve">These sections govern how to structure documents so the reader's cognitive journey produces the desired conclusion. The peak-end rule (r=0.58, Alaybek meta-analysis, 174 effect sizes, 112 studies) means people evaluate documents by their strongest moment and their ending, not the average — so the last section of any LOI disproportionately shapes how the entire document is remembered. Anderson's averaging principle (F=258.03, p&lt;.0001) proves people average attributes rather than add them, which means adding weak property features to strong ones dilutes the overall evaluation. This produced the 3-Feature Maximum Rule: present only the three strongest arguments. F-pattern scanning was identified as an indicator of poor design, not best practice — the layer-cake pattern (scanning headings) is most effective. Approximately 40% of commonly cited design claims were found to lack empirical support. Tufte's data-ink ratio was classified as partially supported: higher data-ink is faster for data extraction, but embellished charts produce better long-term recall.</w:t>
      </w:r>
    </w:p>
    <w:p>
      <w:pPr>
        <w:spacing w:after="60" w:before="200"/>
      </w:pPr>
      <w:r>
        <w:rPr>
          <w:rFonts w:ascii="Arial" w:cs="Arial" w:eastAsia="Arial" w:hAnsi="Arial"/>
          <w:b/>
          <w:bCs/>
          <w:color w:val="0E3470"/>
          <w:sz w:val="22"/>
          <w:szCs w:val="22"/>
        </w:rPr>
        <w:t xml:space="preserve">Sections 5 and 6: LOI Formats and Negotiation Psychology</w:t>
      </w:r>
    </w:p>
    <w:p>
      <w:pPr>
        <w:spacing w:after="60" w:before="60" w:line="300"/>
        <w:jc w:val="left"/>
      </w:pPr>
      <w:r>
        <w:rPr>
          <w:rFonts w:ascii="Arial" w:cs="Arial" w:eastAsia="Arial" w:hAnsi="Arial"/>
          <w:b w:val="false"/>
          <w:bCs w:val="false"/>
          <w:i w:val="false"/>
          <w:iCs w:val="false"/>
          <w:color w:val="000000"/>
          <w:sz w:val="21"/>
          <w:szCs w:val="21"/>
        </w:rPr>
        <w:t xml:space="preserve">These sections define three distinct LOI formats. Format 1 is the Buyer Report — drives price down through negative positioning, uses loss framing, aggressive anchoring, and stealing thunder. Format 2 is the GP/Flip Report — attracts capital partners through opportunity-led positioning with honest negatives for credibility. Format 3 is the Full Analysis — comprehensive and balanced for institutional counterparties. A critical correction was applied to these sections after the original build had the format definitions wrong. The corrected version is in the file Deal_Psychology_Sections_5_6_Corrected.docx.</w:t>
      </w:r>
    </w:p>
    <w:p>
      <w:pPr>
        <w:spacing w:after="60" w:before="60" w:line="300"/>
        <w:jc w:val="left"/>
      </w:pPr>
      <w:r>
        <w:rPr>
          <w:rFonts w:ascii="Arial" w:cs="Arial" w:eastAsia="Arial" w:hAnsi="Arial"/>
          <w:b w:val="false"/>
          <w:bCs w:val="false"/>
          <w:i w:val="false"/>
          <w:iCs w:val="false"/>
          <w:color w:val="000000"/>
          <w:sz w:val="21"/>
          <w:szCs w:val="21"/>
        </w:rPr>
        <w:t xml:space="preserve">Key negotiation findings include: first offers predict 85% of final prices (Galinsky and Mussweiler, r=0.85); sellers facing losses mark up asking prices 25-35% above expected (Genesove and Mayer 2001); two-sided messaging with refutation is approximately 20% more persuasive than one-sided (Allen 1991 meta-analysis); stealing thunder reduces negative information impact by approximately 50%; and decreasing concessions produce better outcomes (Tey et al. 2021, d=0.42).</w:t>
      </w:r>
    </w:p>
    <w:p>
      <w:pPr>
        <w:spacing w:after="60" w:before="60" w:line="300"/>
        <w:jc w:val="left"/>
      </w:pPr>
      <w:r>
        <w:rPr>
          <w:rFonts w:ascii="Arial" w:cs="Arial" w:eastAsia="Arial" w:hAnsi="Arial"/>
          <w:b w:val="false"/>
          <w:bCs w:val="false"/>
          <w:i w:val="false"/>
          <w:iCs w:val="false"/>
          <w:color w:val="000000"/>
          <w:sz w:val="21"/>
          <w:szCs w:val="21"/>
        </w:rPr>
        <w:t xml:space="preserve">Three permanent LOI rules were established during live deals: when seller financing is involved, lead with total consideration as the headline anchor; note terms always in months, never years; and the $50,000 deposit via Bruce Smoler and First American Title is standard language in every LOI.</w:t>
      </w:r>
    </w:p>
    <w:p>
      <w:pPr>
        <w:spacing w:after="60" w:before="200"/>
      </w:pPr>
      <w:r>
        <w:rPr>
          <w:rFonts w:ascii="Arial" w:cs="Arial" w:eastAsia="Arial" w:hAnsi="Arial"/>
          <w:b/>
          <w:bCs/>
          <w:color w:val="0E3470"/>
          <w:sz w:val="22"/>
          <w:szCs w:val="22"/>
        </w:rPr>
        <w:t xml:space="preserve">Sections 7 and 8: Email Templates and Objection Handling</w:t>
      </w:r>
    </w:p>
    <w:p>
      <w:pPr>
        <w:spacing w:after="60" w:before="60" w:line="300"/>
        <w:jc w:val="left"/>
      </w:pPr>
      <w:r>
        <w:rPr>
          <w:rFonts w:ascii="Arial" w:cs="Arial" w:eastAsia="Arial" w:hAnsi="Arial"/>
          <w:b w:val="false"/>
          <w:bCs w:val="false"/>
          <w:i w:val="false"/>
          <w:iCs w:val="false"/>
          <w:color w:val="000000"/>
          <w:sz w:val="21"/>
          <w:szCs w:val="21"/>
        </w:rPr>
        <w:t xml:space="preserve">Cold email optimal length is 20-39 words (Hunter.io analysis of 34 million cold emails, 4.5% reply rate). Warm email optimal length is 75-100 words (Boomerang 40 million email study, 51% response). Third-grade reading level produces 36% lift over college-level writing. P.S. lines are read by 79-90% of recipients before the body (Vogele eye-tracking research from decades of direct mail testing). Single CTA produces 371% more clicks than multiple CTAs. Follow-up timing: 3-day wait produces 31% increase versus immediate; next-day follow-up decreases response by 11%. Stop at two follow-ups — third triggers 30% response drop plus spam risk. Six objection playbooks were built covering price, timing, authority, competition, trust, and process. The widely-used "Feel, Felt, Found" technique was classified as having zero empirical validation.</w:t>
      </w:r>
    </w:p>
    <w:p>
      <w:pPr>
        <w:spacing w:after="60" w:before="200"/>
      </w:pPr>
      <w:r>
        <w:rPr>
          <w:rFonts w:ascii="Arial" w:cs="Arial" w:eastAsia="Arial" w:hAnsi="Arial"/>
          <w:b/>
          <w:bCs/>
          <w:color w:val="0E3470"/>
          <w:sz w:val="22"/>
          <w:szCs w:val="22"/>
        </w:rPr>
        <w:t xml:space="preserve">Sections 9 and 10: Counterparty Psychology and Behavioral Intelligence</w:t>
      </w:r>
    </w:p>
    <w:p>
      <w:pPr>
        <w:spacing w:after="60" w:before="60" w:line="300"/>
        <w:jc w:val="left"/>
      </w:pPr>
      <w:r>
        <w:rPr>
          <w:rFonts w:ascii="Arial" w:cs="Arial" w:eastAsia="Arial" w:hAnsi="Arial"/>
          <w:b w:val="false"/>
          <w:bCs w:val="false"/>
          <w:i w:val="false"/>
          <w:iCs w:val="false"/>
          <w:color w:val="000000"/>
          <w:sz w:val="21"/>
          <w:szCs w:val="21"/>
        </w:rPr>
        <w:t xml:space="preserve">Version 2 of these sections was produced after Gideon pushed back on the first version as insufficient. The key framework is the mandatory Group 12 activation: when a named counterparty with three or more communications exists, Group 12 (Counterparty Profiling using Navarro and Douglas FBI BAU methodology) must activate first, followed by Group 5 (Negotiation Strategy), then Group 7 (Execution). Stress biology research shows a 69% cortisol increase produces a 44% drop in certainty equivalent values (Kandasamy 2014) — stressed counterparties make objectively worse economic decisions. Group polarization (d=0.50-0.80) means deliberation amplifies pre-existing tendency, so favorable priors must be created before any board or committee meets.</w:t>
      </w:r>
    </w:p>
    <w:p>
      <w:pPr>
        <w:spacing w:after="60" w:before="200"/>
      </w:pPr>
      <w:r>
        <w:rPr>
          <w:rFonts w:ascii="Arial" w:cs="Arial" w:eastAsia="Arial" w:hAnsi="Arial"/>
          <w:b/>
          <w:bCs/>
          <w:color w:val="0E3470"/>
          <w:sz w:val="22"/>
          <w:szCs w:val="22"/>
        </w:rPr>
        <w:t xml:space="preserve">Sections 11 and 12: Investor Relations and Relationship Management</w:t>
      </w:r>
    </w:p>
    <w:p>
      <w:pPr>
        <w:spacing w:after="60" w:before="60" w:line="300"/>
        <w:jc w:val="left"/>
      </w:pPr>
      <w:r>
        <w:rPr>
          <w:rFonts w:ascii="Arial" w:cs="Arial" w:eastAsia="Arial" w:hAnsi="Arial"/>
          <w:b w:val="false"/>
          <w:bCs w:val="false"/>
          <w:i w:val="false"/>
          <w:iCs w:val="false"/>
          <w:color w:val="000000"/>
          <w:sz w:val="21"/>
          <w:szCs w:val="21"/>
        </w:rPr>
        <w:t xml:space="preserve">The ABI Trust Model identifies three components of trust: Ability (r=0.67), Benevolence (r=0.63), and Integrity (r=0.62). Strongest unique predictor is Ability. Practical implication: demonstrate domain competence first, but establish warm intent before demonstrating expertise. Reciprocity protocols for investors require sharing proprietary deal flow data or market analysis before asking for commitments. Relationship maintenance uses the mere exposure effect (r=0.26) — systematic contact at calibrated intervals maintains favorable disposition.</w:t>
      </w:r>
    </w:p>
    <w:p>
      <w:pPr>
        <w:spacing w:after="80" w:before="280"/>
      </w:pPr>
      <w:r>
        <w:rPr>
          <w:rFonts w:ascii="Arial" w:cs="Arial" w:eastAsia="Arial" w:hAnsi="Arial"/>
          <w:b/>
          <w:bCs/>
          <w:color w:val="0E3470"/>
          <w:sz w:val="24"/>
          <w:szCs w:val="24"/>
        </w:rPr>
        <w:t xml:space="preserve">What Is Finalized</w:t>
      </w:r>
    </w:p>
    <w:p>
      <w:pPr>
        <w:spacing w:after="60" w:before="60" w:line="300"/>
        <w:jc w:val="left"/>
      </w:pPr>
      <w:r>
        <w:rPr>
          <w:rFonts w:ascii="Arial" w:cs="Arial" w:eastAsia="Arial" w:hAnsi="Arial"/>
          <w:b w:val="false"/>
          <w:bCs w:val="false"/>
          <w:i w:val="false"/>
          <w:iCs w:val="false"/>
          <w:color w:val="000000"/>
          <w:sz w:val="21"/>
          <w:szCs w:val="21"/>
        </w:rPr>
        <w:t xml:space="preserve">All twelve sections are complete and finalized. Sections 5/6 and 9/10 use corrected versions. A corrected 116-page master PDF was regenerated during the migration session, but the version in the current knowledge base may still be the original with outdated sections. The knowledge file inventory lists The_Definitive_Deal_Psychology_and_Persuasion_Engine.pdf with a note that it contains outdated Sections 5/6 and 9/10. This needs verification.</w:t>
      </w:r>
    </w:p>
    <w:p>
      <w:pPr>
        <w:spacing w:after="40" w:before="40"/>
      </w:pPr>
      <w:r>
        <w:rPr>
          <w:rFonts w:ascii="Arial" w:cs="Arial" w:eastAsia="Arial" w:hAnsi="Arial"/>
          <w:b/>
          <w:bCs/>
          <w:color w:val="0B8A4D"/>
          <w:sz w:val="20"/>
          <w:szCs w:val="20"/>
        </w:rPr>
        <w:t xml:space="preserve">STATUS: COMPLETE — Verify master PDF contains corrected sections</w:t>
      </w:r>
    </w:p>
    <w:p>
      <w:pPr>
        <w:spacing w:after="80" w:before="280"/>
      </w:pPr>
      <w:r>
        <w:rPr>
          <w:rFonts w:ascii="Arial" w:cs="Arial" w:eastAsia="Arial" w:hAnsi="Arial"/>
          <w:b/>
          <w:bCs/>
          <w:color w:val="0E3470"/>
          <w:sz w:val="24"/>
          <w:szCs w:val="24"/>
        </w:rPr>
        <w:t xml:space="preserve">Blacklisted Statistics — Never Cite</w:t>
      </w:r>
    </w:p>
    <w:p>
      <w:pPr>
        <w:spacing w:after="60" w:before="60" w:line="300"/>
        <w:jc w:val="left"/>
      </w:pPr>
      <w:r>
        <w:rPr>
          <w:rFonts w:ascii="Arial" w:cs="Arial" w:eastAsia="Arial" w:hAnsi="Arial"/>
          <w:b w:val="false"/>
          <w:bCs w:val="false"/>
          <w:i w:val="false"/>
          <w:iCs w:val="false"/>
          <w:color w:val="000000"/>
          <w:sz w:val="21"/>
          <w:szCs w:val="21"/>
        </w:rPr>
        <w:t xml:space="preserve">The following false statistics were caught during the project and permanently banned: "30% amygdala reduction" (not in original Lieberman research — the actual finding is d=0.79-1.22); "20% comprehension from white space" (false attribution, no primary source exists); "15% trust from serif fonts" (actual finding was 9%, from commercial research, not academic); any 5-persona SocraSynth claim (actual research uses 2 agents, not 5); and the numbers "3,000+ transactions" and "$15 billion deployed" which appear in older documents but are permanently banned from all new output.</w:t>
      </w:r>
    </w:p>
    <w:p>
      <w:r>
        <w:br w:type="page"/>
      </w:r>
    </w:p>
    <w:p>
      <w:pPr>
        <w:spacing w:after="100" w:before="400"/>
      </w:pPr>
      <w:r>
        <w:rPr>
          <w:rFonts w:ascii="Arial" w:cs="Arial" w:eastAsia="Arial" w:hAnsi="Arial"/>
          <w:b/>
          <w:bCs/>
          <w:color w:val="0E3470"/>
          <w:sz w:val="28"/>
          <w:szCs w:val="28"/>
        </w:rPr>
        <w:t xml:space="preserve">3. THE EXPERT ADVISORY BOARD — EVOLUTION AND DEBATES</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The Evolution Arc</w:t>
      </w:r>
    </w:p>
    <w:p>
      <w:pPr>
        <w:spacing w:after="60" w:before="60" w:line="300"/>
        <w:jc w:val="left"/>
      </w:pPr>
      <w:r>
        <w:rPr>
          <w:rFonts w:ascii="Arial" w:cs="Arial" w:eastAsia="Arial" w:hAnsi="Arial"/>
          <w:b w:val="false"/>
          <w:bCs w:val="false"/>
          <w:i w:val="false"/>
          <w:iCs w:val="false"/>
          <w:color w:val="000000"/>
          <w:sz w:val="21"/>
          <w:szCs w:val="21"/>
        </w:rPr>
        <w:t xml:space="preserve">The board went through four major versions in a single week, each triggered by a problem discovered in the previous version.</w:t>
      </w:r>
    </w:p>
    <w:p>
      <w:pPr>
        <w:spacing w:after="60" w:before="200"/>
      </w:pPr>
      <w:r>
        <w:rPr>
          <w:rFonts w:ascii="Arial" w:cs="Arial" w:eastAsia="Arial" w:hAnsi="Arial"/>
          <w:b/>
          <w:bCs/>
          <w:color w:val="0E3470"/>
          <w:sz w:val="22"/>
          <w:szCs w:val="22"/>
        </w:rPr>
        <w:t xml:space="preserve">Version 1 — 27 Members (February 5)</w:t>
      </w:r>
    </w:p>
    <w:p>
      <w:pPr>
        <w:spacing w:after="60" w:before="60" w:line="300"/>
        <w:jc w:val="left"/>
      </w:pPr>
      <w:r>
        <w:rPr>
          <w:rFonts w:ascii="Arial" w:cs="Arial" w:eastAsia="Arial" w:hAnsi="Arial"/>
          <w:b w:val="false"/>
          <w:bCs w:val="false"/>
          <w:i w:val="false"/>
          <w:iCs w:val="false"/>
          <w:color w:val="000000"/>
          <w:sz w:val="21"/>
          <w:szCs w:val="21"/>
        </w:rPr>
        <w:t xml:space="preserve">The original board was 27 academic researchers organized in 6 tiers: Behavioral Economics (Kahneman, Tversky, Thaler, Ariely, Loewenstein), Persuasion and Influence (Cialdini, Zajonc, Thorndike, Schwartz, McGuire), Negotiation (Voss, Ury, Fisher, Galinsky, Mason), Document Design (Tufte, McKee, Larson, Nielsen, Vogele), Compliance and Communication (Brehm, Freedman, Rackham, Anderson, Lieberman), and Real Estate Financial Psychology (Northcraft, Genesove). This was pure psychology with no CRE operational expertise.</w:t>
      </w:r>
    </w:p>
    <w:p>
      <w:pPr>
        <w:spacing w:after="60" w:before="200"/>
      </w:pPr>
      <w:r>
        <w:rPr>
          <w:rFonts w:ascii="Arial" w:cs="Arial" w:eastAsia="Arial" w:hAnsi="Arial"/>
          <w:b/>
          <w:bCs/>
          <w:color w:val="0E3470"/>
          <w:sz w:val="22"/>
          <w:szCs w:val="22"/>
        </w:rPr>
        <w:t xml:space="preserve">Version 2 — 42 Members (February 5)</w:t>
      </w:r>
    </w:p>
    <w:p>
      <w:pPr>
        <w:spacing w:after="60" w:before="60" w:line="300"/>
        <w:jc w:val="left"/>
      </w:pPr>
      <w:r>
        <w:rPr>
          <w:rFonts w:ascii="Arial" w:cs="Arial" w:eastAsia="Arial" w:hAnsi="Arial"/>
          <w:b w:val="false"/>
          <w:bCs w:val="false"/>
          <w:i w:val="false"/>
          <w:iCs w:val="false"/>
          <w:color w:val="000000"/>
          <w:sz w:val="21"/>
          <w:szCs w:val="21"/>
        </w:rPr>
        <w:t xml:space="preserve">Gideon wanted operational CRE experts alongside the researchers. The board expanded to add the CRE Advisory Council (Sam Zell, Barry Sternlicht, Don Peebles, Jon Gray, Debra Cafaro), additional negotiation experts (Diamond, Camp, Shell, Malhotra), UX experts (Walter, Norman, Krug), behavioral expansion (Grant, Chip and Dan Heath, Pink, Godin, Berger), and neuroscience (Sapolsky, Damasio). However, the expansion accidentally dropped 19 researchers from Version 1. This was not discovered immediately.</w:t>
      </w:r>
    </w:p>
    <w:p>
      <w:pPr>
        <w:spacing w:after="60" w:before="200"/>
      </w:pPr>
      <w:r>
        <w:rPr>
          <w:rFonts w:ascii="Arial" w:cs="Arial" w:eastAsia="Arial" w:hAnsi="Arial"/>
          <w:b/>
          <w:bCs/>
          <w:color w:val="0E3470"/>
          <w:sz w:val="22"/>
          <w:szCs w:val="22"/>
        </w:rPr>
        <w:t xml:space="preserve">The Conflict and Version 3 — 57 Members (February 5-6)</w:t>
      </w:r>
    </w:p>
    <w:p>
      <w:pPr>
        <w:spacing w:after="60" w:before="60" w:line="300"/>
        <w:jc w:val="left"/>
      </w:pPr>
      <w:r>
        <w:rPr>
          <w:rFonts w:ascii="Arial" w:cs="Arial" w:eastAsia="Arial" w:hAnsi="Arial"/>
          <w:b w:val="false"/>
          <w:bCs w:val="false"/>
          <w:i w:val="false"/>
          <w:iCs w:val="false"/>
          <w:color w:val="000000"/>
          <w:sz w:val="21"/>
          <w:szCs w:val="21"/>
        </w:rPr>
        <w:t xml:space="preserve">The incompatibility between the 27-member and 42-member rosters was discovered during a board conflict resolution session. A unified 57-member roster was created organized by functional group instead of academic tier, preserving all members from both versions.</w:t>
      </w:r>
    </w:p>
    <w:p>
      <w:pPr>
        <w:spacing w:after="60" w:before="200"/>
      </w:pPr>
      <w:r>
        <w:rPr>
          <w:rFonts w:ascii="Arial" w:cs="Arial" w:eastAsia="Arial" w:hAnsi="Arial"/>
          <w:b/>
          <w:bCs/>
          <w:color w:val="0E3470"/>
          <w:sz w:val="22"/>
          <w:szCs w:val="22"/>
        </w:rPr>
        <w:t xml:space="preserve">Final State — Version 3 Unified Roster, 113 Members, 12 Groups</w:t>
      </w:r>
    </w:p>
    <w:p>
      <w:pPr>
        <w:spacing w:after="60" w:before="60" w:line="300"/>
        <w:jc w:val="left"/>
      </w:pPr>
      <w:r>
        <w:rPr>
          <w:rFonts w:ascii="Arial" w:cs="Arial" w:eastAsia="Arial" w:hAnsi="Arial"/>
          <w:b w:val="false"/>
          <w:bCs w:val="false"/>
          <w:i w:val="false"/>
          <w:iCs w:val="false"/>
          <w:color w:val="000000"/>
          <w:sz w:val="21"/>
          <w:szCs w:val="21"/>
        </w:rPr>
        <w:t xml:space="preserve">After further review, it was discovered that four approved AI experts (Askell, Saravia, Schulhoff, Mollick) had never been integrated. Gideon directed creation of the UNIFIED_BOARD_ROSTER_V3 with 113 members across 12 functional groups. The critical addition was Group 11 — AI Translation and Execution, with 13 members including Harrison Chase (LangChain), Amanda Askell (Anthropic, Claude's personality designer), Sander Schulhoff (58 validated prompt engineering techniques), Jason Liu (structured output extraction), and Jan Oberhauser (n8n workflow orchestration). Group 12 — Counterparty Profiling — was added later from the Water Mill deal, using Navarro and Douglas FBI BAU methodology.</w:t>
      </w:r>
    </w:p>
    <w:p>
      <w:pPr>
        <w:spacing w:after="80" w:before="280"/>
      </w:pPr>
      <w:r>
        <w:rPr>
          <w:rFonts w:ascii="Arial" w:cs="Arial" w:eastAsia="Arial" w:hAnsi="Arial"/>
          <w:b/>
          <w:bCs/>
          <w:color w:val="0E3470"/>
          <w:sz w:val="24"/>
          <w:szCs w:val="24"/>
        </w:rPr>
        <w:t xml:space="preserve">The Key Design Decision: Frameworks, Not Personas</w:t>
      </w:r>
    </w:p>
    <w:p>
      <w:pPr>
        <w:spacing w:after="60" w:before="60" w:line="300"/>
        <w:jc w:val="left"/>
      </w:pPr>
      <w:r>
        <w:rPr>
          <w:rFonts w:ascii="Arial" w:cs="Arial" w:eastAsia="Arial" w:hAnsi="Arial"/>
          <w:b w:val="false"/>
          <w:bCs w:val="false"/>
          <w:i w:val="false"/>
          <w:iCs w:val="false"/>
          <w:color w:val="000000"/>
          <w:sz w:val="21"/>
          <w:szCs w:val="21"/>
        </w:rPr>
        <w:t xml:space="preserve">The most significant research finding affecting the board architecture came from Mollick et al. (December 2025, arXiv:2512.05858, Wharton): expert personas produce no statistically significant improvement in factual accuracy. In fact, Araujo et al. showed personas can degrade accuracy by 30 percentage points. The board members are now referenced for their methodologies and frameworks, not their personalities. This was one of the five critical flaws identified in the V3-to-V5 prompt engineering audit.</w:t>
      </w:r>
    </w:p>
    <w:p>
      <w:pPr>
        <w:spacing w:after="80" w:before="280"/>
      </w:pPr>
      <w:r>
        <w:rPr>
          <w:rFonts w:ascii="Arial" w:cs="Arial" w:eastAsia="Arial" w:hAnsi="Arial"/>
          <w:b/>
          <w:bCs/>
          <w:color w:val="0E3470"/>
          <w:sz w:val="24"/>
          <w:szCs w:val="24"/>
        </w:rPr>
        <w:t xml:space="preserve">The Adversarial Debate Protocol</w:t>
      </w:r>
    </w:p>
    <w:p>
      <w:pPr>
        <w:spacing w:after="60" w:before="60" w:line="300"/>
        <w:jc w:val="left"/>
      </w:pPr>
      <w:r>
        <w:rPr>
          <w:rFonts w:ascii="Arial" w:cs="Arial" w:eastAsia="Arial" w:hAnsi="Arial"/>
          <w:b w:val="false"/>
          <w:bCs w:val="false"/>
          <w:i w:val="false"/>
          <w:iCs w:val="false"/>
          <w:color w:val="000000"/>
          <w:sz w:val="21"/>
          <w:szCs w:val="21"/>
        </w:rPr>
        <w:t xml:space="preserve">A two-pass structure was established. Pass 1: each activated framework applies its methodology with no framework allowed to agree with another by default — the phrase "I agree" is prohibited. Pass 2 (mandatory): at least one framework argues the strongest case against the Pass 1 dominant conclusion. Resolution requires the adversarial argument to become empirically indefensible, not merely outvoted. Judges are assigned by domain: Douglas for counterparty profiles, Galinsky for LOI and offer architecture, Feinberg for institutional persuasion, Marks for risk assessment, Minto for document structure, Kahneman for cognitive bias detection, and Kambhampati for AI architecture decisions. An epistemic honesty requirement was added: all board frameworks share the same model weights, so this is structured analytical diversity, not genuine independence.</w:t>
      </w:r>
    </w:p>
    <w:p>
      <w:pPr>
        <w:spacing w:after="80" w:before="280"/>
      </w:pPr>
      <w:r>
        <w:rPr>
          <w:rFonts w:ascii="Arial" w:cs="Arial" w:eastAsia="Arial" w:hAnsi="Arial"/>
          <w:b/>
          <w:bCs/>
          <w:color w:val="0E3470"/>
          <w:sz w:val="24"/>
          <w:szCs w:val="24"/>
        </w:rPr>
        <w:t xml:space="preserve">What Was Never Resolved</w:t>
      </w:r>
    </w:p>
    <w:p>
      <w:pPr>
        <w:spacing w:after="60" w:before="60" w:line="300"/>
        <w:jc w:val="left"/>
      </w:pPr>
      <w:r>
        <w:rPr>
          <w:rFonts w:ascii="Arial" w:cs="Arial" w:eastAsia="Arial" w:hAnsi="Arial"/>
          <w:b w:val="false"/>
          <w:bCs w:val="false"/>
          <w:i w:val="false"/>
          <w:iCs w:val="false"/>
          <w:color w:val="000000"/>
          <w:sz w:val="21"/>
          <w:szCs w:val="21"/>
        </w:rPr>
        <w:t xml:space="preserve">A formal committee governance protocol was discussed extensively in one session but the conversation ended before implementation. Gideon opened a new chat to proceed, but it appears the formal structure was superseded by the operating protocol and board architecture without explicit resolution. The 88-member Deal Psychology Engine operational version versus the 113-member full board including non-psychology members (like the CRE Advisory Council) was never explicitly reconciled — the 88-member version appears to be the operational subset while the 113-member version is the complete roster.</w:t>
      </w:r>
    </w:p>
    <w:p>
      <w:pPr>
        <w:spacing w:after="40" w:before="40"/>
      </w:pPr>
      <w:r>
        <w:rPr>
          <w:rFonts w:ascii="Arial" w:cs="Arial" w:eastAsia="Arial" w:hAnsi="Arial"/>
          <w:b/>
          <w:bCs/>
          <w:color w:val="0B8A4D"/>
          <w:sz w:val="20"/>
          <w:szCs w:val="20"/>
        </w:rPr>
        <w:t xml:space="preserve">STATUS: COMPLETE — Minor governance protocol gap unresolved</w:t>
      </w:r>
    </w:p>
    <w:p>
      <w:r>
        <w:br w:type="page"/>
      </w:r>
    </w:p>
    <w:p>
      <w:pPr>
        <w:spacing w:after="100" w:before="400"/>
      </w:pPr>
      <w:r>
        <w:rPr>
          <w:rFonts w:ascii="Arial" w:cs="Arial" w:eastAsia="Arial" w:hAnsi="Arial"/>
          <w:b/>
          <w:bCs/>
          <w:color w:val="0E3470"/>
          <w:sz w:val="28"/>
          <w:szCs w:val="28"/>
        </w:rPr>
        <w:t xml:space="preserve">4. PROMPT ENGINEERING — THE V3 TO V5 OVERHAUL</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The Five Critical Flaws Identified</w:t>
      </w:r>
    </w:p>
    <w:p>
      <w:pPr>
        <w:spacing w:after="60" w:before="60" w:line="300"/>
        <w:jc w:val="left"/>
      </w:pPr>
      <w:r>
        <w:rPr>
          <w:rFonts w:ascii="Arial" w:cs="Arial" w:eastAsia="Arial" w:hAnsi="Arial"/>
          <w:b w:val="false"/>
          <w:bCs w:val="false"/>
          <w:i w:val="false"/>
          <w:iCs w:val="false"/>
          <w:color w:val="000000"/>
          <w:sz w:val="21"/>
          <w:szCs w:val="21"/>
        </w:rPr>
        <w:t xml:space="preserve">In February 16-19, a full audit of the system prompt architecture identified five critical failures in versions V3 and V3.1:</w:t>
      </w:r>
    </w:p>
    <w:p>
      <w:pPr>
        <w:spacing w:after="60" w:before="60" w:line="300"/>
        <w:jc w:val="left"/>
      </w:pPr>
      <w:r>
        <w:rPr>
          <w:rFonts w:ascii="Arial" w:cs="Arial" w:eastAsia="Arial" w:hAnsi="Arial"/>
          <w:b w:val="false"/>
          <w:bCs w:val="false"/>
          <w:i w:val="false"/>
          <w:iCs w:val="false"/>
          <w:color w:val="000000"/>
          <w:sz w:val="21"/>
          <w:szCs w:val="21"/>
        </w:rPr>
        <w:t xml:space="preserve">Flaw 1: Urgency framing. Phrases like "activated at full operational capacity" and "CRITICAL" and "NEVER FAIL" were degrading model performance. Merkelbach 2025 showed a 6.8% decrease on QA benchmarks from urgency framing. All urgency language was removed.</w:t>
      </w:r>
    </w:p>
    <w:p>
      <w:pPr>
        <w:spacing w:after="60" w:before="60" w:line="300"/>
        <w:jc w:val="left"/>
      </w:pPr>
      <w:r>
        <w:rPr>
          <w:rFonts w:ascii="Arial" w:cs="Arial" w:eastAsia="Arial" w:hAnsi="Arial"/>
          <w:b w:val="false"/>
          <w:bCs w:val="false"/>
          <w:i w:val="false"/>
          <w:iCs w:val="false"/>
          <w:color w:val="000000"/>
          <w:sz w:val="21"/>
          <w:szCs w:val="21"/>
        </w:rPr>
        <w:t xml:space="preserve">Flaw 2: Architecturally impossible commands. "Read this twice" is impossible for autoregressive models that process tokens in a single forward pass. Removed.</w:t>
      </w:r>
    </w:p>
    <w:p>
      <w:pPr>
        <w:spacing w:after="60" w:before="60" w:line="300"/>
        <w:jc w:val="left"/>
      </w:pPr>
      <w:r>
        <w:rPr>
          <w:rFonts w:ascii="Arial" w:cs="Arial" w:eastAsia="Arial" w:hAnsi="Arial"/>
          <w:b w:val="false"/>
          <w:bCs w:val="false"/>
          <w:i w:val="false"/>
          <w:iCs w:val="false"/>
          <w:color w:val="000000"/>
          <w:sz w:val="21"/>
          <w:szCs w:val="21"/>
        </w:rPr>
        <w:t xml:space="preserve">Flaw 3: Loss framing in instructions. Threats like "failing this standard is unacceptable" do not improve LLM output quality. Mollick's Prompting Science Report 3 (2025) found no significant effect. Removed from operational rules but kept in the mission statement which Gideon reads.</w:t>
      </w:r>
    </w:p>
    <w:p>
      <w:pPr>
        <w:spacing w:after="60" w:before="60" w:line="300"/>
        <w:jc w:val="left"/>
      </w:pPr>
      <w:r>
        <w:rPr>
          <w:rFonts w:ascii="Arial" w:cs="Arial" w:eastAsia="Arial" w:hAnsi="Arial"/>
          <w:b w:val="false"/>
          <w:bCs w:val="false"/>
          <w:i w:val="false"/>
          <w:iCs w:val="false"/>
          <w:color w:val="000000"/>
          <w:sz w:val="21"/>
          <w:szCs w:val="21"/>
        </w:rPr>
        <w:t xml:space="preserve">Flaw 4: No XML structure. Liu et al. (TACL 2024) showed 30%+ degradation for information placed in unstructured middle sections. This was identified as the single biggest change needed. All sections were restructured into XML tags.</w:t>
      </w:r>
    </w:p>
    <w:p>
      <w:pPr>
        <w:spacing w:after="60" w:before="60" w:line="300"/>
        <w:jc w:val="left"/>
      </w:pPr>
      <w:r>
        <w:rPr>
          <w:rFonts w:ascii="Arial" w:cs="Arial" w:eastAsia="Arial" w:hAnsi="Arial"/>
          <w:b w:val="false"/>
          <w:bCs w:val="false"/>
          <w:i w:val="false"/>
          <w:iCs w:val="false"/>
          <w:color w:val="000000"/>
          <w:sz w:val="21"/>
          <w:szCs w:val="21"/>
        </w:rPr>
        <w:t xml:space="preserve">Flaw 5: Named expert personas. The V3 prompt asked Claude to "embody" 113 experts. Mollick's research showed this does not improve analytical accuracy. The fix: reference frameworks, not personalities.</w:t>
      </w:r>
    </w:p>
    <w:p>
      <w:pPr>
        <w:spacing w:after="80" w:before="280"/>
      </w:pPr>
      <w:r>
        <w:rPr>
          <w:rFonts w:ascii="Arial" w:cs="Arial" w:eastAsia="Arial" w:hAnsi="Arial"/>
          <w:b/>
          <w:bCs/>
          <w:color w:val="0E3470"/>
          <w:sz w:val="24"/>
          <w:szCs w:val="24"/>
        </w:rPr>
        <w:t xml:space="preserve">What V5 Looks Like</w:t>
      </w:r>
    </w:p>
    <w:p>
      <w:pPr>
        <w:spacing w:after="60" w:before="60" w:line="300"/>
        <w:jc w:val="left"/>
      </w:pPr>
      <w:r>
        <w:rPr>
          <w:rFonts w:ascii="Arial" w:cs="Arial" w:eastAsia="Arial" w:hAnsi="Arial"/>
          <w:b w:val="false"/>
          <w:bCs w:val="false"/>
          <w:i w:val="false"/>
          <w:iCs w:val="false"/>
          <w:color w:val="000000"/>
          <w:sz w:val="21"/>
          <w:szCs w:val="21"/>
        </w:rPr>
        <w:t xml:space="preserve">The V5 system prompt is 2,282 words, fully XML-structured, with reason-based directives (every rule explains why, per Askell's Claude Constitution design principles). It uses identity-before-stakes positioning (Guo and Vosoughi 2024 — LLMs attend preferentially to beginning content). It includes validated effect sizes inline, a counterparty calibration matrix, and an explicit epistemic honesty requirement. The deployment strategy is compressed critical directives in Project Instructions (always loaded as system prompt) plus full reference material as Knowledge files (RAG retrieval).</w:t>
      </w:r>
    </w:p>
    <w:p>
      <w:pPr>
        <w:spacing w:after="80" w:before="280"/>
      </w:pPr>
      <w:r>
        <w:rPr>
          <w:rFonts w:ascii="Arial" w:cs="Arial" w:eastAsia="Arial" w:hAnsi="Arial"/>
          <w:b/>
          <w:bCs/>
          <w:color w:val="0E3470"/>
          <w:sz w:val="24"/>
          <w:szCs w:val="24"/>
        </w:rPr>
        <w:t xml:space="preserve">The Operating Protocol</w:t>
      </w:r>
    </w:p>
    <w:p>
      <w:pPr>
        <w:spacing w:after="60" w:before="60" w:line="300"/>
        <w:jc w:val="left"/>
      </w:pPr>
      <w:r>
        <w:rPr>
          <w:rFonts w:ascii="Arial" w:cs="Arial" w:eastAsia="Arial" w:hAnsi="Arial"/>
          <w:b w:val="false"/>
          <w:bCs w:val="false"/>
          <w:i w:val="false"/>
          <w:iCs w:val="false"/>
          <w:color w:val="000000"/>
          <w:sz w:val="21"/>
          <w:szCs w:val="21"/>
        </w:rPr>
        <w:t xml:space="preserve">A separate Operating Protocol document was engineered using the U-curve serial position effect — critical rules at the start and end, methodology in the middle. Five non-negotiable behaviors: Quality Gate (every response must pass domain-specific expert reasoning, at least one challenge or gap identification, and source tracing for every claim), Challenge First (identify 2-3 challenges before helping execute), Expert Mindset Activation (activate the world's leading specialist, not a generalist), Fact-Driven (zero assumptions as facts), and Adaptive Thinking (go deeper than asked when warranted). The Touch Process requires iterative elevation — never accept first draft as final. Expand Before Narrowing requires mapping the full possibility space before converging. Compound Error Awareness notes that 95% reliable multiplied by 20 steps equals 36% end-to-end success.</w:t>
      </w:r>
    </w:p>
    <w:p>
      <w:pPr>
        <w:spacing w:after="40" w:before="40"/>
      </w:pPr>
      <w:r>
        <w:rPr>
          <w:rFonts w:ascii="Arial" w:cs="Arial" w:eastAsia="Arial" w:hAnsi="Arial"/>
          <w:b/>
          <w:bCs/>
          <w:color w:val="0B8A4D"/>
          <w:sz w:val="20"/>
          <w:szCs w:val="20"/>
        </w:rPr>
        <w:t xml:space="preserve">STATUS: COMPLETE — V5 installed and operational</w:t>
      </w:r>
    </w:p>
    <w:p>
      <w:r>
        <w:br w:type="page"/>
      </w:r>
    </w:p>
    <w:p>
      <w:pPr>
        <w:spacing w:after="100" w:before="400"/>
      </w:pPr>
      <w:r>
        <w:rPr>
          <w:rFonts w:ascii="Arial" w:cs="Arial" w:eastAsia="Arial" w:hAnsi="Arial"/>
          <w:b/>
          <w:bCs/>
          <w:color w:val="0E3470"/>
          <w:sz w:val="28"/>
          <w:szCs w:val="28"/>
        </w:rPr>
        <w:t xml:space="preserve">5. LIVE DEALS — COMPLETE HISTORY</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Bay Valley Shopping Center — Saginaw, Michigan</w:t>
      </w:r>
    </w:p>
    <w:p>
      <w:pPr>
        <w:spacing w:after="60" w:before="60" w:line="300"/>
        <w:jc w:val="left"/>
      </w:pPr>
      <w:r>
        <w:rPr>
          <w:rFonts w:ascii="Arial" w:cs="Arial" w:eastAsia="Arial" w:hAnsi="Arial"/>
          <w:b w:val="false"/>
          <w:bCs w:val="false"/>
          <w:i w:val="false"/>
          <w:iCs w:val="false"/>
          <w:color w:val="000000"/>
          <w:sz w:val="21"/>
          <w:szCs w:val="21"/>
        </w:rPr>
        <w:t xml:space="preserve">This was the first live deployment of the Psychology Engine. Contract price $10.6 million (net basis $9.6 million after existing credits). Due diligence expiring February 11, 2026. The seller was a former professional football player represented by his sister as attorney — non-sophisticated counterparty. Report type: Buyer Report (drive price down).</w:t>
      </w:r>
    </w:p>
    <w:p>
      <w:pPr>
        <w:spacing w:after="60" w:before="60" w:line="300"/>
        <w:jc w:val="left"/>
      </w:pPr>
      <w:r>
        <w:rPr>
          <w:rFonts w:ascii="Arial" w:cs="Arial" w:eastAsia="Arial" w:hAnsi="Arial"/>
          <w:b w:val="false"/>
          <w:bCs w:val="false"/>
          <w:i w:val="false"/>
          <w:iCs w:val="false"/>
          <w:color w:val="000000"/>
          <w:sz w:val="21"/>
          <w:szCs w:val="21"/>
        </w:rPr>
        <w:t xml:space="preserve">A retrade letter was produced deploying 14 psychological mechanisms across 7 sections: empathetic opening using Lieberman affect labeling, acknowledging property strengths using inoculation and two-sided messaging, presenting findings using Anderson's averaging rule (only strongest items), mathematical derivation with precise numbers, "any buyer" reframe universalizing the issues, autonomy-preserving bridge using BYAF, and nonrefundable certainty as emotional climax for stressed sellers.</w:t>
      </w:r>
    </w:p>
    <w:p>
      <w:pPr>
        <w:spacing w:after="60" w:before="60" w:line="300"/>
        <w:jc w:val="left"/>
      </w:pPr>
      <w:r>
        <w:rPr>
          <w:rFonts w:ascii="Arial" w:cs="Arial" w:eastAsia="Arial" w:hAnsi="Arial"/>
          <w:b w:val="false"/>
          <w:bCs w:val="false"/>
          <w:i w:val="false"/>
          <w:iCs w:val="false"/>
          <w:color w:val="000000"/>
          <w:sz w:val="21"/>
          <w:szCs w:val="21"/>
        </w:rPr>
        <w:t xml:space="preserve">Financial analysis documented $1.5 million to $3.9 million in quantified adjustments excluding environmental. Opening anchor: $1,347,200 (precise to signal preparation). Expected landing: $1 million reduction. Adjusted target: $9,297,000. Strategy: anchor high to allow seller's attorney to "negotiate back $347,200" and feel like she won something. Late additions from Gideon added AutoZone lease timing risk ($222,000) and parking surface deterioration ($500,000-$1,000,000). Environmental issues were explicitly excluded from the retrade because Phase I results were still pending.</w:t>
      </w:r>
    </w:p>
    <w:p>
      <w:pPr>
        <w:spacing w:after="40" w:before="40"/>
      </w:pPr>
      <w:r>
        <w:rPr>
          <w:rFonts w:ascii="Arial" w:cs="Arial" w:eastAsia="Arial" w:hAnsi="Arial"/>
          <w:b/>
          <w:bCs/>
          <w:color w:val="CC0000"/>
          <w:sz w:val="20"/>
          <w:szCs w:val="20"/>
        </w:rPr>
        <w:t xml:space="preserve">STATUS: OUTCOME UNKNOWN — Retrade letter delivered, DD was expiring. No follow-up documented in this project.</w:t>
      </w:r>
    </w:p>
    <w:p>
      <w:pPr>
        <w:spacing w:after="80" w:before="280"/>
      </w:pPr>
      <w:r>
        <w:rPr>
          <w:rFonts w:ascii="Arial" w:cs="Arial" w:eastAsia="Arial" w:hAnsi="Arial"/>
          <w:b/>
          <w:bCs/>
          <w:color w:val="0E3470"/>
          <w:sz w:val="24"/>
          <w:szCs w:val="24"/>
        </w:rPr>
        <w:t xml:space="preserve">Morton — Illinois State Police Forensic Science Laboratory</w:t>
      </w:r>
    </w:p>
    <w:p>
      <w:pPr>
        <w:spacing w:after="60" w:before="60" w:line="300"/>
        <w:jc w:val="left"/>
      </w:pPr>
      <w:r>
        <w:rPr>
          <w:rFonts w:ascii="Arial" w:cs="Arial" w:eastAsia="Arial" w:hAnsi="Arial"/>
          <w:b w:val="false"/>
          <w:bCs w:val="false"/>
          <w:i w:val="false"/>
          <w:iCs w:val="false"/>
          <w:color w:val="000000"/>
          <w:sz w:val="21"/>
          <w:szCs w:val="21"/>
        </w:rPr>
        <w:t xml:space="preserve">Property: 13,200 square feet on 1.58 acres in Morton, Illinois. Tenant: Illinois State Police on a new 10-year NNN lease with early termination after 60 months. Seller: Fred Block, Deerpath Preferred Investments LLC — non-sophisticated. Seller's counter: $2,593,000 citing a NAI Hiffman broker opinion at 9% cap rate. RePrime's original offer: $2,000,000.</w:t>
      </w:r>
    </w:p>
    <w:p>
      <w:pPr>
        <w:spacing w:after="60" w:before="60" w:line="300"/>
        <w:jc w:val="left"/>
      </w:pPr>
      <w:r>
        <w:rPr>
          <w:rFonts w:ascii="Arial" w:cs="Arial" w:eastAsia="Arial" w:hAnsi="Arial"/>
          <w:b w:val="false"/>
          <w:bCs w:val="false"/>
          <w:i w:val="false"/>
          <w:iCs w:val="false"/>
          <w:color w:val="000000"/>
          <w:sz w:val="21"/>
          <w:szCs w:val="21"/>
        </w:rPr>
        <w:t xml:space="preserve">A counter-offer LOI was produced with 5-phase psychological architecture: disarmament (accusation audit plus affect labeling), pre-suasion plus inoculation (market data establishing framework before the number), choice architecture (two options — $2.1 million all cash versus $2.2 million with seller financing), non-monetary value discovery (tax advantages highlighted using IRC Section 453), and peak-end close with a no-oriented question. Easterly Government Properties was used as the anchor comparable — a government-leased REIT where a new crime lab with a 25-year lease trades at approximately 10% cap rate, justifying 10-11% against the seller's 9%.</w:t>
      </w:r>
    </w:p>
    <w:p>
      <w:pPr>
        <w:spacing w:after="60" w:before="60" w:line="300"/>
        <w:jc w:val="left"/>
      </w:pPr>
      <w:r>
        <w:rPr>
          <w:rFonts w:ascii="Arial" w:cs="Arial" w:eastAsia="Arial" w:hAnsi="Arial"/>
          <w:b w:val="false"/>
          <w:bCs w:val="false"/>
          <w:i w:val="false"/>
          <w:iCs w:val="false"/>
          <w:color w:val="000000"/>
          <w:sz w:val="21"/>
          <w:szCs w:val="21"/>
        </w:rPr>
        <w:t xml:space="preserve">Critical correction by Gideon: The initial draft placed purchase options before supporting analysis. Gideon corrected this — the data case must precede the offers for proper pre-suasion. This became a permanent rule.</w:t>
      </w:r>
    </w:p>
    <w:p>
      <w:pPr>
        <w:spacing w:after="40" w:before="40"/>
      </w:pPr>
      <w:r>
        <w:rPr>
          <w:rFonts w:ascii="Arial" w:cs="Arial" w:eastAsia="Arial" w:hAnsi="Arial"/>
          <w:b/>
          <w:bCs/>
          <w:color w:val="CC0000"/>
          <w:sz w:val="20"/>
          <w:szCs w:val="20"/>
        </w:rPr>
        <w:t xml:space="preserve">STATUS: OUTCOME UNKNOWN — Counter-offer LOI produced. No follow-up documented.</w:t>
      </w:r>
    </w:p>
    <w:p>
      <w:pPr>
        <w:spacing w:after="80" w:before="280"/>
      </w:pPr>
      <w:r>
        <w:rPr>
          <w:rFonts w:ascii="Arial" w:cs="Arial" w:eastAsia="Arial" w:hAnsi="Arial"/>
          <w:b/>
          <w:bCs/>
          <w:color w:val="0E3470"/>
          <w:sz w:val="24"/>
          <w:szCs w:val="24"/>
        </w:rPr>
        <w:t xml:space="preserve">Frayser Village Shopping Center — Memphis, Tennessee</w:t>
      </w:r>
    </w:p>
    <w:p>
      <w:pPr>
        <w:spacing w:after="60" w:before="60" w:line="300"/>
        <w:jc w:val="left"/>
      </w:pPr>
      <w:r>
        <w:rPr>
          <w:rFonts w:ascii="Arial" w:cs="Arial" w:eastAsia="Arial" w:hAnsi="Arial"/>
          <w:b w:val="false"/>
          <w:bCs w:val="false"/>
          <w:i w:val="false"/>
          <w:iCs w:val="false"/>
          <w:color w:val="000000"/>
          <w:sz w:val="21"/>
          <w:szCs w:val="21"/>
        </w:rPr>
        <w:t xml:space="preserve">Kroger-anchored shopping center. Marketed NOI: $1,298,892. Actual trailing NOI: $1,018,696. CMBS servicer data: $958,887 — a $340,005 discrepancy from the offering memorandum. This NOI gap was deployed as stealing thunder in the LOI.</w:t>
      </w:r>
    </w:p>
    <w:p>
      <w:pPr>
        <w:spacing w:after="60" w:before="60" w:line="300"/>
        <w:jc w:val="left"/>
      </w:pPr>
      <w:r>
        <w:rPr>
          <w:rFonts w:ascii="Arial" w:cs="Arial" w:eastAsia="Arial" w:hAnsi="Arial"/>
          <w:b w:val="false"/>
          <w:bCs w:val="false"/>
          <w:i w:val="false"/>
          <w:iCs w:val="false"/>
          <w:color w:val="000000"/>
          <w:sz w:val="21"/>
          <w:szCs w:val="21"/>
        </w:rPr>
        <w:t xml:space="preserve">An LOI was produced with 18+ distinct persuasion techniques. The key innovation was total consideration anchoring: $14,840,000 headline ($14 million purchase price plus $840,000 in guaranteed interest from the seller note), so the first number the seller sees is larger than the actual purchase price. The $13 million purchase price was positioned as above fundamental value (approximately $11.1 million) — framed as a premium the buyer is paying for Kroger's presence. The LOI included accusation audit opening, no-oriented closing question, and a P.S. line with key commitment.</w:t>
      </w:r>
    </w:p>
    <w:p>
      <w:pPr>
        <w:spacing w:after="60" w:before="60" w:line="300"/>
        <w:jc w:val="left"/>
      </w:pPr>
      <w:r>
        <w:rPr>
          <w:rFonts w:ascii="Arial" w:cs="Arial" w:eastAsia="Arial" w:hAnsi="Arial"/>
          <w:b w:val="false"/>
          <w:bCs w:val="false"/>
          <w:i w:val="false"/>
          <w:iCs w:val="false"/>
          <w:color w:val="000000"/>
          <w:sz w:val="21"/>
          <w:szCs w:val="21"/>
        </w:rPr>
        <w:t xml:space="preserve">LOI rules established during this deal that became permanent: total consideration as headline when seller financing is involved; note terms in months (60 months, not 5 years); cap rate row removed from comparison tables because it provided ammunition for the seller; and Options A and B made fully standalone with no cross-references.</w:t>
      </w:r>
    </w:p>
    <w:p>
      <w:pPr>
        <w:spacing w:after="40" w:before="40"/>
      </w:pPr>
      <w:r>
        <w:rPr>
          <w:rFonts w:ascii="Arial" w:cs="Arial" w:eastAsia="Arial" w:hAnsi="Arial"/>
          <w:b/>
          <w:bCs/>
          <w:color w:val="CC0000"/>
          <w:sz w:val="20"/>
          <w:szCs w:val="20"/>
        </w:rPr>
        <w:t xml:space="preserve">STATUS: OUTCOME UNKNOWN — LOI with 18+ techniques produced. No follow-up documented.</w:t>
      </w:r>
    </w:p>
    <w:p>
      <w:pPr>
        <w:spacing w:after="80" w:before="280"/>
      </w:pPr>
      <w:r>
        <w:rPr>
          <w:rFonts w:ascii="Arial" w:cs="Arial" w:eastAsia="Arial" w:hAnsi="Arial"/>
          <w:b/>
          <w:bCs/>
          <w:color w:val="0E3470"/>
          <w:sz w:val="24"/>
          <w:szCs w:val="24"/>
        </w:rPr>
        <w:t xml:space="preserve">Florida Retail Portfolio — $25 Million (Highest Priority as of March 2026)</w:t>
      </w:r>
    </w:p>
    <w:p>
      <w:pPr>
        <w:spacing w:after="60" w:before="60" w:line="300"/>
        <w:jc w:val="left"/>
      </w:pPr>
      <w:r>
        <w:rPr>
          <w:rFonts w:ascii="Arial" w:cs="Arial" w:eastAsia="Arial" w:hAnsi="Arial"/>
          <w:b w:val="false"/>
          <w:bCs w:val="false"/>
          <w:i w:val="false"/>
          <w:iCs w:val="false"/>
          <w:color w:val="000000"/>
          <w:sz w:val="21"/>
          <w:szCs w:val="21"/>
        </w:rPr>
        <w:t xml:space="preserve">Three properties: Skylark Plaza in Ocala, Palatka Promenade, and Lake Wales Plaza. Purchase price $25 million. Seller financing: $5 million note in second position, 6.5% interest-only, 5-year balloon. First mortgage targeting 70-75% LTV. Earnest deposit $100,000. 30-day DD, 30-day close plus one 30-day extension. Seller: Schippers (never in direct contact). Broker: Ray Turchi, Senior Managing Director, Marcus and Millichap Orlando. Commission approximately $750,000. Co-listing: David Vaughan.</w:t>
      </w:r>
    </w:p>
    <w:p>
      <w:pPr>
        <w:spacing w:after="60" w:before="200"/>
      </w:pPr>
      <w:r>
        <w:rPr>
          <w:rFonts w:ascii="Arial" w:cs="Arial" w:eastAsia="Arial" w:hAnsi="Arial"/>
          <w:b/>
          <w:bCs/>
          <w:color w:val="0E3470"/>
          <w:sz w:val="22"/>
          <w:szCs w:val="22"/>
        </w:rPr>
        <w:t xml:space="preserve">The Negotiation Timeline</w:t>
      </w:r>
    </w:p>
    <w:p>
      <w:pPr>
        <w:spacing w:after="60" w:before="60" w:line="300"/>
        <w:jc w:val="left"/>
      </w:pPr>
      <w:r>
        <w:rPr>
          <w:rFonts w:ascii="Arial" w:cs="Arial" w:eastAsia="Arial" w:hAnsi="Arial"/>
          <w:b w:val="false"/>
          <w:bCs w:val="false"/>
          <w:i w:val="false"/>
          <w:iCs w:val="false"/>
          <w:color w:val="000000"/>
          <w:sz w:val="21"/>
          <w:szCs w:val="21"/>
        </w:rPr>
        <w:t xml:space="preserve">January 1, 2026: Seller's own counter-proposal stated "Max first mortgage = 80% or $21,787,500mm" at $27.2 million purchase price. This document became the most powerful piece of leverage in the entire negotiation — the seller's own words proving 80% LTV was acceptable.</w:t>
      </w:r>
    </w:p>
    <w:p>
      <w:pPr>
        <w:spacing w:after="60" w:before="60" w:line="300"/>
        <w:jc w:val="left"/>
      </w:pPr>
      <w:r>
        <w:rPr>
          <w:rFonts w:ascii="Arial" w:cs="Arial" w:eastAsia="Arial" w:hAnsi="Arial"/>
          <w:b w:val="false"/>
          <w:bCs w:val="false"/>
          <w:i w:val="false"/>
          <w:iCs w:val="false"/>
          <w:color w:val="000000"/>
          <w:sz w:val="21"/>
          <w:szCs w:val="21"/>
        </w:rPr>
        <w:t xml:space="preserve">January 15, 2026: All deal terms confirmed. Ray Turchi wrote "OK" at 4:39 PM and confirmed with thumbs up at 7:22 PM. This is the handshake date.</w:t>
      </w:r>
    </w:p>
    <w:p>
      <w:pPr>
        <w:spacing w:after="60" w:before="60" w:line="300"/>
        <w:jc w:val="left"/>
      </w:pPr>
      <w:r>
        <w:rPr>
          <w:rFonts w:ascii="Arial" w:cs="Arial" w:eastAsia="Arial" w:hAnsi="Arial"/>
          <w:b w:val="false"/>
          <w:bCs w:val="false"/>
          <w:i w:val="false"/>
          <w:iCs w:val="false"/>
          <w:color w:val="000000"/>
          <w:sz w:val="21"/>
          <w:szCs w:val="21"/>
        </w:rPr>
        <w:t xml:space="preserve">January 15 through February 21 (37 days): Seller introduced 7 new conditions not part of the original agreement, culminating in a first mortgage cap demand of $15-16 million (60-64% LTV) — directly contradicting his own January 1 proposal of 80% LTV.</w:t>
      </w:r>
    </w:p>
    <w:p>
      <w:pPr>
        <w:spacing w:after="60" w:before="60" w:line="300"/>
        <w:jc w:val="left"/>
      </w:pPr>
      <w:r>
        <w:rPr>
          <w:rFonts w:ascii="Arial" w:cs="Arial" w:eastAsia="Arial" w:hAnsi="Arial"/>
          <w:b w:val="false"/>
          <w:bCs w:val="false"/>
          <w:i w:val="false"/>
          <w:iCs w:val="false"/>
          <w:color w:val="000000"/>
          <w:sz w:val="21"/>
          <w:szCs w:val="21"/>
        </w:rPr>
        <w:t xml:space="preserve">February 21: Seller's mortgage cap demand received. Real gap analysis showed the fight was only $1.5-2.75 million, not the apparent $5 million. Motty Stone countered with $21 million reflecting the seller's own 80% language.</w:t>
      </w:r>
    </w:p>
    <w:p>
      <w:pPr>
        <w:spacing w:after="60" w:before="60" w:line="300"/>
        <w:jc w:val="left"/>
      </w:pPr>
      <w:r>
        <w:rPr>
          <w:rFonts w:ascii="Arial" w:cs="Arial" w:eastAsia="Arial" w:hAnsi="Arial"/>
          <w:b w:val="false"/>
          <w:bCs w:val="false"/>
          <w:i w:val="false"/>
          <w:iCs w:val="false"/>
          <w:color w:val="000000"/>
          <w:sz w:val="21"/>
          <w:szCs w:val="21"/>
        </w:rPr>
        <w:t xml:space="preserve">February 28: Ray Turchi email received. Gideon provided a near-final draft response as sacred basis — instructed only factual corrections, not rewrites. Critical corrections Gideon made: removed false claim "the bank has done its work" (no bank commitment existed), removed all foreclosure scenario language (introducing negative imagery violates the psychological framework), and corrected identification of Neil Bane as mortgage broker not attorney.</w:t>
      </w:r>
    </w:p>
    <w:p>
      <w:pPr>
        <w:spacing w:after="60" w:before="60" w:line="300"/>
        <w:jc w:val="left"/>
      </w:pPr>
      <w:r>
        <w:rPr>
          <w:rFonts w:ascii="Arial" w:cs="Arial" w:eastAsia="Arial" w:hAnsi="Arial"/>
          <w:b w:val="false"/>
          <w:bCs w:val="false"/>
          <w:i w:val="false"/>
          <w:iCs w:val="false"/>
          <w:color w:val="000000"/>
          <w:sz w:val="21"/>
          <w:szCs w:val="21"/>
        </w:rPr>
        <w:t xml:space="preserve">March 3: Final email deployed offering $18 million cap with personal guarantees on both loans. The PG was positioned as the argument making the cap number intellectually irrelevant — when a seller fears foreclosure, a personal guarantee addresses the fear directly. Referenced Gideon pulling the entire team off the deal as a real walk-away signal. Used the seller's own January 1 counter as documentary proof of contradiction.</w:t>
      </w:r>
    </w:p>
    <w:p>
      <w:pPr>
        <w:spacing w:after="60" w:before="60" w:line="300"/>
        <w:jc w:val="left"/>
      </w:pPr>
      <w:r>
        <w:rPr>
          <w:rFonts w:ascii="Arial" w:cs="Arial" w:eastAsia="Arial" w:hAnsi="Arial"/>
          <w:b w:val="false"/>
          <w:bCs w:val="false"/>
          <w:i w:val="false"/>
          <w:iCs w:val="false"/>
          <w:color w:val="000000"/>
          <w:sz w:val="21"/>
          <w:szCs w:val="21"/>
        </w:rPr>
        <w:t xml:space="preserve">March 5: Ray responded positively and sent draft PSA.</w:t>
      </w:r>
    </w:p>
    <w:p>
      <w:pPr>
        <w:spacing w:after="60" w:before="200"/>
      </w:pPr>
      <w:r>
        <w:rPr>
          <w:rFonts w:ascii="Arial" w:cs="Arial" w:eastAsia="Arial" w:hAnsi="Arial"/>
          <w:b/>
          <w:bCs/>
          <w:color w:val="0E3470"/>
          <w:sz w:val="22"/>
          <w:szCs w:val="22"/>
        </w:rPr>
        <w:t xml:space="preserve">PSA Review — 7 Red and Yellow Flags</w:t>
      </w:r>
    </w:p>
    <w:p>
      <w:pPr>
        <w:spacing w:after="60" w:before="60" w:line="300"/>
        <w:jc w:val="left"/>
      </w:pPr>
      <w:r>
        <w:rPr>
          <w:rFonts w:ascii="Arial" w:cs="Arial" w:eastAsia="Arial" w:hAnsi="Arial"/>
          <w:b w:val="false"/>
          <w:bCs w:val="false"/>
          <w:i w:val="false"/>
          <w:iCs w:val="false"/>
          <w:color w:val="000000"/>
          <w:sz w:val="21"/>
          <w:szCs w:val="21"/>
        </w:rPr>
        <w:t xml:space="preserve">Flag 1 (RED): Section 3.2 — Seller termination-at-will clause. Must be removed. Seller can terminate for any reason.</w:t>
      </w:r>
    </w:p>
    <w:p>
      <w:pPr>
        <w:spacing w:after="60" w:before="60" w:line="300"/>
        <w:jc w:val="left"/>
      </w:pPr>
      <w:r>
        <w:rPr>
          <w:rFonts w:ascii="Arial" w:cs="Arial" w:eastAsia="Arial" w:hAnsi="Arial"/>
          <w:b w:val="false"/>
          <w:bCs w:val="false"/>
          <w:i w:val="false"/>
          <w:iCs w:val="false"/>
          <w:color w:val="000000"/>
          <w:sz w:val="21"/>
          <w:szCs w:val="21"/>
        </w:rPr>
        <w:t xml:space="preserve">Flag 2 (RED): Section 12.2 — Buyer default section completely blank. Needs buyer-protective liquidated damages language.</w:t>
      </w:r>
    </w:p>
    <w:p>
      <w:pPr>
        <w:spacing w:after="60" w:before="60" w:line="300"/>
        <w:jc w:val="left"/>
      </w:pPr>
      <w:r>
        <w:rPr>
          <w:rFonts w:ascii="Arial" w:cs="Arial" w:eastAsia="Arial" w:hAnsi="Arial"/>
          <w:b w:val="false"/>
          <w:bCs w:val="false"/>
          <w:i w:val="false"/>
          <w:iCs w:val="false"/>
          <w:color w:val="000000"/>
          <w:sz w:val="21"/>
          <w:szCs w:val="21"/>
        </w:rPr>
        <w:t xml:space="preserve">Flag 3 (YELLOW): Section 12.1 — Seller default remedy capped at $50,000 with no specific performance right.</w:t>
      </w:r>
    </w:p>
    <w:p>
      <w:pPr>
        <w:spacing w:after="60" w:before="60" w:line="300"/>
        <w:jc w:val="left"/>
      </w:pPr>
      <w:r>
        <w:rPr>
          <w:rFonts w:ascii="Arial" w:cs="Arial" w:eastAsia="Arial" w:hAnsi="Arial"/>
          <w:b w:val="false"/>
          <w:bCs w:val="false"/>
          <w:i w:val="false"/>
          <w:iCs w:val="false"/>
          <w:color w:val="000000"/>
          <w:sz w:val="21"/>
          <w:szCs w:val="21"/>
        </w:rPr>
        <w:t xml:space="preserve">Flag 4 (YELLOW): Schedule 7.2 — Closing condition tied to blank schedule. Likely the seller's 1031 exchange (confirmed in separate email thread with First American Exchange). Silent leverage — never reference directly.</w:t>
      </w:r>
    </w:p>
    <w:p>
      <w:pPr>
        <w:spacing w:after="60" w:before="60" w:line="300"/>
        <w:jc w:val="left"/>
      </w:pPr>
      <w:r>
        <w:rPr>
          <w:rFonts w:ascii="Arial" w:cs="Arial" w:eastAsia="Arial" w:hAnsi="Arial"/>
          <w:b w:val="false"/>
          <w:bCs w:val="false"/>
          <w:i w:val="false"/>
          <w:iCs w:val="false"/>
          <w:color w:val="000000"/>
          <w:sz w:val="21"/>
          <w:szCs w:val="21"/>
        </w:rPr>
        <w:t xml:space="preserve">Flag 5 (YELLOW): Section 2.4 — Missing first mortgage cap language. The $18 million cap is not specified.</w:t>
      </w:r>
    </w:p>
    <w:p>
      <w:pPr>
        <w:spacing w:after="60" w:before="60" w:line="300"/>
        <w:jc w:val="left"/>
      </w:pPr>
      <w:r>
        <w:rPr>
          <w:rFonts w:ascii="Arial" w:cs="Arial" w:eastAsia="Arial" w:hAnsi="Arial"/>
          <w:b w:val="false"/>
          <w:bCs w:val="false"/>
          <w:i w:val="false"/>
          <w:iCs w:val="false"/>
          <w:color w:val="000000"/>
          <w:sz w:val="21"/>
          <w:szCs w:val="21"/>
        </w:rPr>
        <w:t xml:space="preserve">Flag 6 (YELLOW): Schedule 3.1 — Blank due diligence records list.</w:t>
      </w:r>
    </w:p>
    <w:p>
      <w:pPr>
        <w:spacing w:after="60" w:before="60" w:line="300"/>
        <w:jc w:val="left"/>
      </w:pPr>
      <w:r>
        <w:rPr>
          <w:rFonts w:ascii="Arial" w:cs="Arial" w:eastAsia="Arial" w:hAnsi="Arial"/>
          <w:b w:val="false"/>
          <w:bCs w:val="false"/>
          <w:i w:val="false"/>
          <w:iCs w:val="false"/>
          <w:color w:val="000000"/>
          <w:sz w:val="21"/>
          <w:szCs w:val="21"/>
        </w:rPr>
        <w:t xml:space="preserve">Flag 7 (YELLOW): Section 3.2.5 — Overly broad seller inspection disapproval right.</w:t>
      </w:r>
    </w:p>
    <w:p>
      <w:pPr>
        <w:spacing w:after="60" w:before="60" w:line="300"/>
        <w:jc w:val="left"/>
      </w:pPr>
      <w:r>
        <w:rPr>
          <w:rFonts w:ascii="Arial" w:cs="Arial" w:eastAsia="Arial" w:hAnsi="Arial"/>
          <w:b w:val="false"/>
          <w:bCs w:val="false"/>
          <w:i w:val="false"/>
          <w:iCs w:val="false"/>
          <w:color w:val="000000"/>
          <w:sz w:val="21"/>
          <w:szCs w:val="21"/>
        </w:rPr>
        <w:t xml:space="preserve">A deposit mechanics discrepancy was identified: PSA says $100,000 sits in escrow during 30-day inspection and is refundable only for 3 enumerated reasons, going hard upon inspection period expiration — but the email chain characterized it as non-refundable Day One. This needs reconciliation.</w:t>
      </w:r>
    </w:p>
    <w:p>
      <w:pPr>
        <w:spacing w:after="60" w:before="60" w:line="300"/>
        <w:jc w:val="left"/>
      </w:pPr>
      <w:r>
        <w:rPr>
          <w:rFonts w:ascii="Arial" w:cs="Arial" w:eastAsia="Arial" w:hAnsi="Arial"/>
          <w:b w:val="false"/>
          <w:bCs w:val="false"/>
          <w:i w:val="false"/>
          <w:iCs w:val="false"/>
          <w:color w:val="000000"/>
          <w:sz w:val="21"/>
          <w:szCs w:val="21"/>
        </w:rPr>
        <w:t xml:space="preserve">A WhatsApp message was drafted to Motty Stone. Gideon redirected from formal email format to short informal WhatsApp — reflecting the personal friendship.</w:t>
      </w:r>
    </w:p>
    <w:p>
      <w:pPr>
        <w:spacing w:after="40" w:before="40"/>
      </w:pPr>
      <w:r>
        <w:rPr>
          <w:rFonts w:ascii="Arial" w:cs="Arial" w:eastAsia="Arial" w:hAnsi="Arial"/>
          <w:b/>
          <w:bCs/>
          <w:color w:val="BC9C45"/>
          <w:sz w:val="20"/>
          <w:szCs w:val="20"/>
        </w:rPr>
        <w:t xml:space="preserve">STATUS: IN PROGRESS — PSA with attorney. 7 flags awaiting Motty's review.</w:t>
      </w:r>
    </w:p>
    <w:p>
      <w:pPr>
        <w:spacing w:after="80" w:before="280"/>
      </w:pPr>
      <w:r>
        <w:rPr>
          <w:rFonts w:ascii="Arial" w:cs="Arial" w:eastAsia="Arial" w:hAnsi="Arial"/>
          <w:b/>
          <w:bCs/>
          <w:color w:val="0E3470"/>
          <w:sz w:val="24"/>
          <w:szCs w:val="24"/>
        </w:rPr>
        <w:t xml:space="preserve">Magna Electronics — Southfield, Michigan</w:t>
      </w:r>
    </w:p>
    <w:p>
      <w:pPr>
        <w:spacing w:after="60" w:before="60" w:line="300"/>
        <w:jc w:val="left"/>
      </w:pPr>
      <w:r>
        <w:rPr>
          <w:rFonts w:ascii="Arial" w:cs="Arial" w:eastAsia="Arial" w:hAnsi="Arial"/>
          <w:b w:val="false"/>
          <w:bCs w:val="false"/>
          <w:i w:val="false"/>
          <w:iCs w:val="false"/>
          <w:color w:val="000000"/>
          <w:sz w:val="21"/>
          <w:szCs w:val="21"/>
        </w:rPr>
        <w:t xml:space="preserve">26360 American Drive, Southfield. Asking price $41.5 million, 8.37% cap rate, absolute NNN, approximately 8.3 years remaining on lease. Tenant: Magna International (Electronics division).</w:t>
      </w:r>
    </w:p>
    <w:p>
      <w:pPr>
        <w:spacing w:after="60" w:before="60" w:line="300"/>
        <w:jc w:val="left"/>
      </w:pPr>
      <w:r>
        <w:rPr>
          <w:rFonts w:ascii="Arial" w:cs="Arial" w:eastAsia="Arial" w:hAnsi="Arial"/>
          <w:b w:val="false"/>
          <w:bCs w:val="false"/>
          <w:i w:val="false"/>
          <w:iCs w:val="false"/>
          <w:color w:val="000000"/>
          <w:sz w:val="21"/>
          <w:szCs w:val="21"/>
        </w:rPr>
        <w:t xml:space="preserve">An independent risk assessment was produced documenting: $591 million impairment charge against the Electronics unit at this facility, dual negative credit outlooks from S&amp;P and Moody's, Ford warranty claim exposure, and headcount decline across 5 consecutive periods (179K to 175K to 170K to 167K to 164K — cumulative loss of 15,000 employees). The column of declining numbers was designed so the reader's eye projects a sixth number without being told. Gideon corrected: remove the $41.5 million asking price from the document so it reads as "here is what this asset is worth" rather than "here is why your asking price is wrong." Contact through Christopher Guida at B+E / tradenetlease.com.</w:t>
      </w:r>
    </w:p>
    <w:p>
      <w:pPr>
        <w:spacing w:after="40" w:before="40"/>
      </w:pPr>
      <w:r>
        <w:rPr>
          <w:rFonts w:ascii="Arial" w:cs="Arial" w:eastAsia="Arial" w:hAnsi="Arial"/>
          <w:b/>
          <w:bCs/>
          <w:color w:val="BC9C45"/>
          <w:sz w:val="20"/>
          <w:szCs w:val="20"/>
        </w:rPr>
        <w:t xml:space="preserve">STATUS: IN PROGRESS — Risk assessment complete. Strategy and offer not yet developed.</w:t>
      </w:r>
    </w:p>
    <w:p>
      <w:pPr>
        <w:spacing w:after="80" w:before="280"/>
      </w:pPr>
      <w:r>
        <w:rPr>
          <w:rFonts w:ascii="Arial" w:cs="Arial" w:eastAsia="Arial" w:hAnsi="Arial"/>
          <w:b/>
          <w:bCs/>
          <w:color w:val="0E3470"/>
          <w:sz w:val="24"/>
          <w:szCs w:val="24"/>
        </w:rPr>
        <w:t xml:space="preserve">Seller Financing Tax Benefit Charts</w:t>
      </w:r>
    </w:p>
    <w:p>
      <w:pPr>
        <w:spacing w:after="60" w:before="60" w:line="300"/>
        <w:jc w:val="left"/>
      </w:pPr>
      <w:r>
        <w:rPr>
          <w:rFonts w:ascii="Arial" w:cs="Arial" w:eastAsia="Arial" w:hAnsi="Arial"/>
          <w:b w:val="false"/>
          <w:bCs w:val="false"/>
          <w:i w:val="false"/>
          <w:iCs w:val="false"/>
          <w:color w:val="000000"/>
          <w:sz w:val="21"/>
          <w:szCs w:val="21"/>
        </w:rPr>
        <w:t xml:space="preserve">Two one-page seller financing benefit charts were produced on March 11, 2026. Deal 1: $8.4 million / $8.5 million / $8.8 million scenarios. Deal 2: $9.5 million / $10 million / $10.5 million scenarios. Board-reviewed visual hierarchy: IRC with asterisk positioned above the total, total at bottom with heaviest visual weight. Single page each, validated OOXML.</w:t>
      </w:r>
    </w:p>
    <w:p>
      <w:pPr>
        <w:spacing w:after="40" w:before="40"/>
      </w:pPr>
      <w:r>
        <w:rPr>
          <w:rFonts w:ascii="Arial" w:cs="Arial" w:eastAsia="Arial" w:hAnsi="Arial"/>
          <w:b/>
          <w:bCs/>
          <w:color w:val="0B8A4D"/>
          <w:sz w:val="20"/>
          <w:szCs w:val="20"/>
        </w:rPr>
        <w:t xml:space="preserve">STATUS: COMPLETE</w:t>
      </w:r>
    </w:p>
    <w:p>
      <w:pPr>
        <w:spacing w:after="80" w:before="280"/>
      </w:pPr>
      <w:r>
        <w:rPr>
          <w:rFonts w:ascii="Arial" w:cs="Arial" w:eastAsia="Arial" w:hAnsi="Arial"/>
          <w:b/>
          <w:bCs/>
          <w:color w:val="0E3470"/>
          <w:sz w:val="24"/>
          <w:szCs w:val="24"/>
        </w:rPr>
        <w:t xml:space="preserve">Other Properties Analyzed</w:t>
      </w:r>
    </w:p>
    <w:p>
      <w:pPr>
        <w:spacing w:after="60" w:before="60" w:line="300"/>
        <w:jc w:val="left"/>
      </w:pPr>
      <w:r>
        <w:rPr>
          <w:rFonts w:ascii="Arial" w:cs="Arial" w:eastAsia="Arial" w:hAnsi="Arial"/>
          <w:b w:val="false"/>
          <w:bCs w:val="false"/>
          <w:i w:val="false"/>
          <w:iCs w:val="false"/>
          <w:color w:val="000000"/>
          <w:sz w:val="21"/>
          <w:szCs w:val="21"/>
        </w:rPr>
        <w:t xml:space="preserve">Badger Plaza in Racine, Wisconsin — grocery-anchored retail with a staged broker approach designed. 500 West Monroe in Chicago — office property with staged approach template. Cross Pointe Centre in Centerville, Ohio — buyer report produced. Bay Valley Shopping Center — investment presentation produced. Sugar Grove, Port Charlotte, and Kohl's properties received individual analyses. The IGA Portfolio (Jasper, Indiana and Olney, Illinois) had a full Investment Committee Memorandum showing $4.75 million net purchase price, 10.07% going-in cap rate, 2.07x DSCR, 70.3% three-year IRR, 6.06x equity multiple, and only $400,000 equity required. Both leases carry the corporate guarantee of Houchens Industries — a $4 billion revenue, 100% employee-owned company with 109 years of continuous operations. The Watermills Apartments deal ($35 million note acquisition, 99-unit Class A multifamily plus 17,941 square feet of retail in Watertown, Massachusetts) was active in a separate project with IBI Investment House as equity partner.</w:t>
      </w:r>
    </w:p>
    <w:p>
      <w:pPr>
        <w:spacing w:after="40" w:before="40"/>
      </w:pPr>
      <w:r>
        <w:rPr>
          <w:rFonts w:ascii="Arial" w:cs="Arial" w:eastAsia="Arial" w:hAnsi="Arial"/>
          <w:b/>
          <w:bCs/>
          <w:color w:val="BC9C45"/>
          <w:sz w:val="20"/>
          <w:szCs w:val="20"/>
        </w:rPr>
        <w:t xml:space="preserve">STATUS: VARIOUS — Individual analyses complete. Live deal outcomes not tracked in this project.</w:t>
      </w:r>
    </w:p>
    <w:p>
      <w:r>
        <w:br w:type="page"/>
      </w:r>
    </w:p>
    <w:p>
      <w:pPr>
        <w:spacing w:after="100" w:before="400"/>
      </w:pPr>
      <w:r>
        <w:rPr>
          <w:rFonts w:ascii="Arial" w:cs="Arial" w:eastAsia="Arial" w:hAnsi="Arial"/>
          <w:b/>
          <w:bCs/>
          <w:color w:val="0E3470"/>
          <w:sz w:val="28"/>
          <w:szCs w:val="28"/>
        </w:rPr>
        <w:t xml:space="preserve">6. THE EMAIL MACHINE — AUTOMATED BROKER OUTREACH</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The Problem It Solves</w:t>
      </w:r>
    </w:p>
    <w:p>
      <w:pPr>
        <w:spacing w:after="60" w:before="60" w:line="300"/>
        <w:jc w:val="left"/>
      </w:pPr>
      <w:r>
        <w:rPr>
          <w:rFonts w:ascii="Arial" w:cs="Arial" w:eastAsia="Arial" w:hAnsi="Arial"/>
          <w:b w:val="false"/>
          <w:bCs w:val="false"/>
          <w:i w:val="false"/>
          <w:iCs w:val="false"/>
          <w:color w:val="000000"/>
          <w:sz w:val="21"/>
          <w:szCs w:val="21"/>
        </w:rPr>
        <w:t xml:space="preserve">A dead lead analysis of the broker database revealed 566 dead leads representing 1,496 messages. 358 leads (63%) died after a single message with zero follow-up. 73 high-priority leads with real engagement went silent. Current manual capacity is approximately 100-200 touches per day. Target: 1,000+ daily with behavioral intelligence.</w:t>
      </w:r>
    </w:p>
    <w:p>
      <w:pPr>
        <w:spacing w:after="80" w:before="280"/>
      </w:pPr>
      <w:r>
        <w:rPr>
          <w:rFonts w:ascii="Arial" w:cs="Arial" w:eastAsia="Arial" w:hAnsi="Arial"/>
          <w:b/>
          <w:bCs/>
          <w:color w:val="0E3470"/>
          <w:sz w:val="24"/>
          <w:szCs w:val="24"/>
        </w:rPr>
        <w:t xml:space="preserve">The Architecture Decision — Board Debate</w:t>
      </w:r>
    </w:p>
    <w:p>
      <w:pPr>
        <w:spacing w:after="60" w:before="60" w:line="300"/>
        <w:jc w:val="left"/>
      </w:pPr>
      <w:r>
        <w:rPr>
          <w:rFonts w:ascii="Arial" w:cs="Arial" w:eastAsia="Arial" w:hAnsi="Arial"/>
          <w:b w:val="false"/>
          <w:bCs w:val="false"/>
          <w:i w:val="false"/>
          <w:iCs w:val="false"/>
          <w:color w:val="000000"/>
          <w:sz w:val="21"/>
          <w:szCs w:val="21"/>
        </w:rPr>
        <w:t xml:space="preserve">A full board debate was conducted at contentiousness 0.9 with Judge Kambhampati. Every commercial AI email tool was evaluated. AiSDR ($900-4,500 per month) was rated best Tier 1 with 5-10 minute replies and 50+ frameworks but is HubSpot-centric. Reply.io Jason AI ($259-999 per month) was best price-to-capability with the ability to choose AI model. Conversica ($2,999+ per month) was gold standard conversation quality with a decade of development but is primarily inbound with annual contracts. Artisan AI and 11x.ai were independently confirmed unable to handle replies despite $2,400-10,000 per month pricing. The conclusion: no commercial tool detects unanswered questions, adapts to broker behavioral signals, maintains CRE deal context across weeks, or handles multiple simultaneous conversations per broker about different properties. A custom build is the only path.</w:t>
      </w:r>
    </w:p>
    <w:p>
      <w:pPr>
        <w:spacing w:after="80" w:before="280"/>
      </w:pPr>
      <w:r>
        <w:rPr>
          <w:rFonts w:ascii="Arial" w:cs="Arial" w:eastAsia="Arial" w:hAnsi="Arial"/>
          <w:b/>
          <w:bCs/>
          <w:color w:val="0E3470"/>
          <w:sz w:val="24"/>
          <w:szCs w:val="24"/>
        </w:rPr>
        <w:t xml:space="preserve">Chosen Architecture</w:t>
      </w:r>
    </w:p>
    <w:p>
      <w:pPr>
        <w:spacing w:after="60" w:before="60" w:line="300"/>
        <w:jc w:val="left"/>
      </w:pPr>
      <w:r>
        <w:rPr>
          <w:rFonts w:ascii="Arial" w:cs="Arial" w:eastAsia="Arial" w:hAnsi="Arial"/>
          <w:b w:val="false"/>
          <w:bCs w:val="false"/>
          <w:i w:val="false"/>
          <w:iCs w:val="false"/>
          <w:color w:val="000000"/>
          <w:sz w:val="21"/>
          <w:szCs w:val="21"/>
        </w:rPr>
        <w:t xml:space="preserve">Custom hybrid build. Sending infrastructure: Instantly.ai at $97 per month with 4.2 million account warm-up network and inbox rotation. Conversation engine: Claude API at $200-400 per month with prompt caching at approximately $0.01 per turn with Sonnet 4. State management: Supabase/PostgreSQL with pgvector for semantic search, tracking thread state, escalation signals, days silent, information inventory, unanswered questions, and confidence scores. Orchestration: n8n or LangGraph connecting email receipt to LLM analysis to response generation to human review to sending.</w:t>
      </w:r>
    </w:p>
    <w:p>
      <w:pPr>
        <w:spacing w:after="60" w:before="60" w:line="300"/>
        <w:jc w:val="left"/>
      </w:pPr>
      <w:r>
        <w:rPr>
          <w:rFonts w:ascii="Arial" w:cs="Arial" w:eastAsia="Arial" w:hAnsi="Arial"/>
          <w:b w:val="false"/>
          <w:bCs w:val="false"/>
          <w:i w:val="false"/>
          <w:iCs w:val="false"/>
          <w:color w:val="000000"/>
          <w:sz w:val="21"/>
          <w:szCs w:val="21"/>
        </w:rPr>
        <w:t xml:space="preserve">Build cost: $43,500-73,500 with Steve over 8-12 weeks. MVP (weeks 1-3, $6,000-13,500): automated daily report plus reply classification plus draft generation. Core engine (weeks 3-5, $13,500-19,500): autonomous reply drafting plus unanswered question detection plus escalation. Full production (weeks 5-8, $12,000-22,500): broker history matching plus behavioral adaptation plus confidence scoring plus human override. Dashboard (weeks 8-12, $12,000-18,000): web UI replacing spreadsheet management. Operating cost: approximately $500-1,000 per month.</w:t>
      </w:r>
    </w:p>
    <w:p>
      <w:pPr>
        <w:spacing w:after="80" w:before="280"/>
      </w:pPr>
      <w:r>
        <w:rPr>
          <w:rFonts w:ascii="Arial" w:cs="Arial" w:eastAsia="Arial" w:hAnsi="Arial"/>
          <w:b/>
          <w:bCs/>
          <w:color w:val="0E3470"/>
          <w:sz w:val="24"/>
          <w:szCs w:val="24"/>
        </w:rPr>
        <w:t xml:space="preserve">Build Sequence — Board Ratified</w:t>
      </w:r>
    </w:p>
    <w:p>
      <w:pPr>
        <w:spacing w:after="60" w:before="60" w:line="300"/>
        <w:jc w:val="left"/>
      </w:pPr>
      <w:r>
        <w:rPr>
          <w:rFonts w:ascii="Arial" w:cs="Arial" w:eastAsia="Arial" w:hAnsi="Arial"/>
          <w:b w:val="false"/>
          <w:bCs w:val="false"/>
          <w:i w:val="false"/>
          <w:iCs w:val="false"/>
          <w:color w:val="000000"/>
          <w:sz w:val="21"/>
          <w:szCs w:val="21"/>
        </w:rPr>
        <w:t xml:space="preserve">Component 6 first (lightweight integration spec so Steve can begin coding infrastructure). Components 1 and 2 as paired unit (5 email archetypes plus Voss-mapped response taxonomy). Component 3 (behavioral scoring — defined architecturally, activated after first email cycle produces real data). Component 5 (data verification — ships with any property-data archetype per Troutman liability ruling). Component 4 last (confidence threshold logic — calibration layer over taxonomy plus scoring). Human review queue: Shirel and Adir handle approximately 15-20 flagged drafts per day, about 30 minutes daily.</w:t>
      </w:r>
    </w:p>
    <w:p>
      <w:pPr>
        <w:spacing w:after="80" w:before="280"/>
      </w:pPr>
      <w:r>
        <w:rPr>
          <w:rFonts w:ascii="Arial" w:cs="Arial" w:eastAsia="Arial" w:hAnsi="Arial"/>
          <w:b/>
          <w:bCs/>
          <w:color w:val="0E3470"/>
          <w:sz w:val="24"/>
          <w:szCs w:val="24"/>
        </w:rPr>
        <w:t xml:space="preserve">Four Components Never Built</w:t>
      </w:r>
    </w:p>
    <w:p>
      <w:pPr>
        <w:spacing w:after="60" w:before="60" w:line="300"/>
        <w:jc w:val="left"/>
      </w:pPr>
      <w:r>
        <w:rPr>
          <w:rFonts w:ascii="Arial" w:cs="Arial" w:eastAsia="Arial" w:hAnsi="Arial"/>
          <w:b w:val="false"/>
          <w:bCs w:val="false"/>
          <w:i w:val="false"/>
          <w:iCs w:val="false"/>
          <w:color w:val="000000"/>
          <w:sz w:val="21"/>
          <w:szCs w:val="21"/>
        </w:rPr>
        <w:t xml:space="preserve">The reply taxonomy (Voss-mapped classification of broker response types) has been designed but never built as a standalone deliverable. The behavioral scoring schema (Douglas/Navarro framework) has been designed but never built. The confidence threshold calibration has been specified but never built. The complete warm reconnect module for the 4,154 broker contacts has been sequenced but never built. None of these exist as functional systems.</w:t>
      </w:r>
    </w:p>
    <w:p>
      <w:pPr>
        <w:spacing w:after="80" w:before="280"/>
      </w:pPr>
      <w:r>
        <w:rPr>
          <w:rFonts w:ascii="Arial" w:cs="Arial" w:eastAsia="Arial" w:hAnsi="Arial"/>
          <w:b/>
          <w:bCs/>
          <w:color w:val="0E3470"/>
          <w:sz w:val="24"/>
          <w:szCs w:val="24"/>
        </w:rPr>
        <w:t xml:space="preserve">Multi-Channel Vision — Designed but Not Built</w:t>
      </w:r>
    </w:p>
    <w:p>
      <w:pPr>
        <w:spacing w:after="60" w:before="60" w:line="300"/>
        <w:jc w:val="left"/>
      </w:pPr>
      <w:r>
        <w:rPr>
          <w:rFonts w:ascii="Arial" w:cs="Arial" w:eastAsia="Arial" w:hAnsi="Arial"/>
          <w:b w:val="false"/>
          <w:bCs w:val="false"/>
          <w:i w:val="false"/>
          <w:iCs w:val="false"/>
          <w:color w:val="000000"/>
          <w:sz w:val="21"/>
          <w:szCs w:val="21"/>
        </w:rPr>
        <w:t xml:space="preserve">End-of-day text follow-ups for unanswered emails, next-morning re-sends, WhatsApp integration, AI phone calls through Vapi, human phone calls, Zoom appointment booking. Different team members handle different request types. All designed, none built.</w:t>
      </w:r>
    </w:p>
    <w:p>
      <w:pPr>
        <w:spacing w:after="40" w:before="40"/>
      </w:pPr>
      <w:r>
        <w:rPr>
          <w:rFonts w:ascii="Arial" w:cs="Arial" w:eastAsia="Arial" w:hAnsi="Arial"/>
          <w:b/>
          <w:bCs/>
          <w:color w:val="CC0000"/>
          <w:sz w:val="20"/>
          <w:szCs w:val="20"/>
        </w:rPr>
        <w:t xml:space="preserve">STATUS: NOT STARTED — Architecture decided, build sequence determined, zero components built</w:t>
      </w:r>
    </w:p>
    <w:p>
      <w:r>
        <w:br w:type="page"/>
      </w:r>
    </w:p>
    <w:p>
      <w:pPr>
        <w:spacing w:after="100" w:before="400"/>
      </w:pPr>
      <w:r>
        <w:rPr>
          <w:rFonts w:ascii="Arial" w:cs="Arial" w:eastAsia="Arial" w:hAnsi="Arial"/>
          <w:b/>
          <w:bCs/>
          <w:color w:val="0E3470"/>
          <w:sz w:val="28"/>
          <w:szCs w:val="28"/>
        </w:rPr>
        <w:t xml:space="preserve">7. NPL BANK CAMPAIGN — INTELLIGENCE AND STRATEGY</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The Critical Data Correction</w:t>
      </w:r>
    </w:p>
    <w:p>
      <w:pPr>
        <w:spacing w:after="60" w:before="60" w:line="300"/>
        <w:jc w:val="left"/>
      </w:pPr>
      <w:r>
        <w:rPr>
          <w:rFonts w:ascii="Arial" w:cs="Arial" w:eastAsia="Arial" w:hAnsi="Arial"/>
          <w:b w:val="false"/>
          <w:bCs w:val="false"/>
          <w:i w:val="false"/>
          <w:iCs w:val="false"/>
          <w:color w:val="000000"/>
          <w:sz w:val="21"/>
          <w:szCs w:val="21"/>
        </w:rPr>
        <w:t xml:space="preserve">The original BankProspector Q3 2025 FDIC filing data contained formatting errors. NPL ratios were already percentage values but were being reported as if they were raw decimals — inflating 6.11% to appear as 611%. This error initially showed 31 "high priority" banks. After correction, only 4 banks had truly critical distress levels above 10% CRE NPL.</w:t>
      </w:r>
    </w:p>
    <w:p>
      <w:pPr>
        <w:spacing w:after="80" w:before="280"/>
      </w:pPr>
      <w:r>
        <w:rPr>
          <w:rFonts w:ascii="Arial" w:cs="Arial" w:eastAsia="Arial" w:hAnsi="Arial"/>
          <w:b/>
          <w:bCs/>
          <w:color w:val="0E3470"/>
          <w:sz w:val="24"/>
          <w:szCs w:val="24"/>
        </w:rPr>
        <w:t xml:space="preserve">The 11 Target Banks — Final Tiering</w:t>
      </w:r>
    </w:p>
    <w:p>
      <w:pPr>
        <w:spacing w:after="60" w:before="200"/>
      </w:pPr>
      <w:r>
        <w:rPr>
          <w:rFonts w:ascii="Arial" w:cs="Arial" w:eastAsia="Arial" w:hAnsi="Arial"/>
          <w:b/>
          <w:bCs/>
          <w:color w:val="0E3470"/>
          <w:sz w:val="22"/>
          <w:szCs w:val="22"/>
        </w:rPr>
        <w:t xml:space="preserve">Tier 1 — Critical Distress (10%+ CRE NPL)</w:t>
      </w:r>
    </w:p>
    <w:p>
      <w:pPr>
        <w:spacing w:after="60" w:before="60" w:line="300"/>
        <w:jc w:val="left"/>
      </w:pPr>
      <w:r>
        <w:rPr>
          <w:rFonts w:ascii="Arial" w:cs="Arial" w:eastAsia="Arial" w:hAnsi="Arial"/>
          <w:b w:val="false"/>
          <w:bCs w:val="false"/>
          <w:i w:val="false"/>
          <w:iCs w:val="false"/>
          <w:color w:val="000000"/>
          <w:sz w:val="21"/>
          <w:szCs w:val="21"/>
        </w:rPr>
        <w:t xml:space="preserve">Nano Banc in Irvine, California: 21.16% CRE NPL, $874.7 million assets, negative $16 million per year loss, no CRO, CCO, or COO, zero note sale history, Fed Consent and Desist order recently lifted. CEO: Mary Lynn Lenz. Turnaround situation actively hiring workout capabilities. This is a leadership vacuum — the most vulnerable target.</w:t>
      </w:r>
    </w:p>
    <w:p>
      <w:pPr>
        <w:spacing w:after="60" w:before="60" w:line="300"/>
        <w:jc w:val="left"/>
      </w:pPr>
      <w:r>
        <w:rPr>
          <w:rFonts w:ascii="Arial" w:cs="Arial" w:eastAsia="Arial" w:hAnsi="Arial"/>
          <w:b w:val="false"/>
          <w:bCs w:val="false"/>
          <w:i w:val="false"/>
          <w:iCs w:val="false"/>
          <w:color w:val="000000"/>
          <w:sz w:val="21"/>
          <w:szCs w:val="21"/>
        </w:rPr>
        <w:t xml:space="preserve">Sturgis Bank in Michigan: 12.42% CRE NPL, $998.3 million, but improving and self-resolving. Contact: Tracey Parker (CRO/CCO). Moderate priority.</w:t>
      </w:r>
    </w:p>
    <w:p>
      <w:pPr>
        <w:spacing w:after="60" w:before="60" w:line="300"/>
        <w:jc w:val="left"/>
      </w:pPr>
      <w:r>
        <w:rPr>
          <w:rFonts w:ascii="Arial" w:cs="Arial" w:eastAsia="Arial" w:hAnsi="Arial"/>
          <w:b w:val="false"/>
          <w:bCs w:val="false"/>
          <w:i w:val="false"/>
          <w:iCs w:val="false"/>
          <w:color w:val="000000"/>
          <w:sz w:val="21"/>
          <w:szCs w:val="21"/>
        </w:rPr>
        <w:t xml:space="preserve">First State Bank Rosemount in Minnesota: 11.49% CRE NPL, $151.4 million, Tier 1 capital at 6.37% — critically low. Family-owned. CEO: Mark Toombs. Phone call more effective than email for this bank.</w:t>
      </w:r>
    </w:p>
    <w:p>
      <w:pPr>
        <w:spacing w:after="60" w:before="60" w:line="300"/>
        <w:jc w:val="left"/>
      </w:pPr>
      <w:r>
        <w:rPr>
          <w:rFonts w:ascii="Arial" w:cs="Arial" w:eastAsia="Arial" w:hAnsi="Arial"/>
          <w:b w:val="false"/>
          <w:bCs w:val="false"/>
          <w:i w:val="false"/>
          <w:iCs w:val="false"/>
          <w:color w:val="000000"/>
          <w:sz w:val="21"/>
          <w:szCs w:val="21"/>
        </w:rPr>
        <w:t xml:space="preserve">Drake Bank in St. Paul, Minnesota: 10.29% CRE NPL, $272 million, rapid deterioration. New CCO Daniel Batten hired December 2024 with explicit "problem asset management" mandate.</w:t>
      </w:r>
    </w:p>
    <w:p>
      <w:pPr>
        <w:spacing w:after="60" w:before="200"/>
      </w:pPr>
      <w:r>
        <w:rPr>
          <w:rFonts w:ascii="Arial" w:cs="Arial" w:eastAsia="Arial" w:hAnsi="Arial"/>
          <w:b/>
          <w:bCs/>
          <w:color w:val="0E3470"/>
          <w:sz w:val="22"/>
          <w:szCs w:val="22"/>
        </w:rPr>
        <w:t xml:space="preserve">Tier 2 — High Distress (4-10%)</w:t>
      </w:r>
    </w:p>
    <w:p>
      <w:pPr>
        <w:spacing w:after="60" w:before="60" w:line="300"/>
        <w:jc w:val="left"/>
      </w:pPr>
      <w:r>
        <w:rPr>
          <w:rFonts w:ascii="Arial" w:cs="Arial" w:eastAsia="Arial" w:hAnsi="Arial"/>
          <w:b w:val="false"/>
          <w:bCs w:val="false"/>
          <w:i w:val="false"/>
          <w:iCs w:val="false"/>
          <w:color w:val="000000"/>
          <w:sz w:val="21"/>
          <w:szCs w:val="21"/>
        </w:rPr>
        <w:t xml:space="preserve">First Guaranty Bank in Hammond, Louisiana: 6.11% CRE NPL but the largest dollar opportunity at $130 million+ in distressed assets ($95.5 million NPAs plus $35.1 million OREO). $3.8 billion bank. $56 million net loss in 2025. Actively disposing — January 2026 $7 million OREO sale. Publicly traded. This is the number one immediately actionable target because it is a proven seller with existing infrastructure.</w:t>
      </w:r>
    </w:p>
    <w:p>
      <w:pPr>
        <w:spacing w:after="60" w:before="60" w:line="300"/>
        <w:jc w:val="left"/>
      </w:pPr>
      <w:r>
        <w:rPr>
          <w:rFonts w:ascii="Arial" w:cs="Arial" w:eastAsia="Arial" w:hAnsi="Arial"/>
          <w:b w:val="false"/>
          <w:bCs w:val="false"/>
          <w:i w:val="false"/>
          <w:iCs w:val="false"/>
          <w:color w:val="000000"/>
          <w:sz w:val="21"/>
          <w:szCs w:val="21"/>
        </w:rPr>
        <w:t xml:space="preserve">Security State Bank in Algona, Iowa: DATA DISCREPANCY. FDIC shows Algona at Tier 1 32.18%, not the 7.99% reported. May be the wrong entity — possibly Radcliffe, Iowa. On hold until verified.</w:t>
      </w:r>
    </w:p>
    <w:p>
      <w:pPr>
        <w:spacing w:after="60" w:before="60" w:line="300"/>
        <w:jc w:val="left"/>
      </w:pPr>
      <w:r>
        <w:rPr>
          <w:rFonts w:ascii="Arial" w:cs="Arial" w:eastAsia="Arial" w:hAnsi="Arial"/>
          <w:b w:val="false"/>
          <w:bCs w:val="false"/>
          <w:i w:val="false"/>
          <w:iCs w:val="false"/>
          <w:color w:val="000000"/>
          <w:sz w:val="21"/>
          <w:szCs w:val="21"/>
        </w:rPr>
        <w:t xml:space="preserve">Crown Bank in Edina, Minnesota: 5.80% CRE NPL, $443.8 million. Regulatory scar tissue from prior consent order and founder fraud. 84% efficiency ratio.</w:t>
      </w:r>
    </w:p>
    <w:p>
      <w:pPr>
        <w:spacing w:after="60" w:before="60" w:line="300"/>
        <w:jc w:val="left"/>
      </w:pPr>
      <w:r>
        <w:rPr>
          <w:rFonts w:ascii="Arial" w:cs="Arial" w:eastAsia="Arial" w:hAnsi="Arial"/>
          <w:b w:val="false"/>
          <w:bCs w:val="false"/>
          <w:i w:val="false"/>
          <w:iCs w:val="false"/>
          <w:color w:val="000000"/>
          <w:sz w:val="21"/>
          <w:szCs w:val="21"/>
        </w:rPr>
        <w:t xml:space="preserve">Fieldpoint Private in Greenwich, Connecticut: 5.22% CRE NPL, approximately $1 billion. Active Federal Reserve Written Agreement from September 2024. Tier 1 capital at 6.35% — below the charter-required 8.0%. ROA: negative 3.51%. New PE-backed CEO from Patriot Financial Partners. This is the number two immediately actionable target because the live regulatory pressure creates urgency.</w:t>
      </w:r>
    </w:p>
    <w:p>
      <w:pPr>
        <w:spacing w:after="60" w:before="60" w:line="300"/>
        <w:jc w:val="left"/>
      </w:pPr>
      <w:r>
        <w:rPr>
          <w:rFonts w:ascii="Arial" w:cs="Arial" w:eastAsia="Arial" w:hAnsi="Arial"/>
          <w:b w:val="false"/>
          <w:bCs w:val="false"/>
          <w:i w:val="false"/>
          <w:iCs w:val="false"/>
          <w:color w:val="000000"/>
          <w:sz w:val="21"/>
          <w:szCs w:val="21"/>
        </w:rPr>
        <w:t xml:space="preserve">Poca Valley Bank in Walton, West Virginia: 4.33% CRE NPL, $637.8 million. New branch construction creating capital tension. Collections department already sells foreclosed properties via sealed bid.</w:t>
      </w:r>
    </w:p>
    <w:p>
      <w:pPr>
        <w:spacing w:after="60" w:before="200"/>
      </w:pPr>
      <w:r>
        <w:rPr>
          <w:rFonts w:ascii="Arial" w:cs="Arial" w:eastAsia="Arial" w:hAnsi="Arial"/>
          <w:b/>
          <w:bCs/>
          <w:color w:val="0E3470"/>
          <w:sz w:val="22"/>
          <w:szCs w:val="22"/>
        </w:rPr>
        <w:t xml:space="preserve">Bonus Targets</w:t>
      </w:r>
    </w:p>
    <w:p>
      <w:pPr>
        <w:spacing w:after="60" w:before="60" w:line="300"/>
        <w:jc w:val="left"/>
      </w:pPr>
      <w:r>
        <w:rPr>
          <w:rFonts w:ascii="Arial" w:cs="Arial" w:eastAsia="Arial" w:hAnsi="Arial"/>
          <w:b w:val="false"/>
          <w:bCs w:val="false"/>
          <w:i w:val="false"/>
          <w:iCs w:val="false"/>
          <w:color w:val="000000"/>
          <w:sz w:val="21"/>
          <w:szCs w:val="21"/>
        </w:rPr>
        <w:t xml:space="preserve">CB&amp;T West Georgia in LaGrange, Georgia: 110% Texas Ratio approaching failure. $278.2 million, $25.15 million in NPAs. Holding company actively acquiring. Bank of Belleville in Illinois: 23.49% multifamily NPL on $24.7 million portfolio (approximately $5.8 million non-performing), but overall healthy with 10.61% Tier 1. New ownership since October 2024.</w:t>
      </w:r>
    </w:p>
    <w:p>
      <w:pPr>
        <w:spacing w:after="80" w:before="280"/>
      </w:pPr>
      <w:r>
        <w:rPr>
          <w:rFonts w:ascii="Arial" w:cs="Arial" w:eastAsia="Arial" w:hAnsi="Arial"/>
          <w:b/>
          <w:bCs/>
          <w:color w:val="0E3470"/>
          <w:sz w:val="24"/>
          <w:szCs w:val="24"/>
        </w:rPr>
        <w:t xml:space="preserve">Outreach Strategy — Approved but Not Executed</w:t>
      </w:r>
    </w:p>
    <w:p>
      <w:pPr>
        <w:spacing w:after="60" w:before="60" w:line="300"/>
        <w:jc w:val="left"/>
      </w:pPr>
      <w:r>
        <w:rPr>
          <w:rFonts w:ascii="Arial" w:cs="Arial" w:eastAsia="Arial" w:hAnsi="Arial"/>
          <w:b w:val="false"/>
          <w:bCs w:val="false"/>
          <w:i w:val="false"/>
          <w:iCs w:val="false"/>
          <w:color w:val="000000"/>
          <w:sz w:val="21"/>
          <w:szCs w:val="21"/>
        </w:rPr>
        <w:t xml:space="preserve">Tier 1: FedEx package plus phone follow-up plus email. Reference letters included. Multi-touch. Tier 2: Email plus phone with institutional proof and certainty of execution. Tier 3: Email sequences building awareness. Key market intelligence: zero of the 11 banks are working with loan sale advisors. Zero are in active M&amp;A. This means zero competition for these assets. Education-first approach positioning RePrime as capital management partner, not vulture. 30+ reference letters from prior bank transactions available. Most effective approach: target specific special assets officers through phone, not email. A single re-trade permanently destroys a banking relationship — this was emphasized as non-negotiable.</w:t>
      </w:r>
    </w:p>
    <w:p>
      <w:pPr>
        <w:spacing w:after="40" w:before="40"/>
      </w:pPr>
      <w:r>
        <w:rPr>
          <w:rFonts w:ascii="Arial" w:cs="Arial" w:eastAsia="Arial" w:hAnsi="Arial"/>
          <w:b/>
          <w:bCs/>
          <w:color w:val="CC0000"/>
          <w:sz w:val="20"/>
          <w:szCs w:val="20"/>
        </w:rPr>
        <w:t xml:space="preserve">STATUS: INTELLIGENCE COMPLETE — Zero outreach sent</w:t>
      </w:r>
    </w:p>
    <w:p>
      <w:r>
        <w:br w:type="page"/>
      </w:r>
    </w:p>
    <w:p>
      <w:pPr>
        <w:spacing w:after="100" w:before="400"/>
      </w:pPr>
      <w:r>
        <w:rPr>
          <w:rFonts w:ascii="Arial" w:cs="Arial" w:eastAsia="Arial" w:hAnsi="Arial"/>
          <w:b/>
          <w:bCs/>
          <w:color w:val="0E3470"/>
          <w:sz w:val="28"/>
          <w:szCs w:val="28"/>
        </w:rPr>
        <w:t xml:space="preserve">8. THE DEAL SUBMISSION PORTAL — RESEARCH AND DESIGN</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What It Is</w:t>
      </w:r>
    </w:p>
    <w:p>
      <w:pPr>
        <w:spacing w:after="60" w:before="60" w:line="300"/>
        <w:jc w:val="left"/>
      </w:pPr>
      <w:r>
        <w:rPr>
          <w:rFonts w:ascii="Arial" w:cs="Arial" w:eastAsia="Arial" w:hAnsi="Arial"/>
          <w:b w:val="false"/>
          <w:bCs w:val="false"/>
          <w:i w:val="false"/>
          <w:iCs w:val="false"/>
          <w:color w:val="000000"/>
          <w:sz w:val="21"/>
          <w:szCs w:val="21"/>
        </w:rPr>
        <w:t xml:space="preserve">A web interface through which brokers, sellers, and contract flippers submit deals to RePrime. Not a generic form — a psychologically calibrated submission experience. This is Side 1 of the two-sided Terminal platform, the broker-facing portal.</w:t>
      </w:r>
    </w:p>
    <w:p>
      <w:pPr>
        <w:spacing w:after="80" w:before="280"/>
      </w:pPr>
      <w:r>
        <w:rPr>
          <w:rFonts w:ascii="Arial" w:cs="Arial" w:eastAsia="Arial" w:hAnsi="Arial"/>
          <w:b/>
          <w:bCs/>
          <w:color w:val="0E3470"/>
          <w:sz w:val="24"/>
          <w:szCs w:val="24"/>
        </w:rPr>
        <w:t xml:space="preserve">Three Entry Experiences</w:t>
      </w:r>
    </w:p>
    <w:p>
      <w:pPr>
        <w:spacing w:after="60" w:before="60" w:line="300"/>
        <w:jc w:val="left"/>
      </w:pPr>
      <w:r>
        <w:rPr>
          <w:rFonts w:ascii="Arial" w:cs="Arial" w:eastAsia="Arial" w:hAnsi="Arial"/>
          <w:b w:val="false"/>
          <w:bCs w:val="false"/>
          <w:i w:val="false"/>
          <w:iCs w:val="false"/>
          <w:color w:val="000000"/>
          <w:sz w:val="21"/>
          <w:szCs w:val="21"/>
        </w:rPr>
        <w:t xml:space="preserve">Brokers get a relationship-first experience. They are partners, not lead sources. The form is a trust-building instrument using Grant's giver framework — give before asking. Sellers get a burden-relief experience. The form removes their problem, it does not interrogate them. Designed for distressed, inherited, management-weary, and overleveraged psychology. Flippers and wholesalers get a speed-and-certainty experience with hidden counterparty detection using the SUE (Strategic Use of Evidence) method — invisible interrogation through form field design where questions are sequenced so truthful and deceptive answers diverge.</w:t>
      </w:r>
    </w:p>
    <w:p>
      <w:pPr>
        <w:spacing w:after="80" w:before="280"/>
      </w:pPr>
      <w:r>
        <w:rPr>
          <w:rFonts w:ascii="Arial" w:cs="Arial" w:eastAsia="Arial" w:hAnsi="Arial"/>
          <w:b/>
          <w:bCs/>
          <w:color w:val="0E3470"/>
          <w:sz w:val="24"/>
          <w:szCs w:val="24"/>
        </w:rPr>
        <w:t xml:space="preserve">Research Completed — 10 Standalone Sessions</w:t>
      </w:r>
    </w:p>
    <w:p>
      <w:pPr>
        <w:spacing w:after="60" w:before="60" w:line="300"/>
        <w:jc w:val="left"/>
      </w:pPr>
      <w:r>
        <w:rPr>
          <w:rFonts w:ascii="Arial" w:cs="Arial" w:eastAsia="Arial" w:hAnsi="Arial"/>
          <w:b w:val="false"/>
          <w:bCs w:val="false"/>
          <w:i w:val="false"/>
          <w:iCs w:val="false"/>
          <w:color w:val="000000"/>
          <w:sz w:val="21"/>
          <w:szCs w:val="21"/>
        </w:rPr>
        <w:t xml:space="preserve">Session 1: Broker psychology and price gap thresholds. Finding: no published study directly maps price gaps to deal collapse probability in CRE. The "10% universal lowball threshold" is unvalidated folklore.</w:t>
      </w:r>
    </w:p>
    <w:p>
      <w:pPr>
        <w:spacing w:after="60" w:before="60" w:line="300"/>
        <w:jc w:val="left"/>
      </w:pPr>
      <w:r>
        <w:rPr>
          <w:rFonts w:ascii="Arial" w:cs="Arial" w:eastAsia="Arial" w:hAnsi="Arial"/>
          <w:b w:val="false"/>
          <w:bCs w:val="false"/>
          <w:i w:val="false"/>
          <w:iCs w:val="false"/>
          <w:color w:val="000000"/>
          <w:sz w:val="21"/>
          <w:szCs w:val="21"/>
        </w:rPr>
        <w:t xml:space="preserve">Session 2: Rejection letter behavioral science. Five evidence-based language principles with quantified effect sizes for goodbye letters.</w:t>
      </w:r>
    </w:p>
    <w:p>
      <w:pPr>
        <w:spacing w:after="60" w:before="60" w:line="300"/>
        <w:jc w:val="left"/>
      </w:pPr>
      <w:r>
        <w:rPr>
          <w:rFonts w:ascii="Arial" w:cs="Arial" w:eastAsia="Arial" w:hAnsi="Arial"/>
          <w:b w:val="false"/>
          <w:bCs w:val="false"/>
          <w:i w:val="false"/>
          <w:iCs w:val="false"/>
          <w:color w:val="000000"/>
          <w:sz w:val="21"/>
          <w:szCs w:val="21"/>
        </w:rPr>
        <w:t xml:space="preserve">Session 3: Broker gifting compliance across Florida, New York, Texas, California, and Illinois. Conditional GO — non-cash personalized desk items under $50, given outside active transactions. RESPA does not apply to commercial real estate. Six psychological mechanisms activate simultaneously: reciprocity (d=1.05), personalization, endowment (g=0.57), persistent visibility, costly signaling, and surprise timing (7x amplification). Pending: engagement of real estate regulatory counsel before launch.</w:t>
      </w:r>
    </w:p>
    <w:p>
      <w:pPr>
        <w:spacing w:after="60" w:before="60" w:line="300"/>
        <w:jc w:val="left"/>
      </w:pPr>
      <w:r>
        <w:rPr>
          <w:rFonts w:ascii="Arial" w:cs="Arial" w:eastAsia="Arial" w:hAnsi="Arial"/>
          <w:b w:val="false"/>
          <w:bCs w:val="false"/>
          <w:i w:val="false"/>
          <w:iCs w:val="false"/>
          <w:color w:val="000000"/>
          <w:sz w:val="21"/>
          <w:szCs w:val="21"/>
        </w:rPr>
        <w:t xml:space="preserve">Session 4: Detecting performed urgency using deception science. Trained professionals detect deception at only 54% — barely above coin flip. Verbal content analysis (Vrij CBCA framework) is 5-7 times more effective than nonverbal cues. Truthful accounts contain contextual embedding, reproduction of conversation, unexpected complications, and quantity of detail. The "polish paradox": a perfectly formatted urgent message contains an inherent contradiction.</w:t>
      </w:r>
    </w:p>
    <w:p>
      <w:pPr>
        <w:spacing w:after="60" w:before="60" w:line="300"/>
        <w:jc w:val="left"/>
      </w:pPr>
      <w:r>
        <w:rPr>
          <w:rFonts w:ascii="Arial" w:cs="Arial" w:eastAsia="Arial" w:hAnsi="Arial"/>
          <w:b w:val="false"/>
          <w:bCs w:val="false"/>
          <w:i w:val="false"/>
          <w:iCs w:val="false"/>
          <w:color w:val="000000"/>
          <w:sz w:val="21"/>
          <w:szCs w:val="21"/>
        </w:rPr>
        <w:t xml:space="preserve">Session 5: Optimal video length for B2B trust. Recommendation: 60-90 seconds, hard ceiling 2 minutes. Medium confidence (triangulated from Wistia 100 million+ videos, thin-slice trust research, and Vidyard 943K B2B videos). Asymmetric risk with sophisticated audiences: video showing uncertainty triggers more negative reaction than confidence triggers positive.</w:t>
      </w:r>
    </w:p>
    <w:p>
      <w:pPr>
        <w:spacing w:after="60" w:before="60" w:line="300"/>
        <w:jc w:val="left"/>
      </w:pPr>
      <w:r>
        <w:rPr>
          <w:rFonts w:ascii="Arial" w:cs="Arial" w:eastAsia="Arial" w:hAnsi="Arial"/>
          <w:b w:val="false"/>
          <w:bCs w:val="false"/>
          <w:i w:val="false"/>
          <w:iCs w:val="false"/>
          <w:color w:val="000000"/>
          <w:sz w:val="21"/>
          <w:szCs w:val="21"/>
        </w:rPr>
        <w:t xml:space="preserve">Session 6: Broker relationship management between deals. The certainty-of-close premium is 10% — buyers who demonstrate certain execution get properties at a 10% premium versus uncertain buyers (Cypher et al.).</w:t>
      </w:r>
    </w:p>
    <w:p>
      <w:pPr>
        <w:spacing w:after="60" w:before="60" w:line="300"/>
        <w:jc w:val="left"/>
      </w:pPr>
      <w:r>
        <w:rPr>
          <w:rFonts w:ascii="Arial" w:cs="Arial" w:eastAsia="Arial" w:hAnsi="Arial"/>
          <w:b w:val="false"/>
          <w:bCs w:val="false"/>
          <w:i w:val="false"/>
          <w:iCs w:val="false"/>
          <w:color w:val="000000"/>
          <w:sz w:val="21"/>
          <w:szCs w:val="21"/>
        </w:rPr>
        <w:t xml:space="preserve">Session 7: Form design for non-expert distressed owners. CFPB research: 29-75% comprehension improvement with plain language. Cognitive Interview technique produces 42% more correct details. All questions should be skippable.</w:t>
      </w:r>
    </w:p>
    <w:p>
      <w:pPr>
        <w:spacing w:after="60" w:before="60" w:line="300"/>
        <w:jc w:val="left"/>
      </w:pPr>
      <w:r>
        <w:rPr>
          <w:rFonts w:ascii="Arial" w:cs="Arial" w:eastAsia="Arial" w:hAnsi="Arial"/>
          <w:b w:val="false"/>
          <w:bCs w:val="false"/>
          <w:i w:val="false"/>
          <w:iCs w:val="false"/>
          <w:color w:val="000000"/>
          <w:sz w:val="21"/>
          <w:szCs w:val="21"/>
        </w:rPr>
        <w:t xml:space="preserve">Session 8: Audio surveillance law firms identified — Covington, Gibson Dunn, Mayer Brown, WilmerHale, Perkins Coie.</w:t>
      </w:r>
    </w:p>
    <w:p>
      <w:pPr>
        <w:spacing w:after="60" w:before="60" w:line="300"/>
        <w:jc w:val="left"/>
      </w:pPr>
      <w:r>
        <w:rPr>
          <w:rFonts w:ascii="Arial" w:cs="Arial" w:eastAsia="Arial" w:hAnsi="Arial"/>
          <w:b w:val="false"/>
          <w:bCs w:val="false"/>
          <w:i w:val="false"/>
          <w:iCs w:val="false"/>
          <w:color w:val="000000"/>
          <w:sz w:val="21"/>
          <w:szCs w:val="21"/>
        </w:rPr>
        <w:t xml:space="preserve">Session 9: Counterparty detection for flippers and wholesalers. State-level wholesaling regulations across 15+ states. SUE method for invisible interrogation design.</w:t>
      </w:r>
    </w:p>
    <w:p>
      <w:pPr>
        <w:spacing w:after="60" w:before="60" w:line="300"/>
        <w:jc w:val="left"/>
      </w:pPr>
      <w:r>
        <w:rPr>
          <w:rFonts w:ascii="Arial" w:cs="Arial" w:eastAsia="Arial" w:hAnsi="Arial"/>
          <w:b w:val="false"/>
          <w:bCs w:val="false"/>
          <w:i w:val="false"/>
          <w:iCs w:val="false"/>
          <w:color w:val="000000"/>
          <w:sz w:val="21"/>
          <w:szCs w:val="21"/>
        </w:rPr>
        <w:t xml:space="preserve">Session 10: Video for B2B trust — thin-slicing research (100ms credibility judgments), platform data from Wistia and Vidyard.</w:t>
      </w:r>
    </w:p>
    <w:p>
      <w:pPr>
        <w:spacing w:after="80" w:before="280"/>
      </w:pPr>
      <w:r>
        <w:rPr>
          <w:rFonts w:ascii="Arial" w:cs="Arial" w:eastAsia="Arial" w:hAnsi="Arial"/>
          <w:b/>
          <w:bCs/>
          <w:color w:val="0E3470"/>
          <w:sz w:val="24"/>
          <w:szCs w:val="24"/>
        </w:rPr>
        <w:t xml:space="preserve">Research Prompts Created but Not Executed</w:t>
      </w:r>
    </w:p>
    <w:p>
      <w:pPr>
        <w:spacing w:after="60" w:before="60" w:line="300"/>
        <w:jc w:val="left"/>
      </w:pPr>
      <w:r>
        <w:rPr>
          <w:rFonts w:ascii="Arial" w:cs="Arial" w:eastAsia="Arial" w:hAnsi="Arial"/>
          <w:b w:val="false"/>
          <w:bCs w:val="false"/>
          <w:i w:val="false"/>
          <w:iCs w:val="false"/>
          <w:color w:val="000000"/>
          <w:sz w:val="21"/>
          <w:szCs w:val="21"/>
        </w:rPr>
        <w:t xml:space="preserve">Six dedicated research task prompts were consolidated from a 17-search behavioral science sweep. Task 1: Form Design and UX Psychology (designated highest priority). Task 2: Price Psychology. Task 3: Trust, Loyalty, and Relationship Architecture. Task 4: Institutional Decision-Making. Task 5: Post-Offer Timeline. Task 6: Outreach Pipeline. None of these six tasks have been executed.</w:t>
      </w:r>
    </w:p>
    <w:p>
      <w:pPr>
        <w:spacing w:after="80" w:before="280"/>
      </w:pPr>
      <w:r>
        <w:rPr>
          <w:rFonts w:ascii="Arial" w:cs="Arial" w:eastAsia="Arial" w:hAnsi="Arial"/>
          <w:b/>
          <w:bCs/>
          <w:color w:val="0E3470"/>
          <w:sz w:val="24"/>
          <w:szCs w:val="24"/>
        </w:rPr>
        <w:t xml:space="preserve">Design Decisions — Finalized</w:t>
      </w:r>
    </w:p>
    <w:p>
      <w:pPr>
        <w:spacing w:after="60" w:before="60" w:line="300"/>
        <w:jc w:val="left"/>
      </w:pPr>
      <w:r>
        <w:rPr>
          <w:rFonts w:ascii="Arial" w:cs="Arial" w:eastAsia="Arial" w:hAnsi="Arial"/>
          <w:b w:val="false"/>
          <w:bCs w:val="false"/>
          <w:i w:val="false"/>
          <w:iCs w:val="false"/>
          <w:color w:val="000000"/>
          <w:sz w:val="21"/>
          <w:szCs w:val="21"/>
        </w:rPr>
        <w:t xml:space="preserve">Fogg B=MAP: motivated seller plus confusing form equals no submission. Norman Gulf of Execution: form must be immediately obvious in purpose and operation. Voss: what questions feel like interrogation versus help. Feinberg: confirmation page and follow-up email serve as documentation the broker can use to justify referring RePrime. Thaler defaults (d=0.43): pre-filled fields accelerate completion. Anderson averaging: fields without underwriting purpose create friction without value — every field must have a specific use. Video hard ceiling: 2 minutes.</w:t>
      </w:r>
    </w:p>
    <w:p>
      <w:pPr>
        <w:spacing w:after="80" w:before="280"/>
      </w:pPr>
      <w:r>
        <w:rPr>
          <w:rFonts w:ascii="Arial" w:cs="Arial" w:eastAsia="Arial" w:hAnsi="Arial"/>
          <w:b/>
          <w:bCs/>
          <w:color w:val="0E3470"/>
          <w:sz w:val="24"/>
          <w:szCs w:val="24"/>
        </w:rPr>
        <w:t xml:space="preserve">A Broker Portal Was Built Separately</w:t>
      </w:r>
    </w:p>
    <w:p>
      <w:pPr>
        <w:spacing w:after="60" w:before="60" w:line="300"/>
        <w:jc w:val="left"/>
      </w:pPr>
      <w:r>
        <w:rPr>
          <w:rFonts w:ascii="Arial" w:cs="Arial" w:eastAsia="Arial" w:hAnsi="Arial"/>
          <w:b w:val="false"/>
          <w:bCs w:val="false"/>
          <w:i w:val="false"/>
          <w:iCs w:val="false"/>
          <w:color w:val="000000"/>
          <w:sz w:val="21"/>
          <w:szCs w:val="21"/>
        </w:rPr>
        <w:t xml:space="preserve">A Claude Project Setup Package was delivered to Mushka Gratsiani for implementation via Lovable connected to Supabase. A working React artifact (reprime-final.jsx.tsx) exists with a public landing page featuring a dark navy hero, gold accents, activity toast notifications, and a stats bar; a login screen with Three.js animated background; an onboarding flow; and a dashboard mockup with deal cards. The five buyer groups are built into the portal UI as an interactive component showing the speed-to-price spectrum. The backend is intentionally manual for beta — the Wizard of Oz model where human workers assisted by AI validate the market before building full automation.</w:t>
      </w:r>
    </w:p>
    <w:p>
      <w:pPr>
        <w:spacing w:after="40" w:before="40"/>
      </w:pPr>
      <w:r>
        <w:rPr>
          <w:rFonts w:ascii="Arial" w:cs="Arial" w:eastAsia="Arial" w:hAnsi="Arial"/>
          <w:b/>
          <w:bCs/>
          <w:color w:val="BC9C45"/>
          <w:sz w:val="20"/>
          <w:szCs w:val="20"/>
        </w:rPr>
        <w:t xml:space="preserve">STATUS: RESEARCH COMPLETE — 10 of 16 research tasks done. Build not started. React prototype exists separately.</w:t>
      </w:r>
    </w:p>
    <w:p>
      <w:r>
        <w:br w:type="page"/>
      </w:r>
    </w:p>
    <w:p>
      <w:pPr>
        <w:spacing w:after="100" w:before="400"/>
      </w:pPr>
      <w:r>
        <w:rPr>
          <w:rFonts w:ascii="Arial" w:cs="Arial" w:eastAsia="Arial" w:hAnsi="Arial"/>
          <w:b/>
          <w:bCs/>
          <w:color w:val="0E3470"/>
          <w:sz w:val="28"/>
          <w:szCs w:val="28"/>
        </w:rPr>
        <w:t xml:space="preserve">9. THE INVESTOR PORTAL — SIDE 2 OF THE PLATFORM</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What Was Designed</w:t>
      </w:r>
    </w:p>
    <w:p>
      <w:pPr>
        <w:spacing w:after="60" w:before="60" w:line="300"/>
        <w:jc w:val="left"/>
      </w:pPr>
      <w:r>
        <w:rPr>
          <w:rFonts w:ascii="Arial" w:cs="Arial" w:eastAsia="Arial" w:hAnsi="Arial"/>
          <w:b w:val="false"/>
          <w:bCs w:val="false"/>
          <w:i w:val="false"/>
          <w:iCs w:val="false"/>
          <w:color w:val="000000"/>
          <w:sz w:val="21"/>
          <w:szCs w:val="21"/>
        </w:rPr>
        <w:t xml:space="preserve">The investor portal was the subject of a detailed 45-entry extraction across 16 sections. It is the most architecturally complete workstream that has not yet been built. The key differentiating feature — confirmed across 12+ entries in every extraction — is the real-time countdown timer engine. No existing platform offers this: not InvestNext, not Agora, not Juniper Square, not any VDR.</w:t>
      </w:r>
    </w:p>
    <w:p>
      <w:pPr>
        <w:spacing w:after="80" w:before="280"/>
      </w:pPr>
      <w:r>
        <w:rPr>
          <w:rFonts w:ascii="Arial" w:cs="Arial" w:eastAsia="Arial" w:hAnsi="Arial"/>
          <w:b/>
          <w:bCs/>
          <w:color w:val="0E3470"/>
          <w:sz w:val="24"/>
          <w:szCs w:val="24"/>
        </w:rPr>
        <w:t xml:space="preserve">Major Design Decisions — All Finalized</w:t>
      </w:r>
    </w:p>
    <w:p>
      <w:pPr>
        <w:spacing w:after="60" w:before="60" w:line="300"/>
        <w:jc w:val="left"/>
      </w:pPr>
      <w:r>
        <w:rPr>
          <w:rFonts w:ascii="Arial" w:cs="Arial" w:eastAsia="Arial" w:hAnsi="Arial"/>
          <w:b w:val="false"/>
          <w:bCs w:val="false"/>
          <w:i w:val="false"/>
          <w:iCs w:val="false"/>
          <w:color w:val="000000"/>
          <w:sz w:val="21"/>
          <w:szCs w:val="21"/>
        </w:rPr>
        <w:t xml:space="preserve">Every member sees every deal simultaneously. No timing advantages. No preferential access windows. First deposit locks the deal. The only exception: members committing $10 million+ as a blind pool with discretionary authority get first look on GP deals. The open market model is philosophical — one perceived act of favoritism destroys the entire community.</w:t>
      </w:r>
    </w:p>
    <w:p>
      <w:pPr>
        <w:spacing w:after="60" w:before="60" w:line="300"/>
        <w:jc w:val="left"/>
      </w:pPr>
      <w:r>
        <w:rPr>
          <w:rFonts w:ascii="Arial" w:cs="Arial" w:eastAsia="Arial" w:hAnsi="Arial"/>
          <w:b w:val="false"/>
          <w:bCs w:val="false"/>
          <w:i w:val="false"/>
          <w:iCs w:val="false"/>
          <w:color w:val="000000"/>
          <w:sz w:val="21"/>
          <w:szCs w:val="21"/>
        </w:rPr>
        <w:t xml:space="preserve">Onboarding follows Fogg's behavioral design: first login shows one featured deal with a guided walkthrough, second visit opens one data room, third visit unlocks the full deal board. Never show 47 deals on first login.</w:t>
      </w:r>
    </w:p>
    <w:p>
      <w:pPr>
        <w:spacing w:after="60" w:before="60" w:line="300"/>
        <w:jc w:val="left"/>
      </w:pPr>
      <w:r>
        <w:rPr>
          <w:rFonts w:ascii="Arial" w:cs="Arial" w:eastAsia="Arial" w:hAnsi="Arial"/>
          <w:b w:val="false"/>
          <w:bCs w:val="false"/>
          <w:i w:val="false"/>
          <w:iCs w:val="false"/>
          <w:color w:val="000000"/>
          <w:sz w:val="21"/>
          <w:szCs w:val="21"/>
        </w:rPr>
        <w:t xml:space="preserve">Kahneman System 2 to System 1 sequencing is non-negotiable: analysis and data room content first, countdown timers and commitment buttons last. If urgency precedes analysis, investors make worse decisions.</w:t>
      </w:r>
    </w:p>
    <w:p>
      <w:pPr>
        <w:spacing w:after="60" w:before="60" w:line="300"/>
        <w:jc w:val="left"/>
      </w:pPr>
      <w:r>
        <w:rPr>
          <w:rFonts w:ascii="Arial" w:cs="Arial" w:eastAsia="Arial" w:hAnsi="Arial"/>
          <w:b w:val="false"/>
          <w:bCs w:val="false"/>
          <w:i w:val="false"/>
          <w:iCs w:val="false"/>
          <w:color w:val="000000"/>
          <w:sz w:val="21"/>
          <w:szCs w:val="21"/>
        </w:rPr>
        <w:t xml:space="preserve">Dynamic watermarks on financial documents carry the viewer's name, email, and timestamp. View-only via react-pdf. Cannot be downloaded. Static watermarks on marketing materials.</w:t>
      </w:r>
    </w:p>
    <w:p>
      <w:pPr>
        <w:spacing w:after="60" w:before="60" w:line="300"/>
        <w:jc w:val="left"/>
      </w:pPr>
      <w:r>
        <w:rPr>
          <w:rFonts w:ascii="Arial" w:cs="Arial" w:eastAsia="Arial" w:hAnsi="Arial"/>
          <w:b w:val="false"/>
          <w:bCs w:val="false"/>
          <w:i w:val="false"/>
          <w:iCs w:val="false"/>
          <w:color w:val="000000"/>
          <w:sz w:val="21"/>
          <w:szCs w:val="21"/>
        </w:rPr>
        <w:t xml:space="preserve">Notification defaults are all ON per Thaler's default effect (37-50 percentage point increase in adoption). Nir Eyal's Hook Model drives the notification-to-portal loop.</w:t>
      </w:r>
    </w:p>
    <w:p>
      <w:pPr>
        <w:spacing w:after="60" w:before="60" w:line="300"/>
        <w:jc w:val="left"/>
      </w:pPr>
      <w:r>
        <w:rPr>
          <w:rFonts w:ascii="Arial" w:cs="Arial" w:eastAsia="Arial" w:hAnsi="Arial"/>
          <w:b w:val="false"/>
          <w:bCs w:val="false"/>
          <w:i w:val="false"/>
          <w:iCs w:val="false"/>
          <w:color w:val="000000"/>
          <w:sz w:val="21"/>
          <w:szCs w:val="21"/>
        </w:rPr>
        <w:t xml:space="preserve">Removal triggers: three withdrawn commitments in 6 months, sharing confidential information outside the platform, or contacting sellers directly. No second chances on NDA violations or direct seller contact.</w:t>
      </w:r>
    </w:p>
    <w:p>
      <w:pPr>
        <w:spacing w:after="80" w:before="280"/>
      </w:pPr>
      <w:r>
        <w:rPr>
          <w:rFonts w:ascii="Arial" w:cs="Arial" w:eastAsia="Arial" w:hAnsi="Arial"/>
          <w:b/>
          <w:bCs/>
          <w:color w:val="0E3470"/>
          <w:sz w:val="24"/>
          <w:szCs w:val="24"/>
        </w:rPr>
        <w:t xml:space="preserve">The Five Buyer Groups — Supersession Notice</w:t>
      </w:r>
    </w:p>
    <w:p>
      <w:pPr>
        <w:spacing w:after="60" w:before="60" w:line="300"/>
        <w:jc w:val="left"/>
      </w:pPr>
      <w:r>
        <w:rPr>
          <w:rFonts w:ascii="Arial" w:cs="Arial" w:eastAsia="Arial" w:hAnsi="Arial"/>
          <w:b w:val="false"/>
          <w:bCs w:val="false"/>
          <w:i w:val="false"/>
          <w:iCs w:val="false"/>
          <w:color w:val="000000"/>
          <w:sz w:val="21"/>
          <w:szCs w:val="21"/>
        </w:rPr>
        <w:t xml:space="preserve">The five buyer groups architecture from March 2026 supersedes all earlier three-tier product references. Group 1: 7-Day Close. Group 2: Non-Refundable Day One. Group 3: 30-45 Day Standard (labeled Most Active). Group 4: Traditional with financing contingency. Group 5: Premium Institutional. Each maps to distinct LP coalitions from Israel and Gulf States. The terms are the headlines — Gideon corrected that the terms sell, not group names like "Rapid Certainty."</w:t>
      </w:r>
    </w:p>
    <w:p>
      <w:pPr>
        <w:spacing w:after="80" w:before="280"/>
      </w:pPr>
      <w:r>
        <w:rPr>
          <w:rFonts w:ascii="Arial" w:cs="Arial" w:eastAsia="Arial" w:hAnsi="Arial"/>
          <w:b/>
          <w:bCs/>
          <w:color w:val="0E3470"/>
          <w:sz w:val="24"/>
          <w:szCs w:val="24"/>
        </w:rPr>
        <w:t xml:space="preserve">The Seller-Facing McDonald's Menu — Separate System</w:t>
      </w:r>
    </w:p>
    <w:p>
      <w:pPr>
        <w:spacing w:after="60" w:before="60" w:line="300"/>
        <w:jc w:val="left"/>
      </w:pPr>
      <w:r>
        <w:rPr>
          <w:rFonts w:ascii="Arial" w:cs="Arial" w:eastAsia="Arial" w:hAnsi="Arial"/>
          <w:b w:val="false"/>
          <w:bCs w:val="false"/>
          <w:i w:val="false"/>
          <w:iCs w:val="false"/>
          <w:color w:val="000000"/>
          <w:sz w:val="21"/>
          <w:szCs w:val="21"/>
        </w:rPr>
        <w:t xml:space="preserve">A four-tier seller-facing menu was also designed, separate from the investor-facing menu. Speed Priority: 50% of determined value, close in 24 hours from title clearance — for owners in crisis. Fast Close: 65%, close in 30 days. Balanced: 80%, 60-90 days. Maximum Price: highest percentage, longest timeline. Both the seller-facing and investor-facing menus remain active and serve different sides of the platform.</w:t>
      </w:r>
    </w:p>
    <w:p>
      <w:pPr>
        <w:spacing w:after="80" w:before="280"/>
      </w:pPr>
      <w:r>
        <w:rPr>
          <w:rFonts w:ascii="Arial" w:cs="Arial" w:eastAsia="Arial" w:hAnsi="Arial"/>
          <w:b/>
          <w:bCs/>
          <w:color w:val="0E3470"/>
          <w:sz w:val="24"/>
          <w:szCs w:val="24"/>
        </w:rPr>
        <w:t xml:space="preserve">Technical Architecture — Specified</w:t>
      </w:r>
    </w:p>
    <w:p>
      <w:pPr>
        <w:spacing w:after="60" w:before="60" w:line="300"/>
        <w:jc w:val="left"/>
      </w:pPr>
      <w:r>
        <w:rPr>
          <w:rFonts w:ascii="Arial" w:cs="Arial" w:eastAsia="Arial" w:hAnsi="Arial"/>
          <w:b w:val="false"/>
          <w:bCs w:val="false"/>
          <w:i w:val="false"/>
          <w:iCs w:val="false"/>
          <w:color w:val="000000"/>
          <w:sz w:val="21"/>
          <w:szCs w:val="21"/>
        </w:rPr>
        <w:t xml:space="preserve">Six new Supabase tables designed: portal_members, deal_milestones, deal_documents, commitments, access_logs, and notification_preferences. Authentication via Supabase Auth with email magic links, no passwords. Row Level Security on every table. Development timeline estimated at 3-4 weeks with AI tools. Tech stack: Next.js 15, shadcn/ui, Tailwind CSS 4, Tremor for data visualization, Supabase, Makerkit boilerplate, Resend plus React Email, Vercel, Mapbox. Monthly cost: $65-85.</w:t>
      </w:r>
    </w:p>
    <w:p>
      <w:pPr>
        <w:spacing w:after="80" w:before="280"/>
      </w:pPr>
      <w:r>
        <w:rPr>
          <w:rFonts w:ascii="Arial" w:cs="Arial" w:eastAsia="Arial" w:hAnsi="Arial"/>
          <w:b/>
          <w:bCs/>
          <w:color w:val="0E3470"/>
          <w:sz w:val="24"/>
          <w:szCs w:val="24"/>
        </w:rPr>
        <w:t xml:space="preserve">What Was Never Decided</w:t>
      </w:r>
    </w:p>
    <w:p>
      <w:pPr>
        <w:spacing w:after="60" w:before="60" w:line="300"/>
        <w:jc w:val="left"/>
      </w:pPr>
      <w:r>
        <w:rPr>
          <w:rFonts w:ascii="Arial" w:cs="Arial" w:eastAsia="Arial" w:hAnsi="Arial"/>
          <w:b w:val="false"/>
          <w:bCs w:val="false"/>
          <w:i w:val="false"/>
          <w:iCs w:val="false"/>
          <w:color w:val="000000"/>
          <w:sz w:val="21"/>
          <w:szCs w:val="21"/>
        </w:rPr>
        <w:t xml:space="preserve">The admin panel has been referenced in every technical document but never fully specified. Mobile: responsive web first was recommended, native app only if usage patterns demand it, but never formally decided. BombBomb-style personalized property videos from Gideon for top deals were mentioned once but never decided.</w:t>
      </w:r>
    </w:p>
    <w:p>
      <w:pPr>
        <w:spacing w:after="40" w:before="40"/>
      </w:pPr>
      <w:r>
        <w:rPr>
          <w:rFonts w:ascii="Arial" w:cs="Arial" w:eastAsia="Arial" w:hAnsi="Arial"/>
          <w:b/>
          <w:bCs/>
          <w:color w:val="BC9C45"/>
          <w:sz w:val="20"/>
          <w:szCs w:val="20"/>
        </w:rPr>
        <w:t xml:space="preserve">STATUS: DESIGNED — Complete architecture. Not built. Three items undecided.</w:t>
      </w:r>
    </w:p>
    <w:p>
      <w:r>
        <w:br w:type="page"/>
      </w:r>
    </w:p>
    <w:p>
      <w:pPr>
        <w:spacing w:after="100" w:before="400"/>
      </w:pPr>
      <w:r>
        <w:rPr>
          <w:rFonts w:ascii="Arial" w:cs="Arial" w:eastAsia="Arial" w:hAnsi="Arial"/>
          <w:b/>
          <w:bCs/>
          <w:color w:val="0E3470"/>
          <w:sz w:val="28"/>
          <w:szCs w:val="28"/>
        </w:rPr>
        <w:t xml:space="preserve">10. OPERATION GATEWAY — INTERNATIONAL CAPITAL</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What It Is</w:t>
      </w:r>
    </w:p>
    <w:p>
      <w:pPr>
        <w:spacing w:after="60" w:before="60" w:line="300"/>
        <w:jc w:val="left"/>
      </w:pPr>
      <w:r>
        <w:rPr>
          <w:rFonts w:ascii="Arial" w:cs="Arial" w:eastAsia="Arial" w:hAnsi="Arial"/>
          <w:b w:val="false"/>
          <w:bCs w:val="false"/>
          <w:i w:val="false"/>
          <w:iCs w:val="false"/>
          <w:color w:val="000000"/>
          <w:sz w:val="21"/>
          <w:szCs w:val="21"/>
        </w:rPr>
        <w:t xml:space="preserve">Operation Gateway is RePrime Group's international investor acquisition ecosystem designed to channel non-US capital into US commercial real estate. It was developed across 14 conversations in March 8-10, 2026, and produced a Master Controller document (17 prompts across 5 phases), an Infrastructure Partners report, multiple country deep dives, and a Legal Orchestration Engine.</w:t>
      </w:r>
    </w:p>
    <w:p>
      <w:pPr>
        <w:spacing w:after="80" w:before="280"/>
      </w:pPr>
      <w:r>
        <w:rPr>
          <w:rFonts w:ascii="Arial" w:cs="Arial" w:eastAsia="Arial" w:hAnsi="Arial"/>
          <w:b/>
          <w:bCs/>
          <w:color w:val="0E3470"/>
          <w:sz w:val="24"/>
          <w:szCs w:val="24"/>
        </w:rPr>
        <w:t xml:space="preserve">The Credibility Stack — 5 Layers</w:t>
      </w:r>
    </w:p>
    <w:p>
      <w:pPr>
        <w:spacing w:after="60" w:before="60" w:line="300"/>
        <w:jc w:val="left"/>
      </w:pPr>
      <w:r>
        <w:rPr>
          <w:rFonts w:ascii="Arial" w:cs="Arial" w:eastAsia="Arial" w:hAnsi="Arial"/>
          <w:b w:val="false"/>
          <w:bCs w:val="false"/>
          <w:i w:val="false"/>
          <w:iCs w:val="false"/>
          <w:color w:val="000000"/>
          <w:sz w:val="21"/>
          <w:szCs w:val="21"/>
        </w:rPr>
        <w:t xml:space="preserve">Layer 1 (Sovereign): SelectUSA and ITA participation — positions operation as sanctioned commercial activity aligned with US national interests. Target: Gideon leads a "RePrime Technology and Real Estate Delegation" under ITA program status. Layer 2 (State): Partnerships with Texas, Florida, Ohio, and Michigan EDOs. Layer 3 (Intellectual): MIT faculty collaboration, Wharton Zell/Lurie Research Sponsor at $15,000 per year. Layer 4 (Professional): AFIRE (invitation-only institutional investors), ULI Corporate Partnership at $30,000 per year. Layer 5 (Ethical): 501(c)(3) Foundation for educational mission, 501(c)(6) League for professional association. Separation is structural, not cosmetic.</w:t>
      </w:r>
    </w:p>
    <w:p>
      <w:pPr>
        <w:spacing w:after="80" w:before="280"/>
      </w:pPr>
      <w:r>
        <w:rPr>
          <w:rFonts w:ascii="Arial" w:cs="Arial" w:eastAsia="Arial" w:hAnsi="Arial"/>
          <w:b/>
          <w:bCs/>
          <w:color w:val="0E3470"/>
          <w:sz w:val="24"/>
          <w:szCs w:val="24"/>
        </w:rPr>
        <w:t xml:space="preserve">Four Capital Corridors</w:t>
      </w:r>
    </w:p>
    <w:p>
      <w:pPr>
        <w:spacing w:after="60" w:before="60" w:line="300"/>
        <w:jc w:val="left"/>
      </w:pPr>
      <w:r>
        <w:rPr>
          <w:rFonts w:ascii="Arial" w:cs="Arial" w:eastAsia="Arial" w:hAnsi="Arial"/>
          <w:b w:val="false"/>
          <w:bCs w:val="false"/>
          <w:i w:val="false"/>
          <w:iCs w:val="false"/>
          <w:color w:val="000000"/>
          <w:sz w:val="21"/>
          <w:szCs w:val="21"/>
        </w:rPr>
        <w:t xml:space="preserve">Israel first because the relationships exist — IBI Investment House already engaged, plus Migdal, Harel, Menora Mivtachim, Phoenix, Clal. Approximately 40,000 accredited investors in Israel, $578 million deployed in US real estate in 2024. Brazil and Latin America second for speed to revenue — 433,000 Brazilian millionaires, $271 billion Argentine capital outside banking, BTG Pactual as primary institution, Miami as gateway. Gulf States third for scale — Olayan Group, Safanad, SEDCO Holding, DAMAC, Saudi family offices, FII Miami flagged as imminent opportunity. Korea fourth for institutional depth — NPS with $1.05 trillion AUM, but temporarily cautious after office and mezzanine losses, deployment timeline 2028-2029.</w:t>
      </w:r>
    </w:p>
    <w:p>
      <w:pPr>
        <w:spacing w:after="80" w:before="280"/>
      </w:pPr>
      <w:r>
        <w:rPr>
          <w:rFonts w:ascii="Arial" w:cs="Arial" w:eastAsia="Arial" w:hAnsi="Arial"/>
          <w:b/>
          <w:bCs/>
          <w:color w:val="0E3470"/>
          <w:sz w:val="24"/>
          <w:szCs w:val="24"/>
        </w:rPr>
        <w:t xml:space="preserve">The Legal Orchestration Engine — 7 Layers</w:t>
      </w:r>
    </w:p>
    <w:p>
      <w:pPr>
        <w:spacing w:after="60" w:before="60" w:line="300"/>
        <w:jc w:val="left"/>
      </w:pPr>
      <w:r>
        <w:rPr>
          <w:rFonts w:ascii="Arial" w:cs="Arial" w:eastAsia="Arial" w:hAnsi="Arial"/>
          <w:b w:val="false"/>
          <w:bCs w:val="false"/>
          <w:i w:val="false"/>
          <w:iCs w:val="false"/>
          <w:color w:val="000000"/>
          <w:sz w:val="21"/>
          <w:szCs w:val="21"/>
        </w:rPr>
        <w:t xml:space="preserve">Layer 1: Attorney intelligence and selection system mapping specialists by deal type and investor origin country. Layer 2: Dual-firm cold approach protocol positioning Gateway as capital allocator selecting service providers. Layer 3: AI-generated situational preparation briefs before every meeting. Layer 4: AI-assisted contract auditing against 30 years of forensic logic. Layer 5: Multi-firm validation — AI ingests legal opinions from both firms, highlights discrepancies, presents decision matrices. Layer 6: Trust flywheel — deal outcome performance data builds credibility over time. Layer 7: Platform revenue from legal project management at scale.</w:t>
      </w:r>
    </w:p>
    <w:p>
      <w:pPr>
        <w:spacing w:after="80" w:before="280"/>
      </w:pPr>
      <w:r>
        <w:rPr>
          <w:rFonts w:ascii="Arial" w:cs="Arial" w:eastAsia="Arial" w:hAnsi="Arial"/>
          <w:b/>
          <w:bCs/>
          <w:color w:val="0E3470"/>
          <w:sz w:val="24"/>
          <w:szCs w:val="24"/>
        </w:rPr>
        <w:t xml:space="preserve">The Sovereign Ghost Suite — Asset Protection</w:t>
      </w:r>
    </w:p>
    <w:p>
      <w:pPr>
        <w:spacing w:after="60" w:before="60" w:line="300"/>
        <w:jc w:val="left"/>
      </w:pPr>
      <w:r>
        <w:rPr>
          <w:rFonts w:ascii="Arial" w:cs="Arial" w:eastAsia="Arial" w:hAnsi="Arial"/>
          <w:b w:val="false"/>
          <w:bCs w:val="false"/>
          <w:i w:val="false"/>
          <w:iCs w:val="false"/>
          <w:color w:val="000000"/>
          <w:sz w:val="21"/>
          <w:szCs w:val="21"/>
        </w:rPr>
        <w:t xml:space="preserve">Wyoming COPE LLC framework for anonymous holding. Cayman STAR Trust for additional separation layer. Private Trust Company in Cayman for privacy and rapid commercial decision-making. Layered structure: Wyoming Holding LLC to offshore trust to operating LLCs to property. Creates dead-ends on ownership records.</w:t>
      </w:r>
    </w:p>
    <w:p>
      <w:pPr>
        <w:spacing w:after="80" w:before="280"/>
      </w:pPr>
      <w:r>
        <w:rPr>
          <w:rFonts w:ascii="Arial" w:cs="Arial" w:eastAsia="Arial" w:hAnsi="Arial"/>
          <w:b/>
          <w:bCs/>
          <w:color w:val="0E3470"/>
          <w:sz w:val="24"/>
          <w:szCs w:val="24"/>
        </w:rPr>
        <w:t xml:space="preserve">Strategic Pivots During Development</w:t>
      </w:r>
    </w:p>
    <w:p>
      <w:pPr>
        <w:spacing w:after="60" w:before="60" w:line="300"/>
        <w:jc w:val="left"/>
      </w:pPr>
      <w:r>
        <w:rPr>
          <w:rFonts w:ascii="Arial" w:cs="Arial" w:eastAsia="Arial" w:hAnsi="Arial"/>
          <w:b w:val="false"/>
          <w:bCs w:val="false"/>
          <w:i w:val="false"/>
          <w:iCs w:val="false"/>
          <w:color w:val="000000"/>
          <w:sz w:val="21"/>
          <w:szCs w:val="21"/>
        </w:rPr>
        <w:t xml:space="preserve">Country sequencing was debated — one session recommended Singapore, South Korea, and Brazil over Israel as launch markets. This was corrected back to Israel first because the relationships already exist. The Zero-Harm Engagement Principle emerged as a unifying philosophy: no participant is ever worse off for having engaged with Terminal. The Track A / Track B architecture (Report Stigma Firewall) was established: Track A is free institutional analysis integrated into the deal submission pipeline, Track B is paid ($5,000-10,000) analytics completely separate from acquisition pipeline to prevent market confusion between Terminal reports and LOI rejections.</w:t>
      </w:r>
    </w:p>
    <w:p>
      <w:pPr>
        <w:spacing w:after="80" w:before="280"/>
      </w:pPr>
      <w:r>
        <w:rPr>
          <w:rFonts w:ascii="Arial" w:cs="Arial" w:eastAsia="Arial" w:hAnsi="Arial"/>
          <w:b/>
          <w:bCs/>
          <w:color w:val="0E3470"/>
          <w:sz w:val="24"/>
          <w:szCs w:val="24"/>
        </w:rPr>
        <w:t xml:space="preserve">Master Controller</w:t>
      </w:r>
    </w:p>
    <w:p>
      <w:pPr>
        <w:spacing w:after="60" w:before="60" w:line="300"/>
        <w:jc w:val="left"/>
      </w:pPr>
      <w:r>
        <w:rPr>
          <w:rFonts w:ascii="Arial" w:cs="Arial" w:eastAsia="Arial" w:hAnsi="Arial"/>
          <w:b w:val="false"/>
          <w:bCs w:val="false"/>
          <w:i w:val="false"/>
          <w:iCs w:val="false"/>
          <w:color w:val="000000"/>
          <w:sz w:val="21"/>
          <w:szCs w:val="21"/>
        </w:rPr>
        <w:t xml:space="preserve">A 17-prompt execution sequence across 5 phases was developed for Mushka to execute: Country Selection Board, Israel Deep Dive, Country B through E Deep Dives, Persona Design Lab, Knowledge Architecture, ABM Sniper System, Engagement Architecture, GP Side Strategy, Platform Architecture, AI Brand Identity, Legal Regulatory Compliance, Institutional Credibility, Why Narrative Architecture, and Master Synthesis. An Elevated Master Controller v2.0 with 29 prompts and 7 sections was produced, along with a 12-step execution guide for Mushka.</w:t>
      </w:r>
    </w:p>
    <w:p>
      <w:pPr>
        <w:spacing w:after="80" w:before="280"/>
      </w:pPr>
      <w:r>
        <w:rPr>
          <w:rFonts w:ascii="Arial" w:cs="Arial" w:eastAsia="Arial" w:hAnsi="Arial"/>
          <w:b/>
          <w:bCs/>
          <w:color w:val="0E3470"/>
          <w:sz w:val="24"/>
          <w:szCs w:val="24"/>
        </w:rPr>
        <w:t xml:space="preserve">Infrastructure Partners — Detailed Research</w:t>
      </w:r>
    </w:p>
    <w:p>
      <w:pPr>
        <w:spacing w:after="60" w:before="60" w:line="300"/>
        <w:jc w:val="left"/>
      </w:pPr>
      <w:r>
        <w:rPr>
          <w:rFonts w:ascii="Arial" w:cs="Arial" w:eastAsia="Arial" w:hAnsi="Arial"/>
          <w:b w:val="false"/>
          <w:bCs w:val="false"/>
          <w:i w:val="false"/>
          <w:iCs w:val="false"/>
          <w:color w:val="000000"/>
          <w:sz w:val="21"/>
          <w:szCs w:val="21"/>
        </w:rPr>
        <w:t xml:space="preserve">Title companies: First American NCS (Joseph Ghilardi, ClarityFirst platform), FNF/Chicago Title, Stewart Title (Global Advantage Title for Gulf positioning), Old Republic NCS (Michael Atkins — Fulbright scholar, ULI Foundation Governor). 1031 QIs: IPX1031 (FNF subsidiary, $100 million fidelity bond), API (Stewart subsidiary), Exeter (government-regulated), Accruit ($9 billion annual). AML/KYC: Greenberg Traurig ($2.6 billion revenue, offices in Tel Aviv, Seoul, Dubai, Mexico City), Gibson Dunn, Ballard Spahr, King and Spalding (Gulf/Islamic finance), Paul Hastings (Asian focus), Holland and Knight (Israel Practice). Torah-compliant (Heter Iska) and Sharia-compliant structuring researched including KFI, Law Mandel, and specific Sukuk structures.</w:t>
      </w:r>
    </w:p>
    <w:p>
      <w:pPr>
        <w:spacing w:after="40" w:before="40"/>
      </w:pPr>
      <w:r>
        <w:rPr>
          <w:rFonts w:ascii="Arial" w:cs="Arial" w:eastAsia="Arial" w:hAnsi="Arial"/>
          <w:b/>
          <w:bCs/>
          <w:color w:val="BC9C45"/>
          <w:sz w:val="20"/>
          <w:szCs w:val="20"/>
        </w:rPr>
        <w:t xml:space="preserve">STATUS: RESEARCH AND STRATEGY COMPLETE — Execution of 17-prompt sequence not started</w:t>
      </w:r>
    </w:p>
    <w:p>
      <w:r>
        <w:br w:type="page"/>
      </w:r>
    </w:p>
    <w:p>
      <w:pPr>
        <w:spacing w:after="100" w:before="400"/>
      </w:pPr>
      <w:r>
        <w:rPr>
          <w:rFonts w:ascii="Arial" w:cs="Arial" w:eastAsia="Arial" w:hAnsi="Arial"/>
          <w:b/>
          <w:bCs/>
          <w:color w:val="0E3470"/>
          <w:sz w:val="28"/>
          <w:szCs w:val="28"/>
        </w:rPr>
        <w:t xml:space="preserve">11. TECHNOLOGY STACK — WHAT WAS EVALUATED</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Active Tools (Currently Paying)</w:t>
      </w:r>
    </w:p>
    <w:p>
      <w:pPr>
        <w:spacing w:after="60" w:before="60" w:line="300"/>
        <w:jc w:val="left"/>
      </w:pPr>
      <w:r>
        <w:rPr>
          <w:rFonts w:ascii="Arial" w:cs="Arial" w:eastAsia="Arial" w:hAnsi="Arial"/>
          <w:b w:val="false"/>
          <w:bCs w:val="false"/>
          <w:i w:val="false"/>
          <w:iCs w:val="false"/>
          <w:color w:val="000000"/>
          <w:sz w:val="21"/>
          <w:szCs w:val="21"/>
        </w:rPr>
        <w:t xml:space="preserve">CoStar: Market data, comps, loan maturity tracking. Approximately $24,000 per year. Active. Buildout: Property presentations. $15,000 per year. Active. Lovable: App builder. Active. Supabase: Database backend. Active. Claude API: AI processing. Active. Playwright: Browser automation. Free. Built.</w:t>
      </w:r>
    </w:p>
    <w:p>
      <w:pPr>
        <w:spacing w:after="80" w:before="280"/>
      </w:pPr>
      <w:r>
        <w:rPr>
          <w:rFonts w:ascii="Arial" w:cs="Arial" w:eastAsia="Arial" w:hAnsi="Arial"/>
          <w:b/>
          <w:bCs/>
          <w:color w:val="0E3470"/>
          <w:sz w:val="24"/>
          <w:szCs w:val="24"/>
        </w:rPr>
        <w:t xml:space="preserve">Evaluated and Recommended — Not Yet Purchased</w:t>
      </w:r>
    </w:p>
    <w:p>
      <w:pPr>
        <w:spacing w:after="60" w:before="60" w:line="300"/>
        <w:jc w:val="left"/>
      </w:pPr>
      <w:r>
        <w:rPr>
          <w:rFonts w:ascii="Arial" w:cs="Arial" w:eastAsia="Arial" w:hAnsi="Arial"/>
          <w:b w:val="false"/>
          <w:bCs w:val="false"/>
          <w:i w:val="false"/>
          <w:iCs w:val="false"/>
          <w:color w:val="000000"/>
          <w:sz w:val="21"/>
          <w:szCs w:val="21"/>
        </w:rPr>
        <w:t xml:space="preserve">CRED iQ: CMBS distressed loan data at approximately $14,400 per year. Recommended as the primary source for maturity wall deal identification. Reonomy (now Altus Group): ML property intelligence and LLC piercing at $4,800 per year. Recommended. Placer.ai: Foot traffic and demographics at $5,000-15,000 per year. Pending decision. LexisNexis Accurint: Skip tracing and background at enterprise pricing. Recommended. CreditRiskMonitor: FRISK Score with 96% bankruptcy accuracy at $8,000-15,000 per year. Recommended for tenant intelligence. PropertyRadar: Lis pendens, NOD, and trustee sales at $1,188 per year. Recommended for distress monitoring.</w:t>
      </w:r>
    </w:p>
    <w:p>
      <w:pPr>
        <w:spacing w:after="80" w:before="280"/>
      </w:pPr>
      <w:r>
        <w:rPr>
          <w:rFonts w:ascii="Arial" w:cs="Arial" w:eastAsia="Arial" w:hAnsi="Arial"/>
          <w:b/>
          <w:bCs/>
          <w:color w:val="0E3470"/>
          <w:sz w:val="24"/>
          <w:szCs w:val="24"/>
        </w:rPr>
        <w:t xml:space="preserve">Full Stack Evaluation — 200+ Tools Across 53 Categories</w:t>
      </w:r>
    </w:p>
    <w:p>
      <w:pPr>
        <w:spacing w:after="60" w:before="60" w:line="300"/>
        <w:jc w:val="left"/>
      </w:pPr>
      <w:r>
        <w:rPr>
          <w:rFonts w:ascii="Arial" w:cs="Arial" w:eastAsia="Arial" w:hAnsi="Arial"/>
          <w:b w:val="false"/>
          <w:bCs w:val="false"/>
          <w:i w:val="false"/>
          <w:iCs w:val="false"/>
          <w:color w:val="000000"/>
          <w:sz w:val="21"/>
          <w:szCs w:val="21"/>
        </w:rPr>
        <w:t xml:space="preserve">A Master Stack Report was produced evaluating over 200 tools with BUY, SKIP, and WAIT verdicts at three budget tiers. Estimated annual cost ranges from $50,000 for proof of concept to $420,000 at full institutional capacity, with a sweet spot of $150,000-200,000 for 90% capability. Categories include cold email architecture, counterparty intelligence, meeting intelligence, AI voice agents, web scraping and monitoring, workflow automation, physical mail, LinkedIn, CRE document extraction, PDF generation, distress monitoring, tenant intelligence, and market data.</w:t>
      </w:r>
    </w:p>
    <w:p>
      <w:pPr>
        <w:spacing w:after="80" w:before="280"/>
      </w:pPr>
      <w:r>
        <w:rPr>
          <w:rFonts w:ascii="Arial" w:cs="Arial" w:eastAsia="Arial" w:hAnsi="Arial"/>
          <w:b/>
          <w:bCs/>
          <w:color w:val="0E3470"/>
          <w:sz w:val="24"/>
          <w:szCs w:val="24"/>
        </w:rPr>
        <w:t xml:space="preserve">Tools Explicitly Rejected</w:t>
      </w:r>
    </w:p>
    <w:p>
      <w:pPr>
        <w:spacing w:after="60" w:before="60" w:line="300"/>
        <w:jc w:val="left"/>
      </w:pPr>
      <w:r>
        <w:rPr>
          <w:rFonts w:ascii="Arial" w:cs="Arial" w:eastAsia="Arial" w:hAnsi="Arial"/>
          <w:b w:val="false"/>
          <w:bCs w:val="false"/>
          <w:i w:val="false"/>
          <w:iCs w:val="false"/>
          <w:color w:val="000000"/>
          <w:sz w:val="21"/>
          <w:szCs w:val="21"/>
        </w:rPr>
        <w:t xml:space="preserve">Salesforce: overkill without dedicated admin. Air AI: reportedly dead as of 2025. Bland AI: voice quality degrades on long calls. Buildout CRM: broker-oriented, not acquisition-oriented. Lovable: loses context at 30+ components and produces security flaws. Webflow plus Memberstack: client-side content gating is insecure. Softr plus Airtable: cannot achieve institutional design quality.</w:t>
      </w:r>
    </w:p>
    <w:p>
      <w:pPr>
        <w:spacing w:after="80" w:before="280"/>
      </w:pPr>
      <w:r>
        <w:rPr>
          <w:rFonts w:ascii="Arial" w:cs="Arial" w:eastAsia="Arial" w:hAnsi="Arial"/>
          <w:b/>
          <w:bCs/>
          <w:color w:val="0E3470"/>
          <w:sz w:val="24"/>
          <w:szCs w:val="24"/>
        </w:rPr>
        <w:t xml:space="preserve">Key Architecture Decisions</w:t>
      </w:r>
    </w:p>
    <w:p>
      <w:pPr>
        <w:spacing w:after="60" w:before="60" w:line="300"/>
        <w:jc w:val="left"/>
      </w:pPr>
      <w:r>
        <w:rPr>
          <w:rFonts w:ascii="Arial" w:cs="Arial" w:eastAsia="Arial" w:hAnsi="Arial"/>
          <w:b w:val="false"/>
          <w:bCs w:val="false"/>
          <w:i w:val="false"/>
          <w:iCs w:val="false"/>
          <w:color w:val="000000"/>
          <w:sz w:val="21"/>
          <w:szCs w:val="21"/>
        </w:rPr>
        <w:t xml:space="preserve">n8n was selected for workflow automation as strictly dominant for a technical single user — unlimited workflows at zero per-task cost. Synthflow Pro at $375 per month was approved for limited use only: after-hours inbound answering and basic appointment scheduling. It will fail with experienced CRE brokers who detect AI within 30 seconds. Not ready for broker calls. Fireflies.ai Business at $39 per month was selected for meeting intelligence with GraphQL API and CRE-specific topic tracking.</w:t>
      </w:r>
    </w:p>
    <w:p>
      <w:pPr>
        <w:spacing w:after="40" w:before="40"/>
      </w:pPr>
      <w:r>
        <w:rPr>
          <w:rFonts w:ascii="Arial" w:cs="Arial" w:eastAsia="Arial" w:hAnsi="Arial"/>
          <w:b/>
          <w:bCs/>
          <w:color w:val="0B8A4D"/>
          <w:sz w:val="20"/>
          <w:szCs w:val="20"/>
        </w:rPr>
        <w:t xml:space="preserve">STATUS: EVALUATION COMPLETE — Phased purchasing aligned to stages in Master Plan</w:t>
      </w:r>
    </w:p>
    <w:p>
      <w:r>
        <w:br w:type="page"/>
      </w:r>
    </w:p>
    <w:p>
      <w:pPr>
        <w:spacing w:after="100" w:before="400"/>
      </w:pPr>
      <w:r>
        <w:rPr>
          <w:rFonts w:ascii="Arial" w:cs="Arial" w:eastAsia="Arial" w:hAnsi="Arial"/>
          <w:b/>
          <w:bCs/>
          <w:color w:val="0E3470"/>
          <w:sz w:val="28"/>
          <w:szCs w:val="28"/>
        </w:rPr>
        <w:t xml:space="preserve">12. REVENUE MODEL — WHAT WAS RESEARCHED AND DECIDED</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Core Revenue Streams — Decided</w:t>
      </w:r>
    </w:p>
    <w:p>
      <w:pPr>
        <w:spacing w:after="60" w:before="60" w:line="300"/>
        <w:jc w:val="left"/>
      </w:pPr>
      <w:r>
        <w:rPr>
          <w:rFonts w:ascii="Arial" w:cs="Arial" w:eastAsia="Arial" w:hAnsi="Arial"/>
          <w:b w:val="false"/>
          <w:bCs w:val="false"/>
          <w:i w:val="false"/>
          <w:iCs w:val="false"/>
          <w:color w:val="000000"/>
          <w:sz w:val="21"/>
          <w:szCs w:val="21"/>
        </w:rPr>
        <w:t xml:space="preserve">Transaction Coordination Fee: 1.5% of deal size with $15,000 minimum. Single bundled fee covering all vendor vetting, quote comparison, rate negotiation, quality assurance, and timing coordination. Bundling rationale from behavioral economics: Ariely's pain of paying (every payment triggers the brain's insula — single fee causes only marginally more pain than a smaller fee, while five separate fees create five pain events), Thaler's hedonic framing (integrate losses, segregate gains), Soman and Gourville's transaction decoupling.</w:t>
      </w:r>
    </w:p>
    <w:p>
      <w:pPr>
        <w:spacing w:after="60" w:before="60" w:line="300"/>
        <w:jc w:val="left"/>
      </w:pPr>
      <w:r>
        <w:rPr>
          <w:rFonts w:ascii="Arial" w:cs="Arial" w:eastAsia="Arial" w:hAnsi="Arial"/>
          <w:b w:val="false"/>
          <w:bCs w:val="false"/>
          <w:i w:val="false"/>
          <w:iCs w:val="false"/>
          <w:color w:val="000000"/>
          <w:sz w:val="21"/>
          <w:szCs w:val="21"/>
        </w:rPr>
        <w:t xml:space="preserve">DDaaS (Due Diligence as a Service): 1% of deal size with $50,000 minimum. Positioned as risk insurance, not a service cost. Declining scale above $15 million: 1% on first $10 million, 0.5% on next $15 million, 0.25% thereafter, cap at $200,000-300,000.</w:t>
      </w:r>
    </w:p>
    <w:p>
      <w:pPr>
        <w:spacing w:after="60" w:before="60" w:line="300"/>
        <w:jc w:val="left"/>
      </w:pPr>
      <w:r>
        <w:rPr>
          <w:rFonts w:ascii="Arial" w:cs="Arial" w:eastAsia="Arial" w:hAnsi="Arial"/>
          <w:b w:val="false"/>
          <w:bCs w:val="false"/>
          <w:i w:val="false"/>
          <w:iCs w:val="false"/>
          <w:color w:val="000000"/>
          <w:sz w:val="21"/>
          <w:szCs w:val="21"/>
        </w:rPr>
        <w:t xml:space="preserve">Annual Platform Access Fee: $30,000 per year. Waived for 20 founding members as a gift (not a discount). Pricing validated against Tiger 21 ($33,000), R360 ($60,000), World 50 ($50,000). Psychology: price anchoring creates the reference, zero-price effect of the gift triggers qualitatively different response than a discount, scarcity from the 20-member cap, endowment effect makes renewal near-automatic.</w:t>
      </w:r>
    </w:p>
    <w:p>
      <w:pPr>
        <w:spacing w:after="80" w:before="280"/>
      </w:pPr>
      <w:r>
        <w:rPr>
          <w:rFonts w:ascii="Arial" w:cs="Arial" w:eastAsia="Arial" w:hAnsi="Arial"/>
          <w:b/>
          <w:bCs/>
          <w:color w:val="0E3470"/>
          <w:sz w:val="24"/>
          <w:szCs w:val="24"/>
        </w:rPr>
        <w:t xml:space="preserve">Revenue Projections</w:t>
      </w:r>
    </w:p>
    <w:p>
      <w:pPr>
        <w:spacing w:after="60" w:before="60" w:line="300"/>
        <w:jc w:val="left"/>
      </w:pPr>
      <w:r>
        <w:rPr>
          <w:rFonts w:ascii="Arial" w:cs="Arial" w:eastAsia="Arial" w:hAnsi="Arial"/>
          <w:b w:val="false"/>
          <w:bCs w:val="false"/>
          <w:i w:val="false"/>
          <w:iCs w:val="false"/>
          <w:color w:val="000000"/>
          <w:sz w:val="21"/>
          <w:szCs w:val="21"/>
        </w:rPr>
        <w:t xml:space="preserve">Conservative Year 1: 4 deals per month at $50,000 average fee = $2.4 million. Base case Year 2: 8 deals per month at $65,000 = $6.24 million. Optimistic Year 3: 12 deals per month at $80,000 = $11.52 million. Membership revenue from 50-100 members across tiers: $500,000-$1 million annually. Total platform revenue potential at maturity (Year 5): $14.5-32.5 million per year.</w:t>
      </w:r>
    </w:p>
    <w:p>
      <w:pPr>
        <w:spacing w:after="80" w:before="280"/>
      </w:pPr>
      <w:r>
        <w:rPr>
          <w:rFonts w:ascii="Arial" w:cs="Arial" w:eastAsia="Arial" w:hAnsi="Arial"/>
          <w:b/>
          <w:bCs/>
          <w:color w:val="0E3470"/>
          <w:sz w:val="24"/>
          <w:szCs w:val="24"/>
        </w:rPr>
        <w:t xml:space="preserve">Additional Revenue Streams — Researched</w:t>
      </w:r>
    </w:p>
    <w:p>
      <w:pPr>
        <w:spacing w:after="60" w:before="60" w:line="300"/>
        <w:jc w:val="left"/>
      </w:pPr>
      <w:r>
        <w:rPr>
          <w:rFonts w:ascii="Arial" w:cs="Arial" w:eastAsia="Arial" w:hAnsi="Arial"/>
          <w:b w:val="false"/>
          <w:bCs w:val="false"/>
          <w:i w:val="false"/>
          <w:iCs w:val="false"/>
          <w:color w:val="000000"/>
          <w:sz w:val="21"/>
          <w:szCs w:val="21"/>
        </w:rPr>
        <w:t xml:space="preserve">Tax appeal coordination at 30% contingency on savings ($50,000-200,000 per year, zero risk to members) was identified as a near-perfect fit for distressed acquisitions because purchased properties are almost always over-assessed. Disposition advisory at 1% of exit price. Construction management oversight at 5% of renovation budget. Co-investment vehicles (SPVs) with 1-2% management fee plus 20% carry above 8% preferred return. Debt placement at 0.5-1% of loan amount (requires broker license). Title and escrow affiliate at 15% referral share. 1031 exchange matching. Insurance placement. Cost segregation referrals.</w:t>
      </w:r>
    </w:p>
    <w:p>
      <w:pPr>
        <w:spacing w:after="80" w:before="280"/>
      </w:pPr>
      <w:r>
        <w:rPr>
          <w:rFonts w:ascii="Arial" w:cs="Arial" w:eastAsia="Arial" w:hAnsi="Arial"/>
          <w:b/>
          <w:bCs/>
          <w:color w:val="0E3470"/>
          <w:sz w:val="24"/>
          <w:szCs w:val="24"/>
        </w:rPr>
        <w:t xml:space="preserve">Fund Structure — Researched</w:t>
      </w:r>
    </w:p>
    <w:p>
      <w:pPr>
        <w:spacing w:after="60" w:before="60" w:line="300"/>
        <w:jc w:val="left"/>
      </w:pPr>
      <w:r>
        <w:rPr>
          <w:rFonts w:ascii="Arial" w:cs="Arial" w:eastAsia="Arial" w:hAnsi="Arial"/>
          <w:b w:val="false"/>
          <w:bCs w:val="false"/>
          <w:i w:val="false"/>
          <w:iCs w:val="false"/>
          <w:color w:val="000000"/>
          <w:sz w:val="21"/>
          <w:szCs w:val="21"/>
        </w:rPr>
        <w:t xml:space="preserve">First fund target $25 million. Delaware LP with LLC GP. Reg D 506(c) permitting general solicitation to accredited investors. 7-year term plus two 1-year extensions. 3-year investment period. Management fee: 1.5% on committed capital during investment period, 1.0% on invested capital during harvest. 20% carried interest above 8% preferred return. GP commitment: 2-5% ($500,000-1,250,000) in cash. European waterfall: return of capital to LPs first, then 8% cumulative preferred return, then GP catch-up at 100% until 20% of total profits, then 80/20 residual. Multi-tier variant: 70/30 above 12% IRR, 60/40 above 18%. Legal formation cost: $30,000-75,000.</w:t>
      </w:r>
    </w:p>
    <w:p>
      <w:pPr>
        <w:spacing w:after="60" w:before="60" w:line="300"/>
        <w:jc w:val="left"/>
      </w:pPr>
      <w:r>
        <w:rPr>
          <w:rFonts w:ascii="Arial" w:cs="Arial" w:eastAsia="Arial" w:hAnsi="Arial"/>
          <w:b w:val="false"/>
          <w:bCs w:val="false"/>
          <w:i w:val="false"/>
          <w:iCs w:val="false"/>
          <w:color w:val="000000"/>
          <w:sz w:val="21"/>
          <w:szCs w:val="21"/>
        </w:rPr>
        <w:t xml:space="preserve">A separate $5 billion NPL fund targeting Israeli institutional capital was conceived for 2026-2030 maturity wall acquisitions, requiring engagement with US servicers including Rialto Capital, Bayview, Prime Finance, First City, and Waterfall.</w:t>
      </w:r>
    </w:p>
    <w:p>
      <w:pPr>
        <w:spacing w:after="40" w:before="40"/>
      </w:pPr>
      <w:r>
        <w:rPr>
          <w:rFonts w:ascii="Arial" w:cs="Arial" w:eastAsia="Arial" w:hAnsi="Arial"/>
          <w:b/>
          <w:bCs/>
          <w:color w:val="0B8A4D"/>
          <w:sz w:val="20"/>
          <w:szCs w:val="20"/>
        </w:rPr>
        <w:t xml:space="preserve">STATUS: RESEARCHED AND DECIDED — Not yet implemented</w:t>
      </w:r>
    </w:p>
    <w:p>
      <w:r>
        <w:br w:type="page"/>
      </w:r>
    </w:p>
    <w:p>
      <w:pPr>
        <w:spacing w:after="100" w:before="400"/>
      </w:pPr>
      <w:r>
        <w:rPr>
          <w:rFonts w:ascii="Arial" w:cs="Arial" w:eastAsia="Arial" w:hAnsi="Arial"/>
          <w:b/>
          <w:bCs/>
          <w:color w:val="0E3470"/>
          <w:sz w:val="28"/>
          <w:szCs w:val="28"/>
        </w:rPr>
        <w:t xml:space="preserve">13. TEAM, COMPENSATION, AND HIRING</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Current Team</w:t>
      </w:r>
    </w:p>
    <w:p>
      <w:pPr>
        <w:spacing w:after="60" w:before="60" w:line="300"/>
        <w:jc w:val="left"/>
      </w:pPr>
      <w:r>
        <w:rPr>
          <w:rFonts w:ascii="Arial" w:cs="Arial" w:eastAsia="Arial" w:hAnsi="Arial"/>
          <w:b w:val="false"/>
          <w:bCs w:val="false"/>
          <w:i w:val="false"/>
          <w:iCs w:val="false"/>
          <w:color w:val="000000"/>
          <w:sz w:val="21"/>
          <w:szCs w:val="21"/>
        </w:rPr>
        <w:t xml:space="preserve">Gideon Gratsiani: Founder and CEO. Visionary, not manager. 30+ years CRE. Dyslexic with high IQ. Uses speech-to-text exclusively. Chaim Abrahams: CEO and Co-Founder. Shirel Ben-Haroush: Partner and Deal Coordinator, Gideon's sister-in-law, treated like a daughter, runs post-closing transitions. Adir Yonasi: VP of Investor Relations. Steve Philipp: AI and Tech Lead — the WHAT person who decides system requirements and executes technical builds. Created initial protocol documentation but it was flagged as created without real estate experience and should be treated as unverified. Mushka Gratsiani: Research analyst, Gideon's daughter, assigned builder for broker portal. Colonel Yaron Sitbon: Israel operations. Bruce Smoler: Attorney and escrow agent. Motty Stone: Buyer's transactional attorney and personal friend. Neil Bane: Mortgage broker. Amelia: Executive assistant.</w:t>
      </w:r>
    </w:p>
    <w:p>
      <w:pPr>
        <w:spacing w:after="80" w:before="280"/>
      </w:pPr>
      <w:r>
        <w:rPr>
          <w:rFonts w:ascii="Arial" w:cs="Arial" w:eastAsia="Arial" w:hAnsi="Arial"/>
          <w:b/>
          <w:bCs/>
          <w:color w:val="0E3470"/>
          <w:sz w:val="24"/>
          <w:szCs w:val="24"/>
        </w:rPr>
        <w:t xml:space="preserve">Compensation Philosophy — Research-Backed</w:t>
      </w:r>
    </w:p>
    <w:p>
      <w:pPr>
        <w:spacing w:after="60" w:before="60" w:line="300"/>
        <w:jc w:val="left"/>
      </w:pPr>
      <w:r>
        <w:rPr>
          <w:rFonts w:ascii="Arial" w:cs="Arial" w:eastAsia="Arial" w:hAnsi="Arial"/>
          <w:b w:val="false"/>
          <w:bCs w:val="false"/>
          <w:i w:val="false"/>
          <w:iCs w:val="false"/>
          <w:color w:val="000000"/>
          <w:sz w:val="21"/>
          <w:szCs w:val="21"/>
        </w:rPr>
        <w:t xml:space="preserve">Based on Lazear (Stanford), Ariely (Duke), Pink, and Deci on self-determination theory. No deal bonuses ever — bonuses create short-term thinking and gaming behavior. Instead: base salary plus permanent milestone raises that accumulate over time. Deferred bonus pool with multi-year cliff. Phantom equity at 1-2% after 12-18 months of proven loyalty. Back-weighted 4-year vesting schedule: 10% after year 1, 20% after year 2, 30% after year 3, 40% after year 4 — so leaving becomes increasingly irrational as you approach the largest payout. PIIA, NDA, and non-solicitation agreements signed before Day 1 of any employment. Three-gate hiring: skill, character (HEXACO-PI-R Honesty-Humility dimension), and AI fluency.</w:t>
      </w:r>
    </w:p>
    <w:p>
      <w:pPr>
        <w:spacing w:after="80" w:before="280"/>
      </w:pPr>
      <w:r>
        <w:rPr>
          <w:rFonts w:ascii="Arial" w:cs="Arial" w:eastAsia="Arial" w:hAnsi="Arial"/>
          <w:b/>
          <w:bCs/>
          <w:color w:val="0E3470"/>
          <w:sz w:val="24"/>
          <w:szCs w:val="24"/>
        </w:rPr>
        <w:t xml:space="preserve">Hiring Strategy — The HOW Person</w:t>
      </w:r>
    </w:p>
    <w:p>
      <w:pPr>
        <w:spacing w:after="60" w:before="60" w:line="300"/>
        <w:jc w:val="left"/>
      </w:pPr>
      <w:r>
        <w:rPr>
          <w:rFonts w:ascii="Arial" w:cs="Arial" w:eastAsia="Arial" w:hAnsi="Arial"/>
          <w:b w:val="false"/>
          <w:bCs w:val="false"/>
          <w:i w:val="false"/>
          <w:iCs w:val="false"/>
          <w:color w:val="000000"/>
          <w:sz w:val="21"/>
          <w:szCs w:val="21"/>
        </w:rPr>
        <w:t xml:space="preserve">The critical next hire is a technical builder (the HOW person). The settled strategy is an intern pipeline from nearby CS universities as the lowest-risk entry path. Two to three computer science students receive compartmentalized tasks (never seeing the full system), live in Postville apartments, work one to two days per week, and the best intern becomes a full hire after six months. Zero hiring risk because performance is demonstrated before commitment.</w:t>
      </w:r>
    </w:p>
    <w:p>
      <w:pPr>
        <w:spacing w:after="80" w:before="280"/>
      </w:pPr>
      <w:r>
        <w:rPr>
          <w:rFonts w:ascii="Arial" w:cs="Arial" w:eastAsia="Arial" w:hAnsi="Arial"/>
          <w:b/>
          <w:bCs/>
          <w:color w:val="0E3470"/>
          <w:sz w:val="24"/>
          <w:szCs w:val="24"/>
        </w:rPr>
        <w:t xml:space="preserve">Relocation Model</w:t>
      </w:r>
    </w:p>
    <w:p>
      <w:pPr>
        <w:spacing w:after="60" w:before="60" w:line="300"/>
        <w:jc w:val="left"/>
      </w:pPr>
      <w:r>
        <w:rPr>
          <w:rFonts w:ascii="Arial" w:cs="Arial" w:eastAsia="Arial" w:hAnsi="Arial"/>
          <w:b w:val="false"/>
          <w:bCs w:val="false"/>
          <w:i w:val="false"/>
          <w:iCs w:val="false"/>
          <w:color w:val="000000"/>
          <w:sz w:val="21"/>
          <w:szCs w:val="21"/>
        </w:rPr>
        <w:t xml:space="preserve">Designed around the Steve Philipp proof of concept: free housing in Postville, flights covered, airport pickup with a Mercedes van for the two-and-a-half-hour drive, families welcome, perks staged gradually rather than all at once. The retention architecture combines golden handcuffs (economic irrationality of leaving) with genuine belonging (housing, mentorship, family culture in Postville) and compartmentalization (no one person can rebuild the system).</w:t>
      </w:r>
    </w:p>
    <w:p>
      <w:pPr>
        <w:spacing w:after="40" w:before="40"/>
      </w:pPr>
      <w:r>
        <w:rPr>
          <w:rFonts w:ascii="Arial" w:cs="Arial" w:eastAsia="Arial" w:hAnsi="Arial"/>
          <w:b/>
          <w:bCs/>
          <w:color w:val="BC9C45"/>
          <w:sz w:val="20"/>
          <w:szCs w:val="20"/>
        </w:rPr>
        <w:t xml:space="preserve">STATUS: PHILOSOPHY DECIDED — No hires made beyond current team</w:t>
      </w:r>
    </w:p>
    <w:p>
      <w:r>
        <w:br w:type="page"/>
      </w:r>
    </w:p>
    <w:p>
      <w:pPr>
        <w:spacing w:after="100" w:before="400"/>
      </w:pPr>
      <w:r>
        <w:rPr>
          <w:rFonts w:ascii="Arial" w:cs="Arial" w:eastAsia="Arial" w:hAnsi="Arial"/>
          <w:b/>
          <w:bCs/>
          <w:color w:val="0E3470"/>
          <w:sz w:val="28"/>
          <w:szCs w:val="28"/>
        </w:rPr>
        <w:t xml:space="preserve">14. BRAND, WEBSITE, AND COMMUNICATION STANDARDS</w:t>
      </w:r>
    </w:p>
    <w:p>
      <w:pPr>
        <w:pBdr>
          <w:bottom w:val="single" w:color="BC9C45" w:sz="6" w:space="4"/>
        </w:pBdr>
        <w:spacing w:after="160" w:before="160"/>
      </w:pPr>
    </w:p>
    <w:p>
      <w:pPr>
        <w:spacing w:after="80" w:before="280"/>
      </w:pPr>
      <w:r>
        <w:rPr>
          <w:rFonts w:ascii="Arial" w:cs="Arial" w:eastAsia="Arial" w:hAnsi="Arial"/>
          <w:b/>
          <w:bCs/>
          <w:color w:val="0E3470"/>
          <w:sz w:val="24"/>
          <w:szCs w:val="24"/>
        </w:rPr>
        <w:t xml:space="preserve">Brand Identity</w:t>
      </w:r>
    </w:p>
    <w:p>
      <w:pPr>
        <w:spacing w:after="60" w:before="60" w:line="300"/>
        <w:jc w:val="left"/>
      </w:pPr>
      <w:r>
        <w:rPr>
          <w:rFonts w:ascii="Arial" w:cs="Arial" w:eastAsia="Arial" w:hAnsi="Arial"/>
          <w:b w:val="false"/>
          <w:bCs w:val="false"/>
          <w:i w:val="false"/>
          <w:iCs w:val="false"/>
          <w:color w:val="000000"/>
          <w:sz w:val="21"/>
          <w:szCs w:val="21"/>
        </w:rPr>
        <w:t xml:space="preserve">Primary colors: Navy #0E3470 and Gold #BC9C45. Typography: Poppins for all content (Light 300 for body, Medium 500 for data, SemiBold 600 for headers, Bold 700 for titles). Bodoni Moda or Playfair Display serif for headlines only. Almoni Neue for Hebrew content. Arial as universal fallback. B"SD (or B"H) header on formal documents. Top and bottom borders only on documents — left and right borders cause OOXML schema violations.</w:t>
      </w:r>
    </w:p>
    <w:p>
      <w:pPr>
        <w:spacing w:after="80" w:before="280"/>
      </w:pPr>
      <w:r>
        <w:rPr>
          <w:rFonts w:ascii="Arial" w:cs="Arial" w:eastAsia="Arial" w:hAnsi="Arial"/>
          <w:b/>
          <w:bCs/>
          <w:color w:val="0E3470"/>
          <w:sz w:val="24"/>
          <w:szCs w:val="24"/>
        </w:rPr>
        <w:t xml:space="preserve">Writing Standards</w:t>
      </w:r>
    </w:p>
    <w:p>
      <w:pPr>
        <w:spacing w:after="60" w:before="60" w:line="300"/>
        <w:jc w:val="left"/>
      </w:pPr>
      <w:r>
        <w:rPr>
          <w:rFonts w:ascii="Arial" w:cs="Arial" w:eastAsia="Arial" w:hAnsi="Arial"/>
          <w:b w:val="false"/>
          <w:bCs w:val="false"/>
          <w:i w:val="false"/>
          <w:iCs w:val="false"/>
          <w:color w:val="000000"/>
          <w:sz w:val="21"/>
          <w:szCs w:val="21"/>
        </w:rPr>
        <w:t xml:space="preserve">Blackstone earnings call format: precise numbers ($24.2M not approximately $24 million), hierarchical structure, comprehensive metrics, objective tone, technical CRE and finance terminology, forward-looking statements backed by evidence. Hebrew communications use native Israeli business and legal terminology — never literal translations. Imperial measurements converted to metric in Hebrew. CRE financial terms always stay in English regardless of surrounding language: IRR, LOI, NOI, DSCR, cap rate, NNN, PSF, GLA, UPB, EBITDA.</w:t>
      </w:r>
    </w:p>
    <w:p>
      <w:pPr>
        <w:spacing w:after="80" w:before="280"/>
      </w:pPr>
      <w:r>
        <w:rPr>
          <w:rFonts w:ascii="Arial" w:cs="Arial" w:eastAsia="Arial" w:hAnsi="Arial"/>
          <w:b/>
          <w:bCs/>
          <w:color w:val="0E3470"/>
          <w:sz w:val="24"/>
          <w:szCs w:val="24"/>
        </w:rPr>
        <w:t xml:space="preserve">Counterparty Calibration — 7 Types</w:t>
      </w:r>
    </w:p>
    <w:p>
      <w:pPr>
        <w:spacing w:after="60" w:before="60" w:line="300"/>
        <w:jc w:val="left"/>
      </w:pPr>
      <w:r>
        <w:rPr>
          <w:rFonts w:ascii="Arial" w:cs="Arial" w:eastAsia="Arial" w:hAnsi="Arial"/>
          <w:b w:val="false"/>
          <w:bCs w:val="false"/>
          <w:i w:val="false"/>
          <w:iCs w:val="false"/>
          <w:color w:val="000000"/>
          <w:sz w:val="21"/>
          <w:szCs w:val="21"/>
        </w:rPr>
        <w:t xml:space="preserve">Sophisticated institutional: mirror precision, psychology invisible. Owner-operators: empathy and burden relief, clear next steps, face-saving off-ramps. Regulated entities (banks, credit unions): fiduciary language, documentation for their board. Israeli institutional: metric-first, skip pleasantries, IRR and equity multiple in English, direct. Attorneys and special servicers: precision, compliance language, defensibility. Brokers: reciprocity first, demonstrate execution with specific metrics. Non-sophisticated sellers: explanatory language, not institutional-dense.</w:t>
      </w:r>
    </w:p>
    <w:p>
      <w:pPr>
        <w:spacing w:after="80" w:before="280"/>
      </w:pPr>
      <w:r>
        <w:rPr>
          <w:rFonts w:ascii="Arial" w:cs="Arial" w:eastAsia="Arial" w:hAnsi="Arial"/>
          <w:b/>
          <w:bCs/>
          <w:color w:val="0E3470"/>
          <w:sz w:val="24"/>
          <w:szCs w:val="24"/>
        </w:rPr>
        <w:t xml:space="preserve">Website Status</w:t>
      </w:r>
    </w:p>
    <w:p>
      <w:pPr>
        <w:spacing w:after="60" w:before="60" w:line="300"/>
        <w:jc w:val="left"/>
      </w:pPr>
      <w:r>
        <w:rPr>
          <w:rFonts w:ascii="Arial" w:cs="Arial" w:eastAsia="Arial" w:hAnsi="Arial"/>
          <w:b w:val="false"/>
          <w:bCs w:val="false"/>
          <w:i w:val="false"/>
          <w:iCs w:val="false"/>
          <w:color w:val="000000"/>
          <w:sz w:val="21"/>
          <w:szCs w:val="21"/>
        </w:rPr>
        <w:t xml:space="preserve">RePrime.com (corporate site): Institutional PE aesthetic, dark tones, elegant typography, founder-focused. Sections designed but items still needed include actual property photos, Gideon's headshot, and an interactive US map. RePrimeTerminal.com (client portal): Separate from corporate site. Three tiers of access. Live on Vercel with Supabase backend. The React artifact exists as a working prototype.</w:t>
      </w:r>
    </w:p>
    <w:p>
      <w:pPr>
        <w:spacing w:after="40" w:before="40"/>
      </w:pPr>
      <w:r>
        <w:rPr>
          <w:rFonts w:ascii="Arial" w:cs="Arial" w:eastAsia="Arial" w:hAnsi="Arial"/>
          <w:b/>
          <w:bCs/>
          <w:color w:val="BC9C45"/>
          <w:sz w:val="20"/>
          <w:szCs w:val="20"/>
        </w:rPr>
        <w:t xml:space="preserve">STATUS: BRAND DECIDED — Website partially built, needs completion</w:t>
      </w:r>
    </w:p>
    <w:p>
      <w:r>
        <w:br w:type="page"/>
      </w:r>
    </w:p>
    <w:p>
      <w:pPr>
        <w:spacing w:after="100" w:before="400"/>
      </w:pPr>
      <w:r>
        <w:rPr>
          <w:rFonts w:ascii="Arial" w:cs="Arial" w:eastAsia="Arial" w:hAnsi="Arial"/>
          <w:b/>
          <w:bCs/>
          <w:color w:val="0E3470"/>
          <w:sz w:val="28"/>
          <w:szCs w:val="28"/>
        </w:rPr>
        <w:t xml:space="preserve">15. GIDEON'S CORRECTIONS — THE RECORD</w:t>
      </w:r>
    </w:p>
    <w:p>
      <w:pPr>
        <w:pBdr>
          <w:bottom w:val="single" w:color="BC9C45" w:sz="6" w:space="4"/>
        </w:pBdr>
        <w:spacing w:after="160" w:before="160"/>
      </w:pPr>
    </w:p>
    <w:p>
      <w:pPr>
        <w:spacing w:after="60" w:before="60" w:line="300"/>
        <w:jc w:val="left"/>
      </w:pPr>
      <w:r>
        <w:rPr>
          <w:rFonts w:ascii="Arial" w:cs="Arial" w:eastAsia="Arial" w:hAnsi="Arial"/>
          <w:b w:val="false"/>
          <w:bCs w:val="false"/>
          <w:i w:val="false"/>
          <w:iCs w:val="false"/>
          <w:color w:val="000000"/>
          <w:sz w:val="21"/>
          <w:szCs w:val="21"/>
        </w:rPr>
        <w:t xml:space="preserve">These are the corrections Gideon made across 60+ conversations that changed the direction of the project. Each one is documented because it represents a principle, not a one-time fix.</w:t>
      </w:r>
    </w:p>
    <w:p>
      <w:pPr>
        <w:spacing w:after="60" w:before="60" w:line="300"/>
        <w:jc w:val="left"/>
      </w:pPr>
      <w:r>
        <w:rPr>
          <w:rFonts w:ascii="Arial" w:cs="Arial" w:eastAsia="Arial" w:hAnsi="Arial"/>
          <w:b w:val="false"/>
          <w:bCs w:val="false"/>
          <w:i w:val="false"/>
          <w:iCs w:val="false"/>
          <w:color w:val="000000"/>
          <w:sz w:val="21"/>
          <w:szCs w:val="21"/>
        </w:rPr>
        <w:t xml:space="preserve">Correction 1: Terminal is cycle-immune, not distress-dependent. The maturity wall is the entry window, not the identity. Positioning Terminal as dependent on distress creates a ceiling. This correction changed all positioning language across every document.</w:t>
      </w:r>
    </w:p>
    <w:p>
      <w:pPr>
        <w:spacing w:after="60" w:before="60" w:line="300"/>
        <w:jc w:val="left"/>
      </w:pPr>
      <w:r>
        <w:rPr>
          <w:rFonts w:ascii="Arial" w:cs="Arial" w:eastAsia="Arial" w:hAnsi="Arial"/>
          <w:b w:val="false"/>
          <w:bCs w:val="false"/>
          <w:i w:val="false"/>
          <w:iCs w:val="false"/>
          <w:color w:val="000000"/>
          <w:sz w:val="21"/>
          <w:szCs w:val="21"/>
        </w:rPr>
        <w:t xml:space="preserve">Correction 2: Data case must precede offers. The Morton LOI initially placed purchase options before supporting analysis. Gideon corrected this — pre-suasion requires the evidence to come first so the price feels inevitable. This became a permanent LOI rule.</w:t>
      </w:r>
    </w:p>
    <w:p>
      <w:pPr>
        <w:spacing w:after="60" w:before="60" w:line="300"/>
        <w:jc w:val="left"/>
      </w:pPr>
      <w:r>
        <w:rPr>
          <w:rFonts w:ascii="Arial" w:cs="Arial" w:eastAsia="Arial" w:hAnsi="Arial"/>
          <w:b w:val="false"/>
          <w:bCs w:val="false"/>
          <w:i w:val="false"/>
          <w:iCs w:val="false"/>
          <w:color w:val="000000"/>
          <w:sz w:val="21"/>
          <w:szCs w:val="21"/>
        </w:rPr>
        <w:t xml:space="preserve">Correction 3: Documentation moves numbers, phone calls do not. During the Frayser Village deal, Gideon articulated that the written data case changes the seller's internal anchor while verbal conversations do not persist. This reframed the entire outreach philosophy.</w:t>
      </w:r>
    </w:p>
    <w:p>
      <w:pPr>
        <w:spacing w:after="60" w:before="60" w:line="300"/>
        <w:jc w:val="left"/>
      </w:pPr>
      <w:r>
        <w:rPr>
          <w:rFonts w:ascii="Arial" w:cs="Arial" w:eastAsia="Arial" w:hAnsi="Arial"/>
          <w:b w:val="false"/>
          <w:bCs w:val="false"/>
          <w:i w:val="false"/>
          <w:iCs w:val="false"/>
          <w:color w:val="000000"/>
          <w:sz w:val="21"/>
          <w:szCs w:val="21"/>
        </w:rPr>
        <w:t xml:space="preserve">Correction 4: Edit, never rebuild. Claude repeatedly started fresh instead of making targeted edits. Gideon enforced the rule that existing work should be edited, not rebuilt from scratch, unless he explicitly says otherwise. This was violated multiple times and corrected multiple times.</w:t>
      </w:r>
    </w:p>
    <w:p>
      <w:pPr>
        <w:spacing w:after="60" w:before="60" w:line="300"/>
        <w:jc w:val="left"/>
      </w:pPr>
      <w:r>
        <w:rPr>
          <w:rFonts w:ascii="Arial" w:cs="Arial" w:eastAsia="Arial" w:hAnsi="Arial"/>
          <w:b w:val="false"/>
          <w:bCs w:val="false"/>
          <w:i w:val="false"/>
          <w:iCs w:val="false"/>
          <w:color w:val="000000"/>
          <w:sz w:val="21"/>
          <w:szCs w:val="21"/>
        </w:rPr>
        <w:t xml:space="preserve">Correction 5: One question at a time. Claude repeatedly stacked multiple questions in a single message. Gideon's dyslexia makes stacked information impossible to process — he forgets earlier items by the time the audio finishes playing later ones. This was updated in memory multiple times with increasing emphasis.</w:t>
      </w:r>
    </w:p>
    <w:p>
      <w:pPr>
        <w:spacing w:after="60" w:before="60" w:line="300"/>
        <w:jc w:val="left"/>
      </w:pPr>
      <w:r>
        <w:rPr>
          <w:rFonts w:ascii="Arial" w:cs="Arial" w:eastAsia="Arial" w:hAnsi="Arial"/>
          <w:b w:val="false"/>
          <w:bCs w:val="false"/>
          <w:i w:val="false"/>
          <w:iCs w:val="false"/>
          <w:color w:val="000000"/>
          <w:sz w:val="21"/>
          <w:szCs w:val="21"/>
        </w:rPr>
        <w:t xml:space="preserve">Correction 6: Discussion must precede artifact creation. Claude wasted context window space on deliverables that missed requirements. The fix: discuss what will be built, confirm direction, then build.</w:t>
      </w:r>
    </w:p>
    <w:p>
      <w:pPr>
        <w:spacing w:after="60" w:before="60" w:line="300"/>
        <w:jc w:val="left"/>
      </w:pPr>
      <w:r>
        <w:rPr>
          <w:rFonts w:ascii="Arial" w:cs="Arial" w:eastAsia="Arial" w:hAnsi="Arial"/>
          <w:b w:val="false"/>
          <w:bCs w:val="false"/>
          <w:i w:val="false"/>
          <w:iCs w:val="false"/>
          <w:color w:val="000000"/>
          <w:sz w:val="21"/>
          <w:szCs w:val="21"/>
        </w:rPr>
        <w:t xml:space="preserve">Correction 7: Never introduce negative imagery. The Florida deal response initially contained foreclosure scenario language. Gideon removed it — introducing negative imagery violates the psychological framework even when the imagery is about the counterparty's risk.</w:t>
      </w:r>
    </w:p>
    <w:p>
      <w:pPr>
        <w:spacing w:after="60" w:before="60" w:line="300"/>
        <w:jc w:val="left"/>
      </w:pPr>
      <w:r>
        <w:rPr>
          <w:rFonts w:ascii="Arial" w:cs="Arial" w:eastAsia="Arial" w:hAnsi="Arial"/>
          <w:b w:val="false"/>
          <w:bCs w:val="false"/>
          <w:i w:val="false"/>
          <w:iCs w:val="false"/>
          <w:color w:val="000000"/>
          <w:sz w:val="21"/>
          <w:szCs w:val="21"/>
        </w:rPr>
        <w:t xml:space="preserve">Correction 8: The terms sell, not the group names. The five buyer groups were initially given creative names like "Rapid Certainty." Gideon corrected: "7-Day Close" sells. The terms are the headlines.</w:t>
      </w:r>
    </w:p>
    <w:p>
      <w:pPr>
        <w:spacing w:after="60" w:before="60" w:line="300"/>
        <w:jc w:val="left"/>
      </w:pPr>
      <w:r>
        <w:rPr>
          <w:rFonts w:ascii="Arial" w:cs="Arial" w:eastAsia="Arial" w:hAnsi="Arial"/>
          <w:b w:val="false"/>
          <w:bCs w:val="false"/>
          <w:i w:val="false"/>
          <w:iCs w:val="false"/>
          <w:color w:val="000000"/>
          <w:sz w:val="21"/>
          <w:szCs w:val="21"/>
        </w:rPr>
        <w:t xml:space="preserve">Correction 9: Exclusivity must be earned through results, not declared prematurely. Start open on on-market deals to generate cash flow fast, build the machine right, then tighten access as volume grows and legend builds.</w:t>
      </w:r>
    </w:p>
    <w:p>
      <w:pPr>
        <w:spacing w:after="60" w:before="60" w:line="300"/>
        <w:jc w:val="left"/>
      </w:pPr>
      <w:r>
        <w:rPr>
          <w:rFonts w:ascii="Arial" w:cs="Arial" w:eastAsia="Arial" w:hAnsi="Arial"/>
          <w:b w:val="false"/>
          <w:bCs w:val="false"/>
          <w:i w:val="false"/>
          <w:iCs w:val="false"/>
          <w:color w:val="000000"/>
          <w:sz w:val="21"/>
          <w:szCs w:val="21"/>
        </w:rPr>
        <w:t xml:space="preserve">Correction 10: Think as co-founder, not researcher. Claude's tendency was to produce generic research reports with case studies when asked for elevation. The correction: elevate the idea, give the specific playbook for RePrime, not proof from other companies.</w:t>
      </w:r>
    </w:p>
    <w:p>
      <w:pPr>
        <w:spacing w:after="60" w:before="60" w:line="300"/>
        <w:jc w:val="left"/>
      </w:pPr>
      <w:r>
        <w:rPr>
          <w:rFonts w:ascii="Arial" w:cs="Arial" w:eastAsia="Arial" w:hAnsi="Arial"/>
          <w:b w:val="false"/>
          <w:bCs w:val="false"/>
          <w:i w:val="false"/>
          <w:iCs w:val="false"/>
          <w:color w:val="000000"/>
          <w:sz w:val="21"/>
          <w:szCs w:val="21"/>
        </w:rPr>
        <w:t xml:space="preserve">Correction 11: When asked for a simple email, produce a simple email. Claude repeatedly added unnecessary complexity — turning a simple email into a legal document.</w:t>
      </w:r>
    </w:p>
    <w:p>
      <w:pPr>
        <w:spacing w:after="60" w:before="60" w:line="300"/>
        <w:jc w:val="left"/>
      </w:pPr>
      <w:r>
        <w:rPr>
          <w:rFonts w:ascii="Arial" w:cs="Arial" w:eastAsia="Arial" w:hAnsi="Arial"/>
          <w:b w:val="false"/>
          <w:bCs w:val="false"/>
          <w:i w:val="false"/>
          <w:iCs w:val="false"/>
          <w:color w:val="000000"/>
          <w:sz w:val="21"/>
          <w:szCs w:val="21"/>
        </w:rPr>
        <w:t xml:space="preserve">Correction 12: Remove the asking price from risk assessments. The Magna Electronics report should read "here is what this asset is worth" not "here is why your asking price is wrong."</w:t>
      </w:r>
    </w:p>
    <w:p>
      <w:r>
        <w:br w:type="page"/>
      </w:r>
    </w:p>
    <w:p>
      <w:pPr>
        <w:spacing w:after="100" w:before="400"/>
      </w:pPr>
      <w:r>
        <w:rPr>
          <w:rFonts w:ascii="Arial" w:cs="Arial" w:eastAsia="Arial" w:hAnsi="Arial"/>
          <w:b/>
          <w:bCs/>
          <w:color w:val="0E3470"/>
          <w:sz w:val="28"/>
          <w:szCs w:val="28"/>
        </w:rPr>
        <w:t xml:space="preserve">16. UNRESOLVED ITEMS — COMPLETE LIST</w:t>
      </w:r>
    </w:p>
    <w:p>
      <w:pPr>
        <w:pBdr>
          <w:bottom w:val="single" w:color="BC9C45" w:sz="6" w:space="4"/>
        </w:pBdr>
        <w:spacing w:after="160" w:before="160"/>
      </w:pPr>
    </w:p>
    <w:p>
      <w:pPr>
        <w:spacing w:after="60" w:before="60" w:line="300"/>
        <w:jc w:val="left"/>
      </w:pPr>
      <w:r>
        <w:rPr>
          <w:rFonts w:ascii="Arial" w:cs="Arial" w:eastAsia="Arial" w:hAnsi="Arial"/>
          <w:b w:val="false"/>
          <w:bCs w:val="false"/>
          <w:i w:val="false"/>
          <w:iCs w:val="false"/>
          <w:color w:val="000000"/>
          <w:sz w:val="21"/>
          <w:szCs w:val="21"/>
        </w:rPr>
        <w:t xml:space="preserve">1. Florida PSA — 7 flags identified, awaiting Motty's review. Deposit mechanics discrepancy between PSA and email chain not reconciled.</w:t>
      </w:r>
    </w:p>
    <w:p>
      <w:pPr>
        <w:spacing w:after="60" w:before="60" w:line="300"/>
        <w:jc w:val="left"/>
      </w:pPr>
      <w:r>
        <w:rPr>
          <w:rFonts w:ascii="Arial" w:cs="Arial" w:eastAsia="Arial" w:hAnsi="Arial"/>
          <w:b w:val="false"/>
          <w:bCs w:val="false"/>
          <w:i w:val="false"/>
          <w:iCs w:val="false"/>
          <w:color w:val="000000"/>
          <w:sz w:val="21"/>
          <w:szCs w:val="21"/>
        </w:rPr>
        <w:t xml:space="preserve">2. Workspace migration from individual Claude to Teams — interrupted mid-setup. Files partially transferred.</w:t>
      </w:r>
    </w:p>
    <w:p>
      <w:pPr>
        <w:spacing w:after="60" w:before="60" w:line="300"/>
        <w:jc w:val="left"/>
      </w:pPr>
      <w:r>
        <w:rPr>
          <w:rFonts w:ascii="Arial" w:cs="Arial" w:eastAsia="Arial" w:hAnsi="Arial"/>
          <w:b w:val="false"/>
          <w:bCs w:val="false"/>
          <w:i w:val="false"/>
          <w:iCs w:val="false"/>
          <w:color w:val="000000"/>
          <w:sz w:val="21"/>
          <w:szCs w:val="21"/>
        </w:rPr>
        <w:t xml:space="preserve">3. Email Machine — all 4 core components designed but zero built. Steve's availability and timeline not confirmed.</w:t>
      </w:r>
    </w:p>
    <w:p>
      <w:pPr>
        <w:spacing w:after="60" w:before="60" w:line="300"/>
        <w:jc w:val="left"/>
      </w:pPr>
      <w:r>
        <w:rPr>
          <w:rFonts w:ascii="Arial" w:cs="Arial" w:eastAsia="Arial" w:hAnsi="Arial"/>
          <w:b w:val="false"/>
          <w:bCs w:val="false"/>
          <w:i w:val="false"/>
          <w:iCs w:val="false"/>
          <w:color w:val="000000"/>
          <w:sz w:val="21"/>
          <w:szCs w:val="21"/>
        </w:rPr>
        <w:t xml:space="preserve">4. NPL bank outreach — intelligence complete, strategy approved, zero outreach sent.</w:t>
      </w:r>
    </w:p>
    <w:p>
      <w:pPr>
        <w:spacing w:after="60" w:before="60" w:line="300"/>
        <w:jc w:val="left"/>
      </w:pPr>
      <w:r>
        <w:rPr>
          <w:rFonts w:ascii="Arial" w:cs="Arial" w:eastAsia="Arial" w:hAnsi="Arial"/>
          <w:b w:val="false"/>
          <w:bCs w:val="false"/>
          <w:i w:val="false"/>
          <w:iCs w:val="false"/>
          <w:color w:val="000000"/>
          <w:sz w:val="21"/>
          <w:szCs w:val="21"/>
        </w:rPr>
        <w:t xml:space="preserve">5. Deal submission portal — 10 of 16 research tasks complete, 6 task prompts ready but not executed, build not started.</w:t>
      </w:r>
    </w:p>
    <w:p>
      <w:pPr>
        <w:spacing w:after="60" w:before="60" w:line="300"/>
        <w:jc w:val="left"/>
      </w:pPr>
      <w:r>
        <w:rPr>
          <w:rFonts w:ascii="Arial" w:cs="Arial" w:eastAsia="Arial" w:hAnsi="Arial"/>
          <w:b w:val="false"/>
          <w:bCs w:val="false"/>
          <w:i w:val="false"/>
          <w:iCs w:val="false"/>
          <w:color w:val="000000"/>
          <w:sz w:val="21"/>
          <w:szCs w:val="21"/>
        </w:rPr>
        <w:t xml:space="preserve">6. Security State Bank — Algona versus Radcliffe entity verification never completed.</w:t>
      </w:r>
    </w:p>
    <w:p>
      <w:pPr>
        <w:spacing w:after="60" w:before="60" w:line="300"/>
        <w:jc w:val="left"/>
      </w:pPr>
      <w:r>
        <w:rPr>
          <w:rFonts w:ascii="Arial" w:cs="Arial" w:eastAsia="Arial" w:hAnsi="Arial"/>
          <w:b w:val="false"/>
          <w:bCs w:val="false"/>
          <w:i w:val="false"/>
          <w:iCs w:val="false"/>
          <w:color w:val="000000"/>
          <w:sz w:val="21"/>
          <w:szCs w:val="21"/>
        </w:rPr>
        <w:t xml:space="preserve">7. Broker master list — 4,154 contacts referenced but not found in Google Drive searches. Location unknown.</w:t>
      </w:r>
    </w:p>
    <w:p>
      <w:pPr>
        <w:spacing w:after="60" w:before="60" w:line="300"/>
        <w:jc w:val="left"/>
      </w:pPr>
      <w:r>
        <w:rPr>
          <w:rFonts w:ascii="Arial" w:cs="Arial" w:eastAsia="Arial" w:hAnsi="Arial"/>
          <w:b w:val="false"/>
          <w:bCs w:val="false"/>
          <w:i w:val="false"/>
          <w:iCs w:val="false"/>
          <w:color w:val="000000"/>
          <w:sz w:val="21"/>
          <w:szCs w:val="21"/>
        </w:rPr>
        <w:t xml:space="preserve">8. Steve's existing protocol — created without real estate experience, flagged as unverified. Never audited against the Psychology Engine.</w:t>
      </w:r>
    </w:p>
    <w:p>
      <w:pPr>
        <w:spacing w:after="60" w:before="60" w:line="300"/>
        <w:jc w:val="left"/>
      </w:pPr>
      <w:r>
        <w:rPr>
          <w:rFonts w:ascii="Arial" w:cs="Arial" w:eastAsia="Arial" w:hAnsi="Arial"/>
          <w:b w:val="false"/>
          <w:bCs w:val="false"/>
          <w:i w:val="false"/>
          <w:iCs w:val="false"/>
          <w:color w:val="000000"/>
          <w:sz w:val="21"/>
          <w:szCs w:val="21"/>
        </w:rPr>
        <w:t xml:space="preserve">9. Broker gift program — conditional GO pending engagement of real estate regulatory counsel. No counsel engaged.</w:t>
      </w:r>
    </w:p>
    <w:p>
      <w:pPr>
        <w:spacing w:after="60" w:before="60" w:line="300"/>
        <w:jc w:val="left"/>
      </w:pPr>
      <w:r>
        <w:rPr>
          <w:rFonts w:ascii="Arial" w:cs="Arial" w:eastAsia="Arial" w:hAnsi="Arial"/>
          <w:b w:val="false"/>
          <w:bCs w:val="false"/>
          <w:i w:val="false"/>
          <w:iCs w:val="false"/>
          <w:color w:val="000000"/>
          <w:sz w:val="21"/>
          <w:szCs w:val="21"/>
        </w:rPr>
        <w:t xml:space="preserve">10. Contract assignment marketplace operational workflow — not designed.</w:t>
      </w:r>
    </w:p>
    <w:p>
      <w:pPr>
        <w:spacing w:after="60" w:before="60" w:line="300"/>
        <w:jc w:val="left"/>
      </w:pPr>
      <w:r>
        <w:rPr>
          <w:rFonts w:ascii="Arial" w:cs="Arial" w:eastAsia="Arial" w:hAnsi="Arial"/>
          <w:b w:val="false"/>
          <w:bCs w:val="false"/>
          <w:i w:val="false"/>
          <w:iCs w:val="false"/>
          <w:color w:val="000000"/>
          <w:sz w:val="21"/>
          <w:szCs w:val="21"/>
        </w:rPr>
        <w:t xml:space="preserve">11. LP investor onboarding cadence — psychology researched, system not built.</w:t>
      </w:r>
    </w:p>
    <w:p>
      <w:pPr>
        <w:spacing w:after="60" w:before="60" w:line="300"/>
        <w:jc w:val="left"/>
      </w:pPr>
      <w:r>
        <w:rPr>
          <w:rFonts w:ascii="Arial" w:cs="Arial" w:eastAsia="Arial" w:hAnsi="Arial"/>
          <w:b w:val="false"/>
          <w:bCs w:val="false"/>
          <w:i w:val="false"/>
          <w:iCs w:val="false"/>
          <w:color w:val="000000"/>
          <w:sz w:val="21"/>
          <w:szCs w:val="21"/>
        </w:rPr>
        <w:t xml:space="preserve">12. GP versus assignment triage criteria — not defined. No formal decision framework for which deals go GP/LP versus assignment.</w:t>
      </w:r>
    </w:p>
    <w:p>
      <w:pPr>
        <w:spacing w:after="60" w:before="60" w:line="300"/>
        <w:jc w:val="left"/>
      </w:pPr>
      <w:r>
        <w:rPr>
          <w:rFonts w:ascii="Arial" w:cs="Arial" w:eastAsia="Arial" w:hAnsi="Arial"/>
          <w:b w:val="false"/>
          <w:bCs w:val="false"/>
          <w:i w:val="false"/>
          <w:iCs w:val="false"/>
          <w:color w:val="000000"/>
          <w:sz w:val="21"/>
          <w:szCs w:val="21"/>
        </w:rPr>
        <w:t xml:space="preserve">13. Dashboard for Email Machine — specified in requirements but not designed.</w:t>
      </w:r>
    </w:p>
    <w:p>
      <w:pPr>
        <w:spacing w:after="60" w:before="60" w:line="300"/>
        <w:jc w:val="left"/>
      </w:pPr>
      <w:r>
        <w:rPr>
          <w:rFonts w:ascii="Arial" w:cs="Arial" w:eastAsia="Arial" w:hAnsi="Arial"/>
          <w:b w:val="false"/>
          <w:bCs w:val="false"/>
          <w:i w:val="false"/>
          <w:iCs w:val="false"/>
          <w:color w:val="000000"/>
          <w:sz w:val="21"/>
          <w:szCs w:val="21"/>
        </w:rPr>
        <w:t xml:space="preserve">14. RePrime website and portal — brand skill exists, React prototype exists, neither is production-ready.</w:t>
      </w:r>
    </w:p>
    <w:p>
      <w:pPr>
        <w:spacing w:after="60" w:before="60" w:line="300"/>
        <w:jc w:val="left"/>
      </w:pPr>
      <w:r>
        <w:rPr>
          <w:rFonts w:ascii="Arial" w:cs="Arial" w:eastAsia="Arial" w:hAnsi="Arial"/>
          <w:b w:val="false"/>
          <w:bCs w:val="false"/>
          <w:i w:val="false"/>
          <w:iCs w:val="false"/>
          <w:color w:val="000000"/>
          <w:sz w:val="21"/>
          <w:szCs w:val="21"/>
        </w:rPr>
        <w:t xml:space="preserve">15. OFAC/AML compliance — identified as a gap, not covered by any board member.</w:t>
      </w:r>
    </w:p>
    <w:p>
      <w:pPr>
        <w:spacing w:after="60" w:before="60" w:line="300"/>
        <w:jc w:val="left"/>
      </w:pPr>
      <w:r>
        <w:rPr>
          <w:rFonts w:ascii="Arial" w:cs="Arial" w:eastAsia="Arial" w:hAnsi="Arial"/>
          <w:b w:val="false"/>
          <w:bCs w:val="false"/>
          <w:i w:val="false"/>
          <w:iCs w:val="false"/>
          <w:color w:val="000000"/>
          <w:sz w:val="21"/>
          <w:szCs w:val="21"/>
        </w:rPr>
        <w:t xml:space="preserve">16. Corrected master PDF of the Psychology Engine — may not be in current knowledge base. Needs verification.</w:t>
      </w:r>
    </w:p>
    <w:p>
      <w:pPr>
        <w:spacing w:after="60" w:before="60" w:line="300"/>
        <w:jc w:val="left"/>
      </w:pPr>
      <w:r>
        <w:rPr>
          <w:rFonts w:ascii="Arial" w:cs="Arial" w:eastAsia="Arial" w:hAnsi="Arial"/>
          <w:b w:val="false"/>
          <w:bCs w:val="false"/>
          <w:i w:val="false"/>
          <w:iCs w:val="false"/>
          <w:color w:val="000000"/>
          <w:sz w:val="21"/>
          <w:szCs w:val="21"/>
        </w:rPr>
        <w:t xml:space="preserve">17. Three compass artifact files in the knowledge base — recommended for deletion as superseded by Unified Roster. Not yet deleted.</w:t>
      </w:r>
    </w:p>
    <w:p>
      <w:pPr>
        <w:spacing w:after="60" w:before="60" w:line="300"/>
        <w:jc w:val="left"/>
      </w:pPr>
      <w:r>
        <w:rPr>
          <w:rFonts w:ascii="Arial" w:cs="Arial" w:eastAsia="Arial" w:hAnsi="Arial"/>
          <w:b w:val="false"/>
          <w:bCs w:val="false"/>
          <w:i w:val="false"/>
          <w:iCs w:val="false"/>
          <w:color w:val="000000"/>
          <w:sz w:val="21"/>
          <w:szCs w:val="21"/>
        </w:rPr>
        <w:t xml:space="preserve">18. Committee governance protocol — discussed extensively, never implemented.</w:t>
      </w:r>
    </w:p>
    <w:p>
      <w:pPr>
        <w:spacing w:after="60" w:before="60" w:line="300"/>
        <w:jc w:val="left"/>
      </w:pPr>
      <w:r>
        <w:rPr>
          <w:rFonts w:ascii="Arial" w:cs="Arial" w:eastAsia="Arial" w:hAnsi="Arial"/>
          <w:b w:val="false"/>
          <w:bCs w:val="false"/>
          <w:i w:val="false"/>
          <w:iCs w:val="false"/>
          <w:color w:val="000000"/>
          <w:sz w:val="21"/>
          <w:szCs w:val="21"/>
        </w:rPr>
        <w:t xml:space="preserve">19. Voice selection for AI calls — recommendation made (60-65% toward firm, mid-low pitch) but implementation not finalized.</w:t>
      </w:r>
    </w:p>
    <w:p>
      <w:pPr>
        <w:spacing w:after="60" w:before="60" w:line="300"/>
        <w:jc w:val="left"/>
      </w:pPr>
      <w:r>
        <w:rPr>
          <w:rFonts w:ascii="Arial" w:cs="Arial" w:eastAsia="Arial" w:hAnsi="Arial"/>
          <w:b w:val="false"/>
          <w:bCs w:val="false"/>
          <w:i w:val="false"/>
          <w:iCs w:val="false"/>
          <w:color w:val="000000"/>
          <w:sz w:val="21"/>
          <w:szCs w:val="21"/>
        </w:rPr>
        <w:t xml:space="preserve">20. Monthly newsletter system — mentioned as component of Email Machine, no research or design conducted.</w:t>
      </w:r>
    </w:p>
    <w:p>
      <w:pPr>
        <w:spacing w:after="60" w:before="60" w:line="300"/>
        <w:jc w:val="left"/>
      </w:pPr>
      <w:r>
        <w:rPr>
          <w:rFonts w:ascii="Arial" w:cs="Arial" w:eastAsia="Arial" w:hAnsi="Arial"/>
          <w:b w:val="false"/>
          <w:bCs w:val="false"/>
          <w:i w:val="false"/>
          <w:iCs w:val="false"/>
          <w:color w:val="000000"/>
          <w:sz w:val="21"/>
          <w:szCs w:val="21"/>
        </w:rPr>
        <w:t xml:space="preserve">21. Bay Valley, Morton, and Frayser Village deal outcomes — not documented. Unknown whether any closed.</w:t>
      </w:r>
    </w:p>
    <w:p>
      <w:pPr>
        <w:spacing w:after="60" w:before="60" w:line="300"/>
        <w:jc w:val="left"/>
      </w:pPr>
      <w:r>
        <w:rPr>
          <w:rFonts w:ascii="Arial" w:cs="Arial" w:eastAsia="Arial" w:hAnsi="Arial"/>
          <w:b w:val="false"/>
          <w:bCs w:val="false"/>
          <w:i w:val="false"/>
          <w:iCs w:val="false"/>
          <w:color w:val="000000"/>
          <w:sz w:val="21"/>
          <w:szCs w:val="21"/>
        </w:rPr>
        <w:t xml:space="preserve">22. Magna Electronics next steps — risk assessment produced, strategy and offer not yet developed.</w:t>
      </w:r>
    </w:p>
    <w:p>
      <w:pPr>
        <w:spacing w:after="60" w:before="60" w:line="300"/>
        <w:jc w:val="left"/>
      </w:pPr>
      <w:r>
        <w:rPr>
          <w:rFonts w:ascii="Arial" w:cs="Arial" w:eastAsia="Arial" w:hAnsi="Arial"/>
          <w:b w:val="false"/>
          <w:bCs w:val="false"/>
          <w:i w:val="false"/>
          <w:iCs w:val="false"/>
          <w:color w:val="000000"/>
          <w:sz w:val="21"/>
          <w:szCs w:val="21"/>
        </w:rPr>
        <w:t xml:space="preserve">23. Water Mill project — investigation protocol created in this project, actual intelligence output lives in a separate project.</w:t>
      </w:r>
    </w:p>
    <w:p>
      <w:pPr>
        <w:spacing w:after="60" w:before="60" w:line="300"/>
        <w:jc w:val="left"/>
      </w:pPr>
      <w:r>
        <w:rPr>
          <w:rFonts w:ascii="Arial" w:cs="Arial" w:eastAsia="Arial" w:hAnsi="Arial"/>
          <w:b w:val="false"/>
          <w:bCs w:val="false"/>
          <w:i w:val="false"/>
          <w:iCs w:val="false"/>
          <w:color w:val="000000"/>
          <w:sz w:val="21"/>
          <w:szCs w:val="21"/>
        </w:rPr>
        <w:t xml:space="preserve">24. Investor portal admin panel — referenced everywhere, never specified.</w:t>
      </w:r>
    </w:p>
    <w:p>
      <w:pPr>
        <w:spacing w:after="60" w:before="60" w:line="300"/>
        <w:jc w:val="left"/>
      </w:pPr>
      <w:r>
        <w:rPr>
          <w:rFonts w:ascii="Arial" w:cs="Arial" w:eastAsia="Arial" w:hAnsi="Arial"/>
          <w:b w:val="false"/>
          <w:bCs w:val="false"/>
          <w:i w:val="false"/>
          <w:iCs w:val="false"/>
          <w:color w:val="000000"/>
          <w:sz w:val="21"/>
          <w:szCs w:val="21"/>
        </w:rPr>
        <w:t xml:space="preserve">25. Mobile strategy — recommended responsive web first, never formally decided.</w:t>
      </w:r>
    </w:p>
    <w:p>
      <w:pPr>
        <w:spacing w:after="60" w:before="60" w:line="300"/>
        <w:jc w:val="left"/>
      </w:pPr>
      <w:r>
        <w:rPr>
          <w:rFonts w:ascii="Arial" w:cs="Arial" w:eastAsia="Arial" w:hAnsi="Arial"/>
          <w:b w:val="false"/>
          <w:bCs w:val="false"/>
          <w:i w:val="false"/>
          <w:iCs w:val="false"/>
          <w:color w:val="000000"/>
          <w:sz w:val="21"/>
          <w:szCs w:val="21"/>
        </w:rPr>
        <w:t xml:space="preserve">26. Gateway 17-prompt execution sequence — produced but not started by Mushka.</w:t>
      </w:r>
    </w:p>
    <w:p>
      <w:pPr>
        <w:spacing w:after="60" w:before="60" w:line="300"/>
        <w:jc w:val="left"/>
      </w:pPr>
      <w:r>
        <w:rPr>
          <w:rFonts w:ascii="Arial" w:cs="Arial" w:eastAsia="Arial" w:hAnsi="Arial"/>
          <w:b w:val="false"/>
          <w:bCs w:val="false"/>
          <w:i w:val="false"/>
          <w:iCs w:val="false"/>
          <w:color w:val="000000"/>
          <w:sz w:val="21"/>
          <w:szCs w:val="21"/>
        </w:rPr>
        <w:t xml:space="preserve">27. The Apple-style interactive presentation — noted as a future deliverable, not yet started.</w:t>
      </w:r>
    </w:p>
    <w:p>
      <w:pPr>
        <w:spacing w:after="60" w:before="60" w:line="300"/>
        <w:jc w:val="left"/>
      </w:pPr>
      <w:r>
        <w:rPr>
          <w:rFonts w:ascii="Arial" w:cs="Arial" w:eastAsia="Arial" w:hAnsi="Arial"/>
          <w:b w:val="false"/>
          <w:bCs w:val="false"/>
          <w:i w:val="false"/>
          <w:iCs w:val="false"/>
          <w:color w:val="000000"/>
          <w:sz w:val="21"/>
          <w:szCs w:val="21"/>
        </w:rPr>
        <w:t xml:space="preserve">28. $5 billion NPL fund from Israeli institutional capital — conceived but no fund formation work started.</w:t>
      </w:r>
    </w:p>
    <w:p>
      <w:pPr>
        <w:spacing w:after="60" w:before="60" w:line="300"/>
        <w:jc w:val="left"/>
      </w:pPr>
      <w:r>
        <w:rPr>
          <w:rFonts w:ascii="Arial" w:cs="Arial" w:eastAsia="Arial" w:hAnsi="Arial"/>
          <w:b w:val="false"/>
          <w:bCs w:val="false"/>
          <w:i w:val="false"/>
          <w:iCs w:val="false"/>
          <w:color w:val="000000"/>
          <w:sz w:val="21"/>
          <w:szCs w:val="21"/>
        </w:rPr>
        <w:t xml:space="preserve">29. Valuation division as separate brand — mentioned in the Movie Vision, not designed.</w:t>
      </w:r>
    </w:p>
    <w:p>
      <w:pPr>
        <w:spacing w:after="60" w:before="60" w:line="300"/>
        <w:jc w:val="left"/>
      </w:pPr>
      <w:r>
        <w:rPr>
          <w:rFonts w:ascii="Arial" w:cs="Arial" w:eastAsia="Arial" w:hAnsi="Arial"/>
          <w:b w:val="false"/>
          <w:bCs w:val="false"/>
          <w:i w:val="false"/>
          <w:iCs w:val="false"/>
          <w:color w:val="000000"/>
          <w:sz w:val="21"/>
          <w:szCs w:val="21"/>
        </w:rPr>
        <w:t xml:space="preserve">30. Broker recommendation engine — mentioned in the Movie Vision, not designed.</w:t>
      </w:r>
    </w:p>
    <w:p>
      <w:pPr>
        <w:spacing w:after="60" w:before="60" w:line="300"/>
        <w:jc w:val="left"/>
      </w:pPr>
      <w:r>
        <w:rPr>
          <w:rFonts w:ascii="Arial" w:cs="Arial" w:eastAsia="Arial" w:hAnsi="Arial"/>
          <w:b w:val="false"/>
          <w:bCs w:val="false"/>
          <w:i w:val="false"/>
          <w:iCs w:val="false"/>
          <w:color w:val="000000"/>
          <w:sz w:val="21"/>
          <w:szCs w:val="21"/>
        </w:rPr>
        <w:t xml:space="preserve">31. The 14-channel sourcing strategy operational playbook — the document exists but the 12-week phased implementation plan was never started.</w:t>
      </w:r>
    </w:p>
    <w:p>
      <w:pPr>
        <w:spacing w:after="60" w:before="60" w:line="300"/>
        <w:jc w:val="left"/>
      </w:pPr>
      <w:r>
        <w:rPr>
          <w:rFonts w:ascii="Arial" w:cs="Arial" w:eastAsia="Arial" w:hAnsi="Arial"/>
          <w:b w:val="false"/>
          <w:bCs w:val="false"/>
          <w:i w:val="false"/>
          <w:iCs w:val="false"/>
          <w:color w:val="000000"/>
          <w:sz w:val="21"/>
          <w:szCs w:val="21"/>
        </w:rPr>
        <w:t xml:space="preserve">32. The Deal Psychology Engine as AI system prompts for automated LOI generation — three standalone prompts were designed (for banks/institutional, bankruptcy trustees, and non-sophisticated owners) but never deployed as live systems.</w:t>
      </w:r>
    </w:p>
    <w:p>
      <w:r>
        <w:br w:type="page"/>
      </w:r>
    </w:p>
    <w:p>
      <w:pPr>
        <w:spacing w:after="100" w:before="400"/>
      </w:pPr>
      <w:r>
        <w:rPr>
          <w:rFonts w:ascii="Arial" w:cs="Arial" w:eastAsia="Arial" w:hAnsi="Arial"/>
          <w:b/>
          <w:bCs/>
          <w:color w:val="0E3470"/>
          <w:sz w:val="28"/>
          <w:szCs w:val="28"/>
        </w:rPr>
        <w:t xml:space="preserve">17. CONFLICTING DECISIONS — ITEMS THAT WENT MULTIPLE DIRECTIONS</w:t>
      </w:r>
    </w:p>
    <w:p>
      <w:pPr>
        <w:pBdr>
          <w:bottom w:val="single" w:color="BC9C45" w:sz="6" w:space="4"/>
        </w:pBdr>
        <w:spacing w:after="160" w:before="160"/>
      </w:pPr>
    </w:p>
    <w:p>
      <w:pPr>
        <w:spacing w:after="60" w:before="60" w:line="300"/>
        <w:jc w:val="left"/>
      </w:pPr>
      <w:r>
        <w:rPr>
          <w:rFonts w:ascii="Arial" w:cs="Arial" w:eastAsia="Arial" w:hAnsi="Arial"/>
          <w:b w:val="false"/>
          <w:bCs w:val="false"/>
          <w:i w:val="false"/>
          <w:iCs w:val="false"/>
          <w:color w:val="000000"/>
          <w:sz w:val="21"/>
          <w:szCs w:val="21"/>
        </w:rPr>
        <w:t xml:space="preserve">Conflict 1: Board size. The 88-member operational version versus the 113-member complete roster was never explicitly reconciled. The 113-member Unified Roster V3 is the authoritative document, but the Deal Psychology Engine references an 88-member operational subset. Which members are in and which are out for day-to-day operations was never formalized.</w:t>
      </w:r>
    </w:p>
    <w:p>
      <w:pPr>
        <w:spacing w:after="60" w:before="60" w:line="300"/>
        <w:jc w:val="left"/>
      </w:pPr>
      <w:r>
        <w:rPr>
          <w:rFonts w:ascii="Arial" w:cs="Arial" w:eastAsia="Arial" w:hAnsi="Arial"/>
          <w:b w:val="false"/>
          <w:bCs w:val="false"/>
          <w:i w:val="false"/>
          <w:iCs w:val="false"/>
          <w:color w:val="000000"/>
          <w:sz w:val="21"/>
          <w:szCs w:val="21"/>
        </w:rPr>
        <w:t xml:space="preserve">Conflict 2: Three product tiers versus five buyer groups. The early Movie Vision and many documents reference three product tiers (GP Home Runs, Core Flips, Special Asset Class). The March 2026 investor portal work established five buyer groups as the superseding architecture. Some documents still reference the three-tier model. The five-group model is current, but the three-tier model has not been formally deprecated across all documents.</w:t>
      </w:r>
    </w:p>
    <w:p>
      <w:pPr>
        <w:spacing w:after="60" w:before="60" w:line="300"/>
        <w:jc w:val="left"/>
      </w:pPr>
      <w:r>
        <w:rPr>
          <w:rFonts w:ascii="Arial" w:cs="Arial" w:eastAsia="Arial" w:hAnsi="Arial"/>
          <w:b w:val="false"/>
          <w:bCs w:val="false"/>
          <w:i w:val="false"/>
          <w:iCs w:val="false"/>
          <w:color w:val="000000"/>
          <w:sz w:val="21"/>
          <w:szCs w:val="21"/>
        </w:rPr>
        <w:t xml:space="preserve">Conflict 3: Gideon's location. The project knowledge brief states "Israeli-born, operates from South Florida." Other documents reference Postville, Iowa as the permanent base. The team relocation model is built around Postville. This appears to be an evolution (South Florida was earlier, Postville is current) but was never explicitly documented as a change.</w:t>
      </w:r>
    </w:p>
    <w:p>
      <w:pPr>
        <w:spacing w:after="60" w:before="60" w:line="300"/>
        <w:jc w:val="left"/>
      </w:pPr>
      <w:r>
        <w:rPr>
          <w:rFonts w:ascii="Arial" w:cs="Arial" w:eastAsia="Arial" w:hAnsi="Arial"/>
          <w:b w:val="false"/>
          <w:bCs w:val="false"/>
          <w:i w:val="false"/>
          <w:iCs w:val="false"/>
          <w:color w:val="000000"/>
          <w:sz w:val="21"/>
          <w:szCs w:val="21"/>
        </w:rPr>
        <w:t xml:space="preserve">Conflict 4: Gateway country sequencing. One session recommended Singapore, South Korea, and Brazil before Israel. This was corrected back to Israel first. But the educational curriculum session produced a 41-module taxonomy that may still reflect the non-Israel-first sequencing.</w:t>
      </w:r>
    </w:p>
    <w:p>
      <w:pPr>
        <w:spacing w:after="60" w:before="60" w:line="300"/>
        <w:jc w:val="left"/>
      </w:pPr>
      <w:r>
        <w:rPr>
          <w:rFonts w:ascii="Arial" w:cs="Arial" w:eastAsia="Arial" w:hAnsi="Arial"/>
          <w:b w:val="false"/>
          <w:bCs w:val="false"/>
          <w:i w:val="false"/>
          <w:iCs w:val="false"/>
          <w:color w:val="000000"/>
          <w:sz w:val="21"/>
          <w:szCs w:val="21"/>
        </w:rPr>
        <w:t xml:space="preserve">Conflict 5: Deposit amount. Early LOIs used $200,000 deposits. This was permanently replaced with the $50,000 standard via Bruce Smoler. But the Florida portfolio uses $100,000. The rule appears to be: $50,000 is the standard for individual deals, with larger deposits scaled to deal size. This was never formally codified as a sliding scale.</w:t>
      </w:r>
    </w:p>
    <w:p>
      <w:pPr>
        <w:spacing w:after="60" w:before="60" w:line="300"/>
        <w:jc w:val="left"/>
      </w:pPr>
      <w:r>
        <w:rPr>
          <w:rFonts w:ascii="Arial" w:cs="Arial" w:eastAsia="Arial" w:hAnsi="Arial"/>
          <w:b w:val="false"/>
          <w:bCs w:val="false"/>
          <w:i w:val="false"/>
          <w:iCs w:val="false"/>
          <w:color w:val="000000"/>
          <w:sz w:val="21"/>
          <w:szCs w:val="21"/>
        </w:rPr>
        <w:t xml:space="preserve">Conflict 6: The "Movie Vision" sections. Several sections were described as still needing to be written (revenue model with real commission math, technology stack detail, team and scaling, psychology framework mapped to platform features, security and competitive moat, build sequence with phase-by-phase implementation), but much of this content was subsequently produced in separate documents and conversations without being written back into the Movie Vision document. The Movie Vision may now be partially obsolete as a planning document.</w:t>
      </w:r>
    </w:p>
    <w:p>
      <w:pPr>
        <w:spacing w:after="60" w:before="60" w:line="300"/>
        <w:jc w:val="left"/>
      </w:pPr>
      <w:r>
        <w:rPr>
          <w:rFonts w:ascii="Arial" w:cs="Arial" w:eastAsia="Arial" w:hAnsi="Arial"/>
          <w:b w:val="false"/>
          <w:bCs w:val="false"/>
          <w:i w:val="false"/>
          <w:iCs w:val="false"/>
          <w:color w:val="000000"/>
          <w:sz w:val="21"/>
          <w:szCs w:val="21"/>
        </w:rPr>
        <w:t xml:space="preserve">Conflict 7: GP/LP structure flexibility. The investor portal extraction states "there is no fixed GP/LP structure — every deal is analyzed individually." But earlier documents describe a standard 80/20 or 70/30 split. The March 2026 position (flexible, model-driven) is current but contradicts some older references.</w:t>
      </w:r>
    </w:p>
    <w:p>
      <w:r>
        <w:br w:type="page"/>
      </w:r>
    </w:p>
    <w:p>
      <w:pPr>
        <w:spacing w:after="100" w:before="400"/>
      </w:pPr>
      <w:r>
        <w:rPr>
          <w:rFonts w:ascii="Arial" w:cs="Arial" w:eastAsia="Arial" w:hAnsi="Arial"/>
          <w:b/>
          <w:bCs/>
          <w:color w:val="0E3470"/>
          <w:sz w:val="28"/>
          <w:szCs w:val="28"/>
        </w:rPr>
        <w:t xml:space="preserve">18. AVENUES NOT EXPLORED</w:t>
      </w:r>
    </w:p>
    <w:p>
      <w:pPr>
        <w:pBdr>
          <w:bottom w:val="single" w:color="BC9C45" w:sz="6" w:space="4"/>
        </w:pBdr>
        <w:spacing w:after="160" w:before="160"/>
      </w:pPr>
    </w:p>
    <w:p>
      <w:pPr>
        <w:spacing w:after="60" w:before="60" w:line="300"/>
        <w:jc w:val="left"/>
      </w:pPr>
      <w:r>
        <w:rPr>
          <w:rFonts w:ascii="Arial" w:cs="Arial" w:eastAsia="Arial" w:hAnsi="Arial"/>
          <w:b w:val="false"/>
          <w:bCs w:val="false"/>
          <w:i w:val="false"/>
          <w:iCs w:val="false"/>
          <w:color w:val="000000"/>
          <w:sz w:val="21"/>
          <w:szCs w:val="21"/>
        </w:rPr>
        <w:t xml:space="preserve">1. Institutional broker relationships at scale — the system was designed for Gideon's personal network, but no strategy exists for systematically building relationships with the top 50 institutional brokerages (CBRE, JLL, Eastdil, Newmark, Cushman) as platform partners rather than individual broker contacts.</w:t>
      </w:r>
    </w:p>
    <w:p>
      <w:pPr>
        <w:spacing w:after="60" w:before="60" w:line="300"/>
        <w:jc w:val="left"/>
      </w:pPr>
      <w:r>
        <w:rPr>
          <w:rFonts w:ascii="Arial" w:cs="Arial" w:eastAsia="Arial" w:hAnsi="Arial"/>
          <w:b w:val="false"/>
          <w:bCs w:val="false"/>
          <w:i w:val="false"/>
          <w:iCs w:val="false"/>
          <w:color w:val="000000"/>
          <w:sz w:val="21"/>
          <w:szCs w:val="21"/>
        </w:rPr>
        <w:t xml:space="preserve">2. Data partnerships — no exploration of whether CoStar, CRED iQ, or other data providers would offer preferred pricing or white-label integration in exchange for deal flow data or platform visibility.</w:t>
      </w:r>
    </w:p>
    <w:p>
      <w:pPr>
        <w:spacing w:after="60" w:before="60" w:line="300"/>
        <w:jc w:val="left"/>
      </w:pPr>
      <w:r>
        <w:rPr>
          <w:rFonts w:ascii="Arial" w:cs="Arial" w:eastAsia="Arial" w:hAnsi="Arial"/>
          <w:b w:val="false"/>
          <w:bCs w:val="false"/>
          <w:i w:val="false"/>
          <w:iCs w:val="false"/>
          <w:color w:val="000000"/>
          <w:sz w:val="21"/>
          <w:szCs w:val="21"/>
        </w:rPr>
        <w:t xml:space="preserve">3. AI-generated property condition reports — the DD addendums exist but the actual AI-driven analysis of property photos, satellite imagery, and environmental databases was never designed as an automated pipeline.</w:t>
      </w:r>
    </w:p>
    <w:p>
      <w:pPr>
        <w:spacing w:after="60" w:before="60" w:line="300"/>
        <w:jc w:val="left"/>
      </w:pPr>
      <w:r>
        <w:rPr>
          <w:rFonts w:ascii="Arial" w:cs="Arial" w:eastAsia="Arial" w:hAnsi="Arial"/>
          <w:b w:val="false"/>
          <w:bCs w:val="false"/>
          <w:i w:val="false"/>
          <w:iCs w:val="false"/>
          <w:color w:val="000000"/>
          <w:sz w:val="21"/>
          <w:szCs w:val="21"/>
        </w:rPr>
        <w:t xml:space="preserve">4. Insurance as a revenue stream — mentioned in the revenue model but never researched for licensing requirements, partnership structures, or implementation.</w:t>
      </w:r>
    </w:p>
    <w:p>
      <w:pPr>
        <w:spacing w:after="60" w:before="60" w:line="300"/>
        <w:jc w:val="left"/>
      </w:pPr>
      <w:r>
        <w:rPr>
          <w:rFonts w:ascii="Arial" w:cs="Arial" w:eastAsia="Arial" w:hAnsi="Arial"/>
          <w:b w:val="false"/>
          <w:bCs w:val="false"/>
          <w:i w:val="false"/>
          <w:iCs w:val="false"/>
          <w:color w:val="000000"/>
          <w:sz w:val="21"/>
          <w:szCs w:val="21"/>
        </w:rPr>
        <w:t xml:space="preserve">5. Secondary market for club memberships — what happens when a member wants to exit. No policy exists.</w:t>
      </w:r>
    </w:p>
    <w:p>
      <w:pPr>
        <w:spacing w:after="60" w:before="60" w:line="300"/>
        <w:jc w:val="left"/>
      </w:pPr>
      <w:r>
        <w:rPr>
          <w:rFonts w:ascii="Arial" w:cs="Arial" w:eastAsia="Arial" w:hAnsi="Arial"/>
          <w:b w:val="false"/>
          <w:bCs w:val="false"/>
          <w:i w:val="false"/>
          <w:iCs w:val="false"/>
          <w:color w:val="000000"/>
          <w:sz w:val="21"/>
          <w:szCs w:val="21"/>
        </w:rPr>
        <w:t xml:space="preserve">6. Competitor monitoring at the platform level — no system to track what Dealpath, InvestNext, Juniper Square, or new entrants are building. Monthly tool review was recommended but no process was designed.</w:t>
      </w:r>
    </w:p>
    <w:p>
      <w:pPr>
        <w:spacing w:after="60" w:before="60" w:line="300"/>
        <w:jc w:val="left"/>
      </w:pPr>
      <w:r>
        <w:rPr>
          <w:rFonts w:ascii="Arial" w:cs="Arial" w:eastAsia="Arial" w:hAnsi="Arial"/>
          <w:b w:val="false"/>
          <w:bCs w:val="false"/>
          <w:i w:val="false"/>
          <w:iCs w:val="false"/>
          <w:color w:val="000000"/>
          <w:sz w:val="21"/>
          <w:szCs w:val="21"/>
        </w:rPr>
        <w:t xml:space="preserve">7. International deal sourcing — Gateway addresses international capital coming into the US, but no strategy exists for sourcing distressed CRE deals outside the US (Canada, UK, Europe, Israel) for the same investor club.</w:t>
      </w:r>
    </w:p>
    <w:p>
      <w:pPr>
        <w:spacing w:after="60" w:before="60" w:line="300"/>
        <w:jc w:val="left"/>
      </w:pPr>
      <w:r>
        <w:rPr>
          <w:rFonts w:ascii="Arial" w:cs="Arial" w:eastAsia="Arial" w:hAnsi="Arial"/>
          <w:b w:val="false"/>
          <w:bCs w:val="false"/>
          <w:i w:val="false"/>
          <w:iCs w:val="false"/>
          <w:color w:val="000000"/>
          <w:sz w:val="21"/>
          <w:szCs w:val="21"/>
        </w:rPr>
        <w:t xml:space="preserve">8. AI-driven rent comp analysis — the reports reference rent comp analysis as a deliverable but no automated system for generating these was designed.</w:t>
      </w:r>
    </w:p>
    <w:p>
      <w:pPr>
        <w:spacing w:after="60" w:before="60" w:line="300"/>
        <w:jc w:val="left"/>
      </w:pPr>
      <w:r>
        <w:rPr>
          <w:rFonts w:ascii="Arial" w:cs="Arial" w:eastAsia="Arial" w:hAnsi="Arial"/>
          <w:b w:val="false"/>
          <w:bCs w:val="false"/>
          <w:i w:val="false"/>
          <w:iCs w:val="false"/>
          <w:color w:val="000000"/>
          <w:sz w:val="21"/>
          <w:szCs w:val="21"/>
        </w:rPr>
        <w:t xml:space="preserve">9. Podcast or content marketing strategy — no exploration of thought leadership content as a trust-building and deal-sourcing channel. The video research was about portal credibility, not content marketing.</w:t>
      </w:r>
    </w:p>
    <w:p>
      <w:pPr>
        <w:spacing w:after="60" w:before="60" w:line="300"/>
        <w:jc w:val="left"/>
      </w:pPr>
      <w:r>
        <w:rPr>
          <w:rFonts w:ascii="Arial" w:cs="Arial" w:eastAsia="Arial" w:hAnsi="Arial"/>
          <w:b w:val="false"/>
          <w:bCs w:val="false"/>
          <w:i w:val="false"/>
          <w:iCs w:val="false"/>
          <w:color w:val="000000"/>
          <w:sz w:val="21"/>
          <w:szCs w:val="21"/>
        </w:rPr>
        <w:t xml:space="preserve">10. Debt brokerage licensing — debt placement at 0.5-1% of loan amount is listed as a revenue stream but requires a broker license. No exploration of what this requires or timeline to obtain.</w:t>
      </w:r>
    </w:p>
    <w:p>
      <w:pPr>
        <w:spacing w:after="60" w:before="60" w:line="300"/>
        <w:jc w:val="left"/>
      </w:pPr>
      <w:r>
        <w:rPr>
          <w:rFonts w:ascii="Arial" w:cs="Arial" w:eastAsia="Arial" w:hAnsi="Arial"/>
          <w:b w:val="false"/>
          <w:bCs w:val="false"/>
          <w:i w:val="false"/>
          <w:iCs w:val="false"/>
          <w:color w:val="000000"/>
          <w:sz w:val="21"/>
          <w:szCs w:val="21"/>
        </w:rPr>
        <w:t xml:space="preserve">11. Strategic acquisitions — no exploration of acquiring smaller CRE data companies, auction platforms, or competitor tools to accelerate Terminal's capability.</w:t>
      </w:r>
    </w:p>
    <w:p>
      <w:pPr>
        <w:spacing w:after="60" w:before="60" w:line="300"/>
        <w:jc w:val="left"/>
      </w:pPr>
      <w:r>
        <w:rPr>
          <w:rFonts w:ascii="Arial" w:cs="Arial" w:eastAsia="Arial" w:hAnsi="Arial"/>
          <w:b w:val="false"/>
          <w:bCs w:val="false"/>
          <w:i w:val="false"/>
          <w:iCs w:val="false"/>
          <w:color w:val="000000"/>
          <w:sz w:val="21"/>
          <w:szCs w:val="21"/>
        </w:rPr>
        <w:t xml:space="preserve">12. White-label reports for brokers — the free analysis is positioned as reciprocity, but no exploration of whether brokers would pay for branded reports they can present to their own clients.</w:t>
      </w:r>
    </w:p>
    <w:p>
      <w:r>
        <w:br w:type="page"/>
      </w:r>
    </w:p>
    <w:p>
      <w:pPr>
        <w:spacing w:after="100" w:before="400"/>
      </w:pPr>
      <w:r>
        <w:rPr>
          <w:rFonts w:ascii="Arial" w:cs="Arial" w:eastAsia="Arial" w:hAnsi="Arial"/>
          <w:b/>
          <w:bCs/>
          <w:color w:val="0E3470"/>
          <w:sz w:val="28"/>
          <w:szCs w:val="28"/>
        </w:rPr>
        <w:t xml:space="preserve">19. WHERE THIS CAN BE ELEVATED</w:t>
      </w:r>
    </w:p>
    <w:p>
      <w:pPr>
        <w:pBdr>
          <w:bottom w:val="single" w:color="BC9C45" w:sz="6" w:space="4"/>
        </w:pBdr>
        <w:spacing w:after="160" w:before="160"/>
      </w:pPr>
    </w:p>
    <w:p>
      <w:pPr>
        <w:spacing w:after="60" w:before="60" w:line="300"/>
        <w:jc w:val="left"/>
      </w:pPr>
      <w:r>
        <w:rPr>
          <w:rFonts w:ascii="Arial" w:cs="Arial" w:eastAsia="Arial" w:hAnsi="Arial"/>
          <w:b w:val="false"/>
          <w:bCs w:val="false"/>
          <w:i w:val="false"/>
          <w:iCs w:val="false"/>
          <w:color w:val="000000"/>
          <w:sz w:val="21"/>
          <w:szCs w:val="21"/>
        </w:rPr>
        <w:t xml:space="preserve">Elevation 1: The countdown timer engine is the single most referenced differentiating feature across all extractions. It should be the centerpiece of every sales conversation, every investor pitch, every broker demo. No competitor has it. Patent the concept if possible. Build it first, before any other portal feature.</w:t>
      </w:r>
    </w:p>
    <w:p>
      <w:pPr>
        <w:spacing w:after="60" w:before="60" w:line="300"/>
        <w:jc w:val="left"/>
      </w:pPr>
      <w:r>
        <w:rPr>
          <w:rFonts w:ascii="Arial" w:cs="Arial" w:eastAsia="Arial" w:hAnsi="Arial"/>
          <w:b w:val="false"/>
          <w:bCs w:val="false"/>
          <w:i w:val="false"/>
          <w:iCs w:val="false"/>
          <w:color w:val="000000"/>
          <w:sz w:val="21"/>
          <w:szCs w:val="21"/>
        </w:rPr>
        <w:t xml:space="preserve">Elevation 2: The five buyer groups architecture is more powerful than it is currently being used. Each group should have its own marketing collateral, its own landing page on the broker portal, its own set of case studies showing closed deals. When a broker selects a group, the entire experience should be customized to that group's value proposition.</w:t>
      </w:r>
    </w:p>
    <w:p>
      <w:pPr>
        <w:spacing w:after="60" w:before="60" w:line="300"/>
        <w:jc w:val="left"/>
      </w:pPr>
      <w:r>
        <w:rPr>
          <w:rFonts w:ascii="Arial" w:cs="Arial" w:eastAsia="Arial" w:hAnsi="Arial"/>
          <w:b w:val="false"/>
          <w:bCs w:val="false"/>
          <w:i w:val="false"/>
          <w:iCs w:val="false"/>
          <w:color w:val="000000"/>
          <w:sz w:val="21"/>
          <w:szCs w:val="21"/>
        </w:rPr>
        <w:t xml:space="preserve">Elevation 3: The Track A / Track B Report Stigma Firewall solves a problem that every CRE buyer faces — the market confusion between "we analyzed your deal" and "we rejected your deal." This should be the first thing explained in any broker onboarding conversation. It is a selling point, not just a structural decision.</w:t>
      </w:r>
    </w:p>
    <w:p>
      <w:pPr>
        <w:spacing w:after="60" w:before="60" w:line="300"/>
        <w:jc w:val="left"/>
      </w:pPr>
      <w:r>
        <w:rPr>
          <w:rFonts w:ascii="Arial" w:cs="Arial" w:eastAsia="Arial" w:hAnsi="Arial"/>
          <w:b w:val="false"/>
          <w:bCs w:val="false"/>
          <w:i w:val="false"/>
          <w:iCs w:val="false"/>
          <w:color w:val="000000"/>
          <w:sz w:val="21"/>
          <w:szCs w:val="21"/>
        </w:rPr>
        <w:t xml:space="preserve">Elevation 4: The Zero-Harm Engagement Principle should be formalized as Terminal's public manifesto. Every broker, every investor, every seller should know: no one is ever worse off for having engaged with Terminal. This is the brand promise that makes everything else credible.</w:t>
      </w:r>
    </w:p>
    <w:p>
      <w:pPr>
        <w:spacing w:after="60" w:before="60" w:line="300"/>
        <w:jc w:val="left"/>
      </w:pPr>
      <w:r>
        <w:rPr>
          <w:rFonts w:ascii="Arial" w:cs="Arial" w:eastAsia="Arial" w:hAnsi="Arial"/>
          <w:b w:val="false"/>
          <w:bCs w:val="false"/>
          <w:i w:val="false"/>
          <w:iCs w:val="false"/>
          <w:color w:val="000000"/>
          <w:sz w:val="21"/>
          <w:szCs w:val="21"/>
        </w:rPr>
        <w:t xml:space="preserve">Elevation 5: The Psychology Engine's validated effect sizes should be compiled into a one-page reference card for every team member. When Shirel drafts an email, she should have the email psychology findings in front of her. When Adir speaks with an investor, he should know the ABI Trust Model sequence. The Engine is useless if only Claude knows it.</w:t>
      </w:r>
    </w:p>
    <w:p>
      <w:pPr>
        <w:spacing w:after="60" w:before="60" w:line="300"/>
        <w:jc w:val="left"/>
      </w:pPr>
      <w:r>
        <w:rPr>
          <w:rFonts w:ascii="Arial" w:cs="Arial" w:eastAsia="Arial" w:hAnsi="Arial"/>
          <w:b w:val="false"/>
          <w:bCs w:val="false"/>
          <w:i w:val="false"/>
          <w:iCs w:val="false"/>
          <w:color w:val="000000"/>
          <w:sz w:val="21"/>
          <w:szCs w:val="21"/>
        </w:rPr>
        <w:t xml:space="preserve">Elevation 6: The 566 dead leads are the lowest-hanging fruit in the entire project. Before building anything new, run the warm reconnect sequence on those 358 leads that died after a single message. Even a 5% reactivation rate produces 18 live conversations from a single email campaign. This can be done manually in one week with Instantly while the full Email Machine is being built.</w:t>
      </w:r>
    </w:p>
    <w:p>
      <w:pPr>
        <w:spacing w:after="60" w:before="60" w:line="300"/>
        <w:jc w:val="left"/>
      </w:pPr>
      <w:r>
        <w:rPr>
          <w:rFonts w:ascii="Arial" w:cs="Arial" w:eastAsia="Arial" w:hAnsi="Arial"/>
          <w:b w:val="false"/>
          <w:bCs w:val="false"/>
          <w:i w:val="false"/>
          <w:iCs w:val="false"/>
          <w:color w:val="000000"/>
          <w:sz w:val="21"/>
          <w:szCs w:val="21"/>
        </w:rPr>
        <w:t xml:space="preserve">Elevation 7: The NPL bank campaign has three targets that could produce deal flow within 60 days. First Guaranty Bank is a proven seller with existing infrastructure. A FedEx package with reference letters and a one-page positioning document could open the door. This requires no technology, no platform, no portal — just a printed package and a phone call.</w:t>
      </w:r>
    </w:p>
    <w:p>
      <w:pPr>
        <w:spacing w:after="60" w:before="60" w:line="300"/>
        <w:jc w:val="left"/>
      </w:pPr>
      <w:r>
        <w:rPr>
          <w:rFonts w:ascii="Arial" w:cs="Arial" w:eastAsia="Arial" w:hAnsi="Arial"/>
          <w:b w:val="false"/>
          <w:bCs w:val="false"/>
          <w:i w:val="false"/>
          <w:iCs w:val="false"/>
          <w:color w:val="000000"/>
          <w:sz w:val="21"/>
          <w:szCs w:val="21"/>
        </w:rPr>
        <w:t xml:space="preserve">Elevation 8: The investor portal's deal lock mechanism — where a member replaces RePrime's deposit dollar-for-dollar — creates a situation where RePrime never has capital at risk for more than a few days. This is an extraordinarily capital-efficient model that should be emphasized in every fund conversation. RePrime's own capital is the bridge, not the permanent position.</w:t>
      </w:r>
    </w:p>
    <w:p>
      <w:pPr>
        <w:spacing w:after="0" w:before="200"/>
      </w:pPr>
    </w:p>
    <w:p>
      <w:pPr>
        <w:pBdr>
          <w:bottom w:val="single" w:color="BC9C45" w:sz="6" w:space="4"/>
        </w:pBdr>
        <w:spacing w:after="160" w:before="160"/>
      </w:pPr>
    </w:p>
    <w:p>
      <w:pPr>
        <w:spacing w:after="0" w:before="200"/>
        <w:jc w:val="center"/>
      </w:pPr>
      <w:r>
        <w:rPr>
          <w:rFonts w:ascii="Arial" w:cs="Arial" w:eastAsia="Arial" w:hAnsi="Arial"/>
          <w:b/>
          <w:bCs/>
          <w:color w:val="0E3470"/>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9C45" w:sz="3" w:space="4"/>
      </w:pBdr>
      <w:tabs>
        <w:tab w:val="right" w:pos="9360"/>
      </w:tabs>
      <w:spacing w:before="0"/>
    </w:pPr>
    <w:r>
      <w:rPr>
        <w:rFonts w:ascii="Arial" w:cs="Arial" w:eastAsia="Arial" w:hAnsi="Arial"/>
        <w:color w:val="666666"/>
        <w:sz w:val="14"/>
        <w:szCs w:val="14"/>
      </w:rPr>
      <w:t xml:space="preserve">RePrime Group  |  Internal Use Only</w:t>
    </w:r>
    <w:r>
      <w:t xml:space="preserve">	</w:t>
    </w:r>
    <w:r>
      <w:rPr>
        <w:rFonts w:ascii="Arial" w:cs="Arial" w:eastAsia="Arial" w:hAnsi="Arial"/>
        <w:color w:val="0E3470"/>
        <w:sz w:val="14"/>
        <w:szCs w:val="14"/>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9C45" w:sz="3" w:space="4"/>
      </w:pBdr>
      <w:tabs>
        <w:tab w:val="right" w:pos="9360"/>
      </w:tabs>
      <w:spacing w:after="0"/>
    </w:pPr>
    <w:r>
      <w:rPr>
        <w:rFonts w:ascii="Arial" w:cs="Arial" w:eastAsia="Arial" w:hAnsi="Arial"/>
        <w:b/>
        <w:bCs/>
        <w:color w:val="0E3470"/>
        <w:sz w:val="16"/>
        <w:szCs w:val="16"/>
      </w:rPr>
      <w:t xml:space="preserve">REPRIME TERMINAL</w:t>
    </w:r>
    <w:r>
      <w:t xml:space="preserve">	</w:t>
    </w:r>
    <w:r>
      <w:rPr>
        <w:rFonts w:ascii="Arial" w:cs="Arial" w:eastAsia="Arial" w:hAnsi="Arial"/>
        <w:color w:val="BC9C45"/>
        <w:sz w:val="14"/>
        <w:szCs w:val="14"/>
      </w:rPr>
      <w:t xml:space="preserve">COMPREHENSIVE STATUS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2026-03-22T21:31:11.833Z</dcterms:created>
  <dcterms:modified xsi:type="dcterms:W3CDTF">2026-03-22T21:31:11.833Z</dcterms:modified>
</cp:coreProperties>
</file>

<file path=docProps/custom.xml><?xml version="1.0" encoding="utf-8"?>
<Properties xmlns="http://schemas.openxmlformats.org/officeDocument/2006/custom-properties" xmlns:vt="http://schemas.openxmlformats.org/officeDocument/2006/docPropsVTypes"/>
</file>