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left"/>
      </w:pPr>
    </w:p>
    <w:p>
      <w:pPr>
        <w:spacing w:after="240" w:before="0"/>
        <w:jc w:val="center"/>
      </w:pPr>
      <w:r>
        <w:rPr>
          <w:rFonts w:ascii="Arial" w:cs="Arial" w:eastAsia="Arial" w:hAnsi="Arial"/>
          <w:b/>
          <w:bCs/>
          <w:i w:val="false"/>
          <w:iCs w:val="false"/>
          <w:color w:val="BC9C45"/>
          <w:sz w:val="28"/>
          <w:szCs w:val="28"/>
        </w:rPr>
        <w:t xml:space="preserve">REPRIME TERMINAL</w:t>
      </w:r>
    </w:p>
    <w:p>
      <w:pPr>
        <w:spacing w:after="120" w:before="0"/>
        <w:jc w:val="center"/>
      </w:pPr>
      <w:r>
        <w:rPr>
          <w:rFonts w:ascii="Arial" w:cs="Arial" w:eastAsia="Arial" w:hAnsi="Arial"/>
          <w:b/>
          <w:bCs/>
          <w:i w:val="false"/>
          <w:iCs w:val="false"/>
          <w:color w:val="0E3470"/>
          <w:sz w:val="56"/>
          <w:szCs w:val="56"/>
        </w:rPr>
        <w:t xml:space="preserve">MASTER TOOL ENCYCLOPEDIA</w:t>
      </w:r>
    </w:p>
    <w:p>
      <w:pPr>
        <w:spacing w:after="600" w:before="0"/>
        <w:jc w:val="center"/>
      </w:pPr>
      <w:r>
        <w:rPr>
          <w:rFonts w:ascii="Arial" w:cs="Arial" w:eastAsia="Arial" w:hAnsi="Arial"/>
          <w:b w:val="false"/>
          <w:bCs w:val="false"/>
          <w:i/>
          <w:iCs/>
          <w:color w:val="0E3470"/>
          <w:sz w:val="24"/>
          <w:szCs w:val="24"/>
        </w:rPr>
        <w:t xml:space="preserve">Commercial Intelligence Stack for the Bloomberg of Commercial Real Estate</w:t>
      </w:r>
    </w:p>
    <w:p>
      <w:pPr>
        <w:pBdr>
          <w:bottom w:val="single" w:color="BC9C45" w:sz="12" w:space="1"/>
        </w:pBdr>
        <w:spacing w:after="600" w:before="0"/>
        <w:jc w:val="left"/>
      </w:pPr>
    </w:p>
    <w:p>
      <w:pPr>
        <w:spacing w:after="1200" w:before="0"/>
        <w:jc w:val="center"/>
      </w:pPr>
      <w:r>
        <w:rPr>
          <w:rFonts w:ascii="Arial" w:cs="Arial" w:eastAsia="Arial" w:hAnsi="Arial"/>
          <w:b/>
          <w:bCs/>
          <w:i w:val="false"/>
          <w:iCs w:val="false"/>
          <w:color w:val="0E3470"/>
          <w:sz w:val="22"/>
          <w:szCs w:val="22"/>
        </w:rPr>
        <w:t xml:space="preserve">438 Tools  ·  36 Intelligence Categories  ·  Verified 2026 Pricing</w:t>
      </w:r>
    </w:p>
    <w:p>
      <w:pPr>
        <w:spacing w:after="120" w:before="0"/>
        <w:jc w:val="center"/>
      </w:pPr>
      <w:r>
        <w:rPr>
          <w:rFonts w:ascii="Arial" w:cs="Arial" w:eastAsia="Arial" w:hAnsi="Arial"/>
          <w:b w:val="false"/>
          <w:bCs w:val="false"/>
          <w:i w:val="false"/>
          <w:iCs w:val="false"/>
          <w:color w:val="6B6B6B"/>
          <w:sz w:val="18"/>
          <w:szCs w:val="18"/>
        </w:rPr>
        <w:t xml:space="preserve">Prepared for</w:t>
      </w:r>
    </w:p>
    <w:p>
      <w:pPr>
        <w:spacing w:after="1800" w:before="0"/>
        <w:jc w:val="center"/>
      </w:pPr>
      <w:r>
        <w:rPr>
          <w:rFonts w:ascii="Arial" w:cs="Arial" w:eastAsia="Arial" w:hAnsi="Arial"/>
          <w:b/>
          <w:bCs/>
          <w:i w:val="false"/>
          <w:iCs w:val="false"/>
          <w:color w:val="0E3470"/>
          <w:sz w:val="22"/>
          <w:szCs w:val="22"/>
        </w:rPr>
        <w:t xml:space="preserve">Gideon  ·  Founder, RePrime Group</w:t>
      </w:r>
    </w:p>
    <w:p>
      <w:pPr>
        <w:spacing w:after="0" w:before="0"/>
        <w:jc w:val="center"/>
      </w:pPr>
      <w:r>
        <w:rPr>
          <w:rFonts w:ascii="Arial" w:cs="Arial" w:eastAsia="Arial" w:hAnsi="Arial"/>
          <w:b/>
          <w:bCs/>
          <w:i w:val="false"/>
          <w:iCs w:val="false"/>
          <w:color w:val="BC9C45"/>
          <w:sz w:val="16"/>
          <w:szCs w:val="16"/>
        </w:rPr>
        <w:t xml:space="preserve">CONFIDENTIAL  ·  INTERNAL DISTRIBUTION ONLY  ·  APRIL 2026</w:t>
      </w:r>
    </w:p>
    <w:p>
      <w:r>
        <w:br w:type="page"/>
      </w:r>
    </w:p>
    <w:p>
      <w:pPr>
        <w:pBdr>
          <w:bottom w:val="single" w:color="BC9C45" w:sz="12" w:space="4"/>
        </w:pBdr>
        <w:spacing w:after="60" w:before="0"/>
        <w:jc w:val="left"/>
      </w:pPr>
      <w:r>
        <w:rPr>
          <w:rFonts w:ascii="Arial" w:cs="Arial" w:eastAsia="Arial" w:hAnsi="Arial"/>
          <w:b/>
          <w:bCs/>
          <w:i w:val="false"/>
          <w:iCs w:val="false"/>
          <w:color w:val="0E3470"/>
          <w:sz w:val="36"/>
          <w:szCs w:val="36"/>
        </w:rPr>
        <w:t xml:space="preserve">EXECUTIVE SUMMARY</w:t>
      </w:r>
    </w:p>
    <w:p>
      <w:pPr>
        <w:spacing w:after="360" w:before="60"/>
        <w:jc w:val="left"/>
      </w:pPr>
      <w:r>
        <w:rPr>
          <w:rFonts w:ascii="Arial" w:cs="Arial" w:eastAsia="Arial" w:hAnsi="Arial"/>
          <w:b w:val="false"/>
          <w:bCs w:val="false"/>
          <w:i/>
          <w:iCs/>
          <w:color w:val="6B6B6B"/>
          <w:sz w:val="22"/>
          <w:szCs w:val="22"/>
        </w:rPr>
        <w:t xml:space="preserve">Purpose, Scope, and How to Use This Document</w:t>
      </w:r>
    </w:p>
    <w:p>
      <w:pPr>
        <w:spacing w:after="120" w:before="120"/>
        <w:jc w:val="left"/>
      </w:pPr>
      <w:r>
        <w:rPr>
          <w:rFonts w:ascii="Arial" w:cs="Arial" w:eastAsia="Arial" w:hAnsi="Arial"/>
          <w:b w:val="false"/>
          <w:bCs w:val="false"/>
          <w:i w:val="false"/>
          <w:iCs w:val="false"/>
          <w:color w:val="000000"/>
          <w:sz w:val="22"/>
          <w:szCs w:val="22"/>
        </w:rPr>
        <w:t xml:space="preserve">This document is the master commercial-intelligence inventory for the RePrime Terminal. It catalogs every external data feed, software platform, and API that could plug into the Terminal to source ownership conditions, evaluate tenant credit, monitor distress, abstract leases, and produce institutional-grade underwriting at the speed of a Bloomberg user.</w:t>
      </w:r>
    </w:p>
    <w:p>
      <w:pPr>
        <w:spacing w:after="120" w:before="120"/>
        <w:jc w:val="left"/>
      </w:pPr>
      <w:r>
        <w:rPr>
          <w:rFonts w:ascii="Arial" w:cs="Arial" w:eastAsia="Arial" w:hAnsi="Arial"/>
          <w:b w:val="false"/>
          <w:bCs w:val="false"/>
          <w:i w:val="false"/>
          <w:iCs w:val="false"/>
          <w:color w:val="000000"/>
          <w:sz w:val="22"/>
          <w:szCs w:val="22"/>
        </w:rPr>
        <w:t xml:space="preserve">Operational infrastructure (Claude API, Supabase, n8n, Slack, browser automation) is excluded by design. Every tool listed here either ingests, enriches, or produces commercial intelligence directly relevant to deal sourcing, underwriting, or asset management.</w:t>
      </w:r>
    </w:p>
    <w:p>
      <w:pPr>
        <w:spacing w:after="120" w:before="120"/>
        <w:jc w:val="left"/>
      </w:pPr>
      <w:r>
        <w:rPr>
          <w:rFonts w:ascii="Arial" w:cs="Arial" w:eastAsia="Arial" w:hAnsi="Arial"/>
          <w:b w:val="false"/>
          <w:bCs w:val="false"/>
          <w:i w:val="false"/>
          <w:iCs w:val="false"/>
          <w:color w:val="000000"/>
          <w:sz w:val="22"/>
          <w:szCs w:val="22"/>
        </w:rPr>
        <w:t xml:space="preserve">Tools are grouped by intelligence function — not by vendor category — so each section maps directly to a Terminal data feed. Within each section, tools are listed roughly in order of strategic priority for the platform build.</w:t>
      </w:r>
    </w:p>
    <w:p>
      <w:pPr>
        <w:spacing w:after="180" w:before="360"/>
        <w:jc w:val="left"/>
      </w:pPr>
      <w:r>
        <w:rPr>
          <w:rFonts w:ascii="Arial" w:cs="Arial" w:eastAsia="Arial" w:hAnsi="Arial"/>
          <w:b/>
          <w:bCs/>
          <w:i w:val="false"/>
          <w:iCs w:val="false"/>
          <w:color w:val="0E3470"/>
          <w:sz w:val="26"/>
          <w:szCs w:val="26"/>
        </w:rPr>
        <w:t xml:space="preserve">By the Numbers</w:t>
      </w:r>
    </w:p>
    <w:tbl>
      <w:tblPr>
        <w:tblW w:type="dxa" w:w="624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tblGrid>
      <w:tr>
        <w:tc>
          <w:tcPr>
            <w:tcW w:type="dxa" w:w="46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00000"/>
                <w:sz w:val="22"/>
                <w:szCs w:val="22"/>
              </w:rPr>
              <w:t xml:space="preserve">Total tools cataloged</w:t>
            </w:r>
          </w:p>
        </w:tc>
        <w:tc>
          <w:tcPr>
            <w:tcW w:type="dxa" w:w="15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right"/>
            </w:pPr>
            <w:r>
              <w:rPr>
                <w:rFonts w:ascii="Arial" w:cs="Arial" w:eastAsia="Arial" w:hAnsi="Arial"/>
                <w:b/>
                <w:bCs/>
                <w:i w:val="false"/>
                <w:iCs w:val="false"/>
                <w:color w:val="0E3470"/>
                <w:sz w:val="22"/>
                <w:szCs w:val="22"/>
              </w:rPr>
              <w:t xml:space="preserve">438</w:t>
            </w:r>
          </w:p>
        </w:tc>
      </w:tr>
      <w:tr>
        <w:tc>
          <w:tcPr>
            <w:tcW w:type="dxa" w:w="46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00000"/>
                <w:sz w:val="22"/>
                <w:szCs w:val="22"/>
              </w:rPr>
              <w:t xml:space="preserve">Intelligence categories</w:t>
            </w:r>
          </w:p>
        </w:tc>
        <w:tc>
          <w:tcPr>
            <w:tcW w:type="dxa" w:w="15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right"/>
            </w:pPr>
            <w:r>
              <w:rPr>
                <w:rFonts w:ascii="Arial" w:cs="Arial" w:eastAsia="Arial" w:hAnsi="Arial"/>
                <w:b/>
                <w:bCs/>
                <w:i w:val="false"/>
                <w:iCs w:val="false"/>
                <w:color w:val="0E3470"/>
                <w:sz w:val="22"/>
                <w:szCs w:val="22"/>
              </w:rPr>
              <w:t xml:space="preserve">36</w:t>
            </w:r>
          </w:p>
        </w:tc>
      </w:tr>
      <w:tr>
        <w:tc>
          <w:tcPr>
            <w:tcW w:type="dxa" w:w="46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00000"/>
                <w:sz w:val="22"/>
                <w:szCs w:val="22"/>
              </w:rPr>
              <w:t xml:space="preserve">Tier 1 Priority (T1) tools</w:t>
            </w:r>
          </w:p>
        </w:tc>
        <w:tc>
          <w:tcPr>
            <w:tcW w:type="dxa" w:w="15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right"/>
            </w:pPr>
            <w:r>
              <w:rPr>
                <w:rFonts w:ascii="Arial" w:cs="Arial" w:eastAsia="Arial" w:hAnsi="Arial"/>
                <w:b/>
                <w:bCs/>
                <w:i w:val="false"/>
                <w:iCs w:val="false"/>
                <w:color w:val="0E3470"/>
                <w:sz w:val="22"/>
                <w:szCs w:val="22"/>
              </w:rPr>
              <w:t xml:space="preserve">46</w:t>
            </w:r>
          </w:p>
        </w:tc>
      </w:tr>
      <w:tr>
        <w:tc>
          <w:tcPr>
            <w:tcW w:type="dxa" w:w="46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00000"/>
                <w:sz w:val="22"/>
                <w:szCs w:val="22"/>
              </w:rPr>
              <w:t xml:space="preserve">Tier 2 Standard (T2) tools</w:t>
            </w:r>
          </w:p>
        </w:tc>
        <w:tc>
          <w:tcPr>
            <w:tcW w:type="dxa" w:w="15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right"/>
            </w:pPr>
            <w:r>
              <w:rPr>
                <w:rFonts w:ascii="Arial" w:cs="Arial" w:eastAsia="Arial" w:hAnsi="Arial"/>
                <w:b/>
                <w:bCs/>
                <w:i w:val="false"/>
                <w:iCs w:val="false"/>
                <w:color w:val="0E3470"/>
                <w:sz w:val="22"/>
                <w:szCs w:val="22"/>
              </w:rPr>
              <w:t xml:space="preserve">113</w:t>
            </w:r>
          </w:p>
        </w:tc>
      </w:tr>
      <w:tr>
        <w:tc>
          <w:tcPr>
            <w:tcW w:type="dxa" w:w="46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00000"/>
                <w:sz w:val="22"/>
                <w:szCs w:val="22"/>
              </w:rPr>
              <w:t xml:space="preserve">Tier 3 Optional (T3) tools</w:t>
            </w:r>
          </w:p>
        </w:tc>
        <w:tc>
          <w:tcPr>
            <w:tcW w:type="dxa" w:w="15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right"/>
            </w:pPr>
            <w:r>
              <w:rPr>
                <w:rFonts w:ascii="Arial" w:cs="Arial" w:eastAsia="Arial" w:hAnsi="Arial"/>
                <w:b/>
                <w:bCs/>
                <w:i w:val="false"/>
                <w:iCs w:val="false"/>
                <w:color w:val="0E3470"/>
                <w:sz w:val="22"/>
                <w:szCs w:val="22"/>
              </w:rPr>
              <w:t xml:space="preserve">194</w:t>
            </w:r>
          </w:p>
        </w:tc>
      </w:tr>
      <w:tr>
        <w:tc>
          <w:tcPr>
            <w:tcW w:type="dxa" w:w="46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00000"/>
                <w:sz w:val="22"/>
                <w:szCs w:val="22"/>
              </w:rPr>
              <w:t xml:space="preserve">Free / Public sources (FR)</w:t>
            </w:r>
          </w:p>
        </w:tc>
        <w:tc>
          <w:tcPr>
            <w:tcW w:type="dxa" w:w="15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right"/>
            </w:pPr>
            <w:r>
              <w:rPr>
                <w:rFonts w:ascii="Arial" w:cs="Arial" w:eastAsia="Arial" w:hAnsi="Arial"/>
                <w:b/>
                <w:bCs/>
                <w:i w:val="false"/>
                <w:iCs w:val="false"/>
                <w:color w:val="0E3470"/>
                <w:sz w:val="22"/>
                <w:szCs w:val="22"/>
              </w:rPr>
              <w:t xml:space="preserve">83</w:t>
            </w:r>
          </w:p>
        </w:tc>
      </w:tr>
      <w:tr>
        <w:tc>
          <w:tcPr>
            <w:tcW w:type="dxa" w:w="46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00000"/>
                <w:sz w:val="22"/>
                <w:szCs w:val="22"/>
              </w:rPr>
              <w:t xml:space="preserve">Tools with API access</w:t>
            </w:r>
          </w:p>
        </w:tc>
        <w:tc>
          <w:tcPr>
            <w:tcW w:type="dxa" w:w="15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right"/>
            </w:pPr>
            <w:r>
              <w:rPr>
                <w:rFonts w:ascii="Arial" w:cs="Arial" w:eastAsia="Arial" w:hAnsi="Arial"/>
                <w:b/>
                <w:bCs/>
                <w:i w:val="false"/>
                <w:iCs w:val="false"/>
                <w:color w:val="0E3470"/>
                <w:sz w:val="22"/>
                <w:szCs w:val="22"/>
              </w:rPr>
              <w:t xml:space="preserve">217</w:t>
            </w:r>
          </w:p>
        </w:tc>
      </w:tr>
    </w:tbl>
    <w:p>
      <w:r>
        <w:br w:type="page"/>
      </w:r>
    </w:p>
    <w:p>
      <w:pPr>
        <w:pBdr>
          <w:bottom w:val="single" w:color="BC9C45" w:sz="12" w:space="4"/>
        </w:pBdr>
        <w:spacing w:after="60" w:before="0"/>
        <w:jc w:val="left"/>
      </w:pPr>
      <w:r>
        <w:rPr>
          <w:rFonts w:ascii="Arial" w:cs="Arial" w:eastAsia="Arial" w:hAnsi="Arial"/>
          <w:b/>
          <w:bCs/>
          <w:i w:val="false"/>
          <w:iCs w:val="false"/>
          <w:color w:val="0E3470"/>
          <w:sz w:val="32"/>
          <w:szCs w:val="32"/>
        </w:rPr>
        <w:t xml:space="preserve">HOW TO READ THIS DOCUMENT</w:t>
      </w:r>
    </w:p>
    <w:p>
      <w:pPr>
        <w:spacing w:after="360" w:before="60"/>
        <w:jc w:val="left"/>
      </w:pPr>
      <w:r>
        <w:rPr>
          <w:rFonts w:ascii="Arial" w:cs="Arial" w:eastAsia="Arial" w:hAnsi="Arial"/>
          <w:b w:val="false"/>
          <w:bCs w:val="false"/>
          <w:i/>
          <w:iCs/>
          <w:color w:val="6B6B6B"/>
          <w:sz w:val="22"/>
          <w:szCs w:val="22"/>
        </w:rPr>
        <w:t xml:space="preserve">Verdict Codes, Tiering Logic, and Section Structure</w:t>
      </w:r>
    </w:p>
    <w:p>
      <w:pPr>
        <w:spacing w:after="180" w:before="240"/>
        <w:jc w:val="left"/>
      </w:pPr>
      <w:r>
        <w:rPr>
          <w:rFonts w:ascii="Arial" w:cs="Arial" w:eastAsia="Arial" w:hAnsi="Arial"/>
          <w:b/>
          <w:bCs/>
          <w:i w:val="false"/>
          <w:iCs w:val="false"/>
          <w:color w:val="0E3470"/>
          <w:sz w:val="26"/>
          <w:szCs w:val="26"/>
        </w:rPr>
        <w:t xml:space="preserve">Verdict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rPr>
          <w:tblHeader/>
        </w:trPr>
        <w:tc>
          <w:tcPr>
            <w:tcW w:type="dxa" w:w="72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20"/>
                <w:szCs w:val="20"/>
              </w:rPr>
              <w:t xml:space="preserve">Code</w:t>
            </w:r>
          </w:p>
        </w:tc>
        <w:tc>
          <w:tcPr>
            <w:tcW w:type="dxa" w:w="180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20"/>
                <w:szCs w:val="20"/>
              </w:rPr>
              <w:t xml:space="preserve">Label</w:t>
            </w:r>
          </w:p>
        </w:tc>
        <w:tc>
          <w:tcPr>
            <w:tcW w:type="dxa" w:w="684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20"/>
                <w:szCs w:val="20"/>
              </w:rPr>
              <w:t xml:space="preserve">Meaning</w:t>
            </w:r>
          </w:p>
        </w:tc>
      </w:tr>
      <w:tr>
        <w:tc>
          <w:tcPr>
            <w:tcW w:type="dxa" w:w="72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2"/>
                <w:szCs w:val="22"/>
              </w:rPr>
              <w:t xml:space="preserve">T1</w:t>
            </w:r>
          </w:p>
        </w:tc>
        <w:tc>
          <w:tcPr>
            <w:tcW w:type="dxa" w:w="1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00000"/>
                <w:sz w:val="20"/>
                <w:szCs w:val="20"/>
              </w:rPr>
              <w:t xml:space="preserve">Tier 1 Priority</w:t>
            </w:r>
          </w:p>
        </w:tc>
        <w:tc>
          <w:tcPr>
            <w:tcW w:type="dxa" w:w="68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20"/>
                <w:szCs w:val="20"/>
              </w:rPr>
              <w:t xml:space="preserve">Must-have for Stage 2–3 of platform build. Buy now or shortly. Foundational data feed.</w:t>
            </w:r>
          </w:p>
        </w:tc>
      </w:tr>
      <w:tr>
        <w:tc>
          <w:tcPr>
            <w:tcW w:type="dxa" w:w="72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2"/>
                <w:szCs w:val="22"/>
              </w:rPr>
              <w:t xml:space="preserve">T2</w:t>
            </w:r>
          </w:p>
        </w:tc>
        <w:tc>
          <w:tcPr>
            <w:tcW w:type="dxa" w:w="1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00000"/>
                <w:sz w:val="20"/>
                <w:szCs w:val="20"/>
              </w:rPr>
              <w:t xml:space="preserve">Tier 2 Standard</w:t>
            </w:r>
          </w:p>
        </w:tc>
        <w:tc>
          <w:tcPr>
            <w:tcW w:type="dxa" w:w="68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20"/>
                <w:szCs w:val="20"/>
              </w:rPr>
              <w:t xml:space="preserve">Add at Stage 4 (institutional rollout). Strong value but not blocking.</w:t>
            </w:r>
          </w:p>
        </w:tc>
      </w:tr>
      <w:tr>
        <w:tc>
          <w:tcPr>
            <w:tcW w:type="dxa" w:w="72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2"/>
                <w:szCs w:val="22"/>
              </w:rPr>
              <w:t xml:space="preserve">T3</w:t>
            </w:r>
          </w:p>
        </w:tc>
        <w:tc>
          <w:tcPr>
            <w:tcW w:type="dxa" w:w="1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00000"/>
                <w:sz w:val="20"/>
                <w:szCs w:val="20"/>
              </w:rPr>
              <w:t xml:space="preserve">Tier 3 Optional</w:t>
            </w:r>
          </w:p>
        </w:tc>
        <w:tc>
          <w:tcPr>
            <w:tcW w:type="dxa" w:w="68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20"/>
                <w:szCs w:val="20"/>
              </w:rPr>
              <w:t xml:space="preserve">Stage 5 or situational. Niche, expensive, or only relevant for specific asset types.</w:t>
            </w:r>
          </w:p>
        </w:tc>
      </w:tr>
      <w:tr>
        <w:tc>
          <w:tcPr>
            <w:tcW w:type="dxa" w:w="72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2"/>
                <w:szCs w:val="22"/>
              </w:rPr>
              <w:t xml:space="preserve">FR</w:t>
            </w:r>
          </w:p>
        </w:tc>
        <w:tc>
          <w:tcPr>
            <w:tcW w:type="dxa" w:w="1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00000"/>
                <w:sz w:val="20"/>
                <w:szCs w:val="20"/>
              </w:rPr>
              <w:t xml:space="preserve">Free / Public</w:t>
            </w:r>
          </w:p>
        </w:tc>
        <w:tc>
          <w:tcPr>
            <w:tcW w:type="dxa" w:w="68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20"/>
                <w:szCs w:val="20"/>
              </w:rPr>
              <w:t xml:space="preserve">Free or public-domain source. Should be wired in early — zero marginal cost.</w:t>
            </w:r>
          </w:p>
        </w:tc>
      </w:tr>
      <w:tr>
        <w:tc>
          <w:tcPr>
            <w:tcW w:type="dxa" w:w="72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C77700"/>
                <w:sz w:val="22"/>
                <w:szCs w:val="22"/>
              </w:rPr>
              <w:t xml:space="preserve">WT</w:t>
            </w:r>
          </w:p>
        </w:tc>
        <w:tc>
          <w:tcPr>
            <w:tcW w:type="dxa" w:w="1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00000"/>
                <w:sz w:val="20"/>
                <w:szCs w:val="20"/>
              </w:rPr>
              <w:t xml:space="preserve">Wait</w:t>
            </w:r>
          </w:p>
        </w:tc>
        <w:tc>
          <w:tcPr>
            <w:tcW w:type="dxa" w:w="68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20"/>
                <w:szCs w:val="20"/>
              </w:rPr>
              <w:t xml:space="preserve">Defer until deal volume or AUM justifies the spend. Re-evaluate quarterly.</w:t>
            </w:r>
          </w:p>
        </w:tc>
      </w:tr>
      <w:tr>
        <w:tc>
          <w:tcPr>
            <w:tcW w:type="dxa" w:w="72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7474"/>
                <w:sz w:val="22"/>
                <w:szCs w:val="22"/>
              </w:rPr>
              <w:t xml:space="preserve">SK</w:t>
            </w:r>
          </w:p>
        </w:tc>
        <w:tc>
          <w:tcPr>
            <w:tcW w:type="dxa" w:w="1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00000"/>
                <w:sz w:val="20"/>
                <w:szCs w:val="20"/>
              </w:rPr>
              <w:t xml:space="preserve">Skip</w:t>
            </w:r>
          </w:p>
        </w:tc>
        <w:tc>
          <w:tcPr>
            <w:tcW w:type="dxa" w:w="68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20"/>
                <w:szCs w:val="20"/>
              </w:rPr>
              <w:t xml:space="preserve">Evaluated and rejected. Better alternatives exist. Documented to prevent re-evaluation.</w:t>
            </w:r>
          </w:p>
        </w:tc>
      </w:tr>
    </w:tbl>
    <w:p>
      <w:pPr>
        <w:spacing w:after="180" w:before="360"/>
        <w:jc w:val="left"/>
      </w:pPr>
      <w:r>
        <w:rPr>
          <w:rFonts w:ascii="Arial" w:cs="Arial" w:eastAsia="Arial" w:hAnsi="Arial"/>
          <w:b/>
          <w:bCs/>
          <w:i w:val="false"/>
          <w:iCs w:val="false"/>
          <w:color w:val="0E3470"/>
          <w:sz w:val="26"/>
          <w:szCs w:val="26"/>
        </w:rPr>
        <w:t xml:space="preserve">Tiering Logic</w:t>
      </w:r>
    </w:p>
    <w:p>
      <w:pPr>
        <w:spacing w:after="120" w:before="120"/>
        <w:jc w:val="left"/>
      </w:pPr>
      <w:r>
        <w:rPr>
          <w:rFonts w:ascii="Arial" w:cs="Arial" w:eastAsia="Arial" w:hAnsi="Arial"/>
          <w:b w:val="false"/>
          <w:bCs w:val="false"/>
          <w:i w:val="false"/>
          <w:iCs w:val="false"/>
          <w:color w:val="000000"/>
          <w:sz w:val="22"/>
          <w:szCs w:val="22"/>
        </w:rPr>
        <w:t xml:space="preserve">Verdicts reflect strategic priority for the RePrime Terminal build, not absolute quality. A T2 tool may be best-in-class — it just isn't blocking the next stage. A T3 tool may be excellent but only matters for specific asset classes (e.g., NIC MAP for senior housing). Free/public sources are always wired in unless explicitly rejected.</w:t>
      </w:r>
    </w:p>
    <w:p>
      <w:pPr>
        <w:spacing w:after="180" w:before="240"/>
        <w:jc w:val="left"/>
      </w:pPr>
      <w:r>
        <w:rPr>
          <w:rFonts w:ascii="Arial" w:cs="Arial" w:eastAsia="Arial" w:hAnsi="Arial"/>
          <w:b/>
          <w:bCs/>
          <w:i w:val="false"/>
          <w:iCs w:val="false"/>
          <w:color w:val="0E3470"/>
          <w:sz w:val="26"/>
          <w:szCs w:val="26"/>
        </w:rPr>
        <w:t xml:space="preserve">Section Structure</w:t>
      </w:r>
    </w:p>
    <w:p>
      <w:pPr>
        <w:spacing w:after="120" w:before="120"/>
        <w:jc w:val="left"/>
      </w:pPr>
      <w:r>
        <w:rPr>
          <w:rFonts w:ascii="Arial" w:cs="Arial" w:eastAsia="Arial" w:hAnsi="Arial"/>
          <w:b w:val="false"/>
          <w:bCs w:val="false"/>
          <w:i w:val="false"/>
          <w:iCs w:val="false"/>
          <w:color w:val="000000"/>
          <w:sz w:val="22"/>
          <w:szCs w:val="22"/>
        </w:rPr>
        <w:t xml:space="preserve">Each of the 36 sections opens with an intent paragraph stating what intelligence function the section serves and what ownership conditions or distress signals it surfaces. The tool table that follows lists vendor name, a 2–3 sentence one-liner on what the tool actually does, current 2026 annual pricing, API availability, and verdict code.</w:t>
      </w:r>
    </w:p>
    <w:p>
      <w:r>
        <w:br w:type="page"/>
      </w:r>
    </w:p>
    <w:p>
      <w:pPr>
        <w:pBdr>
          <w:bottom w:val="single" w:color="BC9C45" w:sz="12" w:space="4"/>
        </w:pBdr>
        <w:spacing w:after="60" w:before="0"/>
        <w:jc w:val="left"/>
      </w:pPr>
      <w:r>
        <w:rPr>
          <w:rFonts w:ascii="Arial" w:cs="Arial" w:eastAsia="Arial" w:hAnsi="Arial"/>
          <w:b/>
          <w:bCs/>
          <w:i w:val="false"/>
          <w:iCs w:val="false"/>
          <w:color w:val="0E3470"/>
          <w:sz w:val="32"/>
          <w:szCs w:val="32"/>
        </w:rPr>
        <w:t xml:space="preserve">MASTER COST TIER SUMMARY</w:t>
      </w:r>
    </w:p>
    <w:p>
      <w:pPr>
        <w:spacing w:after="360" w:before="60"/>
        <w:jc w:val="left"/>
      </w:pPr>
      <w:r>
        <w:rPr>
          <w:rFonts w:ascii="Arial" w:cs="Arial" w:eastAsia="Arial" w:hAnsi="Arial"/>
          <w:b w:val="false"/>
          <w:bCs w:val="false"/>
          <w:i/>
          <w:iCs/>
          <w:color w:val="6B6B6B"/>
          <w:sz w:val="22"/>
          <w:szCs w:val="22"/>
        </w:rPr>
        <w:t xml:space="preserve">Annual Spend by Build Stage</w:t>
      </w:r>
    </w:p>
    <w:p>
      <w:pPr>
        <w:spacing w:after="240" w:before="0"/>
        <w:jc w:val="left"/>
      </w:pPr>
      <w:r>
        <w:rPr>
          <w:rFonts w:ascii="Arial" w:cs="Arial" w:eastAsia="Arial" w:hAnsi="Arial"/>
          <w:b w:val="false"/>
          <w:bCs w:val="false"/>
          <w:i w:val="false"/>
          <w:iCs w:val="false"/>
          <w:color w:val="000000"/>
          <w:sz w:val="22"/>
          <w:szCs w:val="22"/>
        </w:rPr>
        <w:t xml:space="preserve">The Terminal build is staged so capital deploys into commercial intelligence in proportion to deal volume and AUM. The figures below reflect annual subscription cost only — not implementation, headcount, or operational infrastructure (Claude API, Supabase,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800"/>
        <w:gridCol w:w="4680"/>
      </w:tblGrid>
      <w:tr>
        <w:trPr>
          <w:tblHeader/>
        </w:trPr>
        <w:tc>
          <w:tcPr>
            <w:tcW w:type="dxa" w:w="288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20"/>
                <w:szCs w:val="20"/>
              </w:rPr>
              <w:t xml:space="preserve">Stage</w:t>
            </w:r>
          </w:p>
        </w:tc>
        <w:tc>
          <w:tcPr>
            <w:tcW w:type="dxa" w:w="180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20"/>
                <w:szCs w:val="20"/>
              </w:rPr>
              <w:t xml:space="preserve">Annual Cost</w:t>
            </w:r>
          </w:p>
        </w:tc>
        <w:tc>
          <w:tcPr>
            <w:tcW w:type="dxa" w:w="468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20"/>
                <w:szCs w:val="20"/>
              </w:rPr>
              <w:t xml:space="preserve">Composition</w:t>
            </w:r>
          </w:p>
        </w:tc>
      </w:tr>
      <w:tr>
        <w:tc>
          <w:tcPr>
            <w:tcW w:type="dxa" w:w="2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20"/>
                <w:szCs w:val="20"/>
              </w:rPr>
              <w:t xml:space="preserve">Stage 1: Proof of Concept</w:t>
            </w:r>
          </w:p>
        </w:tc>
        <w:tc>
          <w:tcPr>
            <w:tcW w:type="dxa" w:w="1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BC9C45"/>
                <w:sz w:val="22"/>
                <w:szCs w:val="22"/>
              </w:rPr>
              <w:t xml:space="preserve">$50K – $75K</w:t>
            </w:r>
          </w:p>
        </w:tc>
        <w:tc>
          <w:tcPr>
            <w:tcW w:type="dxa" w:w="46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CoStar, Reonomy, Crexi, PropertyRadar, BatchData, FFIEC (free), USASpending (free), 2–3 specialty add-ons. Enough to source and underwrite mid-market deals across one geography.</w:t>
            </w:r>
          </w:p>
        </w:tc>
      </w:tr>
      <w:tr>
        <w:tc>
          <w:tcPr>
            <w:tcW w:type="dxa" w:w="2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20"/>
                <w:szCs w:val="20"/>
              </w:rPr>
              <w:t xml:space="preserve">Stage 2: Sweet Spot Mid-Stack</w:t>
            </w:r>
          </w:p>
        </w:tc>
        <w:tc>
          <w:tcPr>
            <w:tcW w:type="dxa" w:w="1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BC9C45"/>
                <w:sz w:val="22"/>
                <w:szCs w:val="22"/>
              </w:rPr>
              <w:t xml:space="preserve">$150K – $200K</w:t>
            </w:r>
          </w:p>
        </w:tc>
        <w:tc>
          <w:tcPr>
            <w:tcW w:type="dxa" w:w="46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Adds CRED iQ, CreditRiskMonitor, Placer.ai, First American DataTree, climate risk, lease abstraction AI, and tenant-credit feeds. The level at which the Terminal becomes meaningfully differentiated.</w:t>
            </w:r>
          </w:p>
        </w:tc>
      </w:tr>
      <w:tr>
        <w:tc>
          <w:tcPr>
            <w:tcW w:type="dxa" w:w="2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20"/>
                <w:szCs w:val="20"/>
              </w:rPr>
              <w:t xml:space="preserve">Stage 3: Full Institutional</w:t>
            </w:r>
          </w:p>
        </w:tc>
        <w:tc>
          <w:tcPr>
            <w:tcW w:type="dxa" w:w="1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BC9C45"/>
                <w:sz w:val="22"/>
                <w:szCs w:val="22"/>
              </w:rPr>
              <w:t xml:space="preserve">$420K – $500K</w:t>
            </w:r>
          </w:p>
        </w:tc>
        <w:tc>
          <w:tcPr>
            <w:tcW w:type="dxa" w:w="46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Adds Cherre, MSCI Real Assets, CompStak, Trepp, Yardi Matrix, full skip-tracing stack, environmental DD, and asset-class specialty tools (NIC MAP, STR, AirDNA). Bloomberg-of-CRE positioning.</w:t>
            </w:r>
          </w:p>
        </w:tc>
      </w:tr>
      <w:tr>
        <w:tc>
          <w:tcPr>
            <w:tcW w:type="dxa" w:w="2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20"/>
                <w:szCs w:val="20"/>
              </w:rPr>
              <w:t xml:space="preserve">Stage 4: Encyclopedia Maximum</w:t>
            </w:r>
          </w:p>
        </w:tc>
        <w:tc>
          <w:tcPr>
            <w:tcW w:type="dxa" w:w="1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BC9C45"/>
                <w:sz w:val="22"/>
                <w:szCs w:val="22"/>
              </w:rPr>
              <w:t xml:space="preserve">$700K – $1.1M</w:t>
            </w:r>
          </w:p>
        </w:tc>
        <w:tc>
          <w:tcPr>
            <w:tcW w:type="dxa" w:w="46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Every Tier 1 + Tier 2 tool active across all 36 categories. Court-sourced alt-data, sanctions screening, full international coverage, asset-class deep stacks. Ceiling for a single-platform stack.</w:t>
            </w:r>
          </w:p>
        </w:tc>
      </w:tr>
    </w:tbl>
    <w:p>
      <w:pPr>
        <w:spacing w:after="0" w:before="240"/>
        <w:jc w:val="left"/>
      </w:pPr>
      <w:r>
        <w:rPr>
          <w:rFonts w:ascii="Arial" w:cs="Arial" w:eastAsia="Arial" w:hAnsi="Arial"/>
          <w:b w:val="false"/>
          <w:bCs w:val="false"/>
          <w:i/>
          <w:iCs/>
          <w:color w:val="6B6B6B"/>
          <w:sz w:val="20"/>
          <w:szCs w:val="20"/>
        </w:rPr>
        <w:t xml:space="preserve">Note: The 'Encyclopedia Maximum' figure assumes Tier 2 pricing for tools with custom enterprise quotes. Real-world stack cost depends heavily on negotiation leverage and which asset-class specialty tools the Terminal genuinely needs. Most institutional CRE platforms operate at Stage 2 or Stage 3 — the Encyclopedia Maximum is documented as the ceiling, not the recommendation.</w:t>
      </w:r>
    </w:p>
    <w:p>
      <w:r>
        <w:br w:type="page"/>
      </w:r>
    </w:p>
    <w:p>
      <w:pPr>
        <w:pBdr>
          <w:bottom w:val="single" w:color="BC9C45" w:sz="12" w:space="4"/>
        </w:pBdr>
        <w:spacing w:after="60" w:before="0"/>
        <w:jc w:val="left"/>
      </w:pPr>
      <w:r>
        <w:rPr>
          <w:rFonts w:ascii="Arial" w:cs="Arial" w:eastAsia="Arial" w:hAnsi="Arial"/>
          <w:b/>
          <w:bCs/>
          <w:i w:val="false"/>
          <w:iCs w:val="false"/>
          <w:color w:val="0E3470"/>
          <w:sz w:val="32"/>
          <w:szCs w:val="32"/>
        </w:rPr>
        <w:t xml:space="preserve">TABLE OF CONTENTS</w:t>
      </w:r>
    </w:p>
    <w:p>
      <w:pPr>
        <w:spacing w:after="360" w:before="60"/>
        <w:jc w:val="left"/>
      </w:pPr>
      <w:r>
        <w:rPr>
          <w:rFonts w:ascii="Arial" w:cs="Arial" w:eastAsia="Arial" w:hAnsi="Arial"/>
          <w:b w:val="false"/>
          <w:bCs w:val="false"/>
          <w:i/>
          <w:iCs/>
          <w:color w:val="6B6B6B"/>
          <w:sz w:val="22"/>
          <w:szCs w:val="22"/>
        </w:rPr>
        <w:t xml:space="preserve">36 Intelligence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200"/>
        <w:gridCol w:w="1440"/>
      </w:tblGrid>
      <w:tr>
        <w:tc>
          <w:tcPr>
            <w:tcW w:type="dxa" w:w="72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A</w:t>
            </w:r>
          </w:p>
        </w:tc>
        <w:tc>
          <w:tcPr>
            <w:tcW w:type="dxa" w:w="72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20"/>
                <w:szCs w:val="20"/>
              </w:rPr>
              <w:t xml:space="preserve">Property &amp; Ownership Intelligence</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right"/>
            </w:pPr>
            <w:r>
              <w:rPr>
                <w:rFonts w:ascii="Arial" w:cs="Arial" w:eastAsia="Arial" w:hAnsi="Arial"/>
                <w:b w:val="false"/>
                <w:bCs w:val="false"/>
                <w:i w:val="false"/>
                <w:iCs w:val="false"/>
                <w:color w:val="6B6B6B"/>
                <w:sz w:val="20"/>
                <w:szCs w:val="20"/>
              </w:rPr>
              <w:t xml:space="preserve">28 tools</w:t>
            </w:r>
          </w:p>
        </w:tc>
      </w:tr>
      <w:tr>
        <w:tc>
          <w:tcPr>
            <w:tcW w:type="dxa" w:w="72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B</w:t>
            </w:r>
          </w:p>
        </w:tc>
        <w:tc>
          <w:tcPr>
            <w:tcW w:type="dxa" w:w="72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20"/>
                <w:szCs w:val="20"/>
              </w:rPr>
              <w:t xml:space="preserve">CMBS, Debt &amp; Loan Maturity Intelligence</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right"/>
            </w:pPr>
            <w:r>
              <w:rPr>
                <w:rFonts w:ascii="Arial" w:cs="Arial" w:eastAsia="Arial" w:hAnsi="Arial"/>
                <w:b w:val="false"/>
                <w:bCs w:val="false"/>
                <w:i w:val="false"/>
                <w:iCs w:val="false"/>
                <w:color w:val="6B6B6B"/>
                <w:sz w:val="20"/>
                <w:szCs w:val="20"/>
              </w:rPr>
              <w:t xml:space="preserve">16 tools</w:t>
            </w:r>
          </w:p>
        </w:tc>
      </w:tr>
      <w:tr>
        <w:tc>
          <w:tcPr>
            <w:tcW w:type="dxa" w:w="72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C</w:t>
            </w:r>
          </w:p>
        </w:tc>
        <w:tc>
          <w:tcPr>
            <w:tcW w:type="dxa" w:w="72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20"/>
                <w:szCs w:val="20"/>
              </w:rPr>
              <w:t xml:space="preserve">Bank Health &amp; NPL Intelligence</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right"/>
            </w:pPr>
            <w:r>
              <w:rPr>
                <w:rFonts w:ascii="Arial" w:cs="Arial" w:eastAsia="Arial" w:hAnsi="Arial"/>
                <w:b w:val="false"/>
                <w:bCs w:val="false"/>
                <w:i w:val="false"/>
                <w:iCs w:val="false"/>
                <w:color w:val="6B6B6B"/>
                <w:sz w:val="20"/>
                <w:szCs w:val="20"/>
              </w:rPr>
              <w:t xml:space="preserve">14 tools</w:t>
            </w:r>
          </w:p>
        </w:tc>
      </w:tr>
      <w:tr>
        <w:tc>
          <w:tcPr>
            <w:tcW w:type="dxa" w:w="72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D</w:t>
            </w:r>
          </w:p>
        </w:tc>
        <w:tc>
          <w:tcPr>
            <w:tcW w:type="dxa" w:w="72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20"/>
                <w:szCs w:val="20"/>
              </w:rPr>
              <w:t xml:space="preserve">Tenant Credit &amp; Bankruptcy Risk</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right"/>
            </w:pPr>
            <w:r>
              <w:rPr>
                <w:rFonts w:ascii="Arial" w:cs="Arial" w:eastAsia="Arial" w:hAnsi="Arial"/>
                <w:b w:val="false"/>
                <w:bCs w:val="false"/>
                <w:i w:val="false"/>
                <w:iCs w:val="false"/>
                <w:color w:val="6B6B6B"/>
                <w:sz w:val="20"/>
                <w:szCs w:val="20"/>
              </w:rPr>
              <w:t xml:space="preserve">18 tools</w:t>
            </w:r>
          </w:p>
        </w:tc>
      </w:tr>
      <w:tr>
        <w:tc>
          <w:tcPr>
            <w:tcW w:type="dxa" w:w="72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E</w:t>
            </w:r>
          </w:p>
        </w:tc>
        <w:tc>
          <w:tcPr>
            <w:tcW w:type="dxa" w:w="72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20"/>
                <w:szCs w:val="20"/>
              </w:rPr>
              <w:t xml:space="preserve">Bankruptcy &amp; Court Filing Monitoring</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right"/>
            </w:pPr>
            <w:r>
              <w:rPr>
                <w:rFonts w:ascii="Arial" w:cs="Arial" w:eastAsia="Arial" w:hAnsi="Arial"/>
                <w:b w:val="false"/>
                <w:bCs w:val="false"/>
                <w:i w:val="false"/>
                <w:iCs w:val="false"/>
                <w:color w:val="6B6B6B"/>
                <w:sz w:val="20"/>
                <w:szCs w:val="20"/>
              </w:rPr>
              <w:t xml:space="preserve">20 tools</w:t>
            </w:r>
          </w:p>
        </w:tc>
      </w:tr>
      <w:tr>
        <w:tc>
          <w:tcPr>
            <w:tcW w:type="dxa" w:w="72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F</w:t>
            </w:r>
          </w:p>
        </w:tc>
        <w:tc>
          <w:tcPr>
            <w:tcW w:type="dxa" w:w="72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20"/>
                <w:szCs w:val="20"/>
              </w:rPr>
              <w:t xml:space="preserve">Probate, Decedent &amp; Estate Intelligence</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right"/>
            </w:pPr>
            <w:r>
              <w:rPr>
                <w:rFonts w:ascii="Arial" w:cs="Arial" w:eastAsia="Arial" w:hAnsi="Arial"/>
                <w:b w:val="false"/>
                <w:bCs w:val="false"/>
                <w:i w:val="false"/>
                <w:iCs w:val="false"/>
                <w:color w:val="6B6B6B"/>
                <w:sz w:val="20"/>
                <w:szCs w:val="20"/>
              </w:rPr>
              <w:t xml:space="preserve">11 tools</w:t>
            </w:r>
          </w:p>
        </w:tc>
      </w:tr>
      <w:tr>
        <w:tc>
          <w:tcPr>
            <w:tcW w:type="dxa" w:w="72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G</w:t>
            </w:r>
          </w:p>
        </w:tc>
        <w:tc>
          <w:tcPr>
            <w:tcW w:type="dxa" w:w="72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20"/>
                <w:szCs w:val="20"/>
              </w:rPr>
              <w:t xml:space="preserve">Divorce &amp; Family Court Intelligence</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right"/>
            </w:pPr>
            <w:r>
              <w:rPr>
                <w:rFonts w:ascii="Arial" w:cs="Arial" w:eastAsia="Arial" w:hAnsi="Arial"/>
                <w:b w:val="false"/>
                <w:bCs w:val="false"/>
                <w:i w:val="false"/>
                <w:iCs w:val="false"/>
                <w:color w:val="6B6B6B"/>
                <w:sz w:val="20"/>
                <w:szCs w:val="20"/>
              </w:rPr>
              <w:t xml:space="preserve">6 tools</w:t>
            </w:r>
          </w:p>
        </w:tc>
      </w:tr>
      <w:tr>
        <w:tc>
          <w:tcPr>
            <w:tcW w:type="dxa" w:w="72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H</w:t>
            </w:r>
          </w:p>
        </w:tc>
        <w:tc>
          <w:tcPr>
            <w:tcW w:type="dxa" w:w="72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20"/>
                <w:szCs w:val="20"/>
              </w:rPr>
              <w:t xml:space="preserve">Distress, Auction &amp; Foreclosure Platforms</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right"/>
            </w:pPr>
            <w:r>
              <w:rPr>
                <w:rFonts w:ascii="Arial" w:cs="Arial" w:eastAsia="Arial" w:hAnsi="Arial"/>
                <w:b w:val="false"/>
                <w:bCs w:val="false"/>
                <w:i w:val="false"/>
                <w:iCs w:val="false"/>
                <w:color w:val="6B6B6B"/>
                <w:sz w:val="20"/>
                <w:szCs w:val="20"/>
              </w:rPr>
              <w:t xml:space="preserve">18 tools</w:t>
            </w:r>
          </w:p>
        </w:tc>
      </w:tr>
      <w:tr>
        <w:tc>
          <w:tcPr>
            <w:tcW w:type="dxa" w:w="72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I</w:t>
            </w:r>
          </w:p>
        </w:tc>
        <w:tc>
          <w:tcPr>
            <w:tcW w:type="dxa" w:w="72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20"/>
                <w:szCs w:val="20"/>
              </w:rPr>
              <w:t xml:space="preserve">Tax Lien, Tax Deed &amp; Sheriff Sale Platforms</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right"/>
            </w:pPr>
            <w:r>
              <w:rPr>
                <w:rFonts w:ascii="Arial" w:cs="Arial" w:eastAsia="Arial" w:hAnsi="Arial"/>
                <w:b w:val="false"/>
                <w:bCs w:val="false"/>
                <w:i w:val="false"/>
                <w:iCs w:val="false"/>
                <w:color w:val="6B6B6B"/>
                <w:sz w:val="20"/>
                <w:szCs w:val="20"/>
              </w:rPr>
              <w:t xml:space="preserve">16 tools</w:t>
            </w:r>
          </w:p>
        </w:tc>
      </w:tr>
      <w:tr>
        <w:tc>
          <w:tcPr>
            <w:tcW w:type="dxa" w:w="72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J</w:t>
            </w:r>
          </w:p>
        </w:tc>
        <w:tc>
          <w:tcPr>
            <w:tcW w:type="dxa" w:w="72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20"/>
                <w:szCs w:val="20"/>
              </w:rPr>
              <w:t xml:space="preserve">Government &amp; Surplus Real Estate Channels</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right"/>
            </w:pPr>
            <w:r>
              <w:rPr>
                <w:rFonts w:ascii="Arial" w:cs="Arial" w:eastAsia="Arial" w:hAnsi="Arial"/>
                <w:b w:val="false"/>
                <w:bCs w:val="false"/>
                <w:i w:val="false"/>
                <w:iCs w:val="false"/>
                <w:color w:val="6B6B6B"/>
                <w:sz w:val="20"/>
                <w:szCs w:val="20"/>
              </w:rPr>
              <w:t xml:space="preserve">14 tools</w:t>
            </w:r>
          </w:p>
        </w:tc>
      </w:tr>
      <w:tr>
        <w:tc>
          <w:tcPr>
            <w:tcW w:type="dxa" w:w="72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K</w:t>
            </w:r>
          </w:p>
        </w:tc>
        <w:tc>
          <w:tcPr>
            <w:tcW w:type="dxa" w:w="72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20"/>
                <w:szCs w:val="20"/>
              </w:rPr>
              <w:t xml:space="preserve">Foot Traffic, Mobility &amp; Demographic Intelligence</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right"/>
            </w:pPr>
            <w:r>
              <w:rPr>
                <w:rFonts w:ascii="Arial" w:cs="Arial" w:eastAsia="Arial" w:hAnsi="Arial"/>
                <w:b w:val="false"/>
                <w:bCs w:val="false"/>
                <w:i w:val="false"/>
                <w:iCs w:val="false"/>
                <w:color w:val="6B6B6B"/>
                <w:sz w:val="20"/>
                <w:szCs w:val="20"/>
              </w:rPr>
              <w:t xml:space="preserve">20 tools</w:t>
            </w:r>
          </w:p>
        </w:tc>
      </w:tr>
      <w:tr>
        <w:tc>
          <w:tcPr>
            <w:tcW w:type="dxa" w:w="72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L</w:t>
            </w:r>
          </w:p>
        </w:tc>
        <w:tc>
          <w:tcPr>
            <w:tcW w:type="dxa" w:w="72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20"/>
                <w:szCs w:val="20"/>
              </w:rPr>
              <w:t xml:space="preserve">Lease Comps &amp; Occupancy Data</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right"/>
            </w:pPr>
            <w:r>
              <w:rPr>
                <w:rFonts w:ascii="Arial" w:cs="Arial" w:eastAsia="Arial" w:hAnsi="Arial"/>
                <w:b w:val="false"/>
                <w:bCs w:val="false"/>
                <w:i w:val="false"/>
                <w:iCs w:val="false"/>
                <w:color w:val="6B6B6B"/>
                <w:sz w:val="20"/>
                <w:szCs w:val="20"/>
              </w:rPr>
              <w:t xml:space="preserve">12 tools</w:t>
            </w:r>
          </w:p>
        </w:tc>
      </w:tr>
      <w:tr>
        <w:tc>
          <w:tcPr>
            <w:tcW w:type="dxa" w:w="72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M</w:t>
            </w:r>
          </w:p>
        </w:tc>
        <w:tc>
          <w:tcPr>
            <w:tcW w:type="dxa" w:w="72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20"/>
                <w:szCs w:val="20"/>
              </w:rPr>
              <w:t xml:space="preserve">Market Forecasts &amp; Macro Economic Intelligence</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right"/>
            </w:pPr>
            <w:r>
              <w:rPr>
                <w:rFonts w:ascii="Arial" w:cs="Arial" w:eastAsia="Arial" w:hAnsi="Arial"/>
                <w:b w:val="false"/>
                <w:bCs w:val="false"/>
                <w:i w:val="false"/>
                <w:iCs w:val="false"/>
                <w:color w:val="6B6B6B"/>
                <w:sz w:val="20"/>
                <w:szCs w:val="20"/>
              </w:rPr>
              <w:t xml:space="preserve">15 tools</w:t>
            </w:r>
          </w:p>
        </w:tc>
      </w:tr>
      <w:tr>
        <w:tc>
          <w:tcPr>
            <w:tcW w:type="dxa" w:w="72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N</w:t>
            </w:r>
          </w:p>
        </w:tc>
        <w:tc>
          <w:tcPr>
            <w:tcW w:type="dxa" w:w="72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20"/>
                <w:szCs w:val="20"/>
              </w:rPr>
              <w:t xml:space="preserve">Cap Rate &amp; Investment-Sales Comps</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right"/>
            </w:pPr>
            <w:r>
              <w:rPr>
                <w:rFonts w:ascii="Arial" w:cs="Arial" w:eastAsia="Arial" w:hAnsi="Arial"/>
                <w:b w:val="false"/>
                <w:bCs w:val="false"/>
                <w:i w:val="false"/>
                <w:iCs w:val="false"/>
                <w:color w:val="6B6B6B"/>
                <w:sz w:val="20"/>
                <w:szCs w:val="20"/>
              </w:rPr>
              <w:t xml:space="preserve">11 tools</w:t>
            </w:r>
          </w:p>
        </w:tc>
      </w:tr>
      <w:tr>
        <w:tc>
          <w:tcPr>
            <w:tcW w:type="dxa" w:w="72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O</w:t>
            </w:r>
          </w:p>
        </w:tc>
        <w:tc>
          <w:tcPr>
            <w:tcW w:type="dxa" w:w="72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20"/>
                <w:szCs w:val="20"/>
              </w:rPr>
              <w:t xml:space="preserve">CRE-Specific AI / Document Intelligence / Lease Abstraction</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right"/>
            </w:pPr>
            <w:r>
              <w:rPr>
                <w:rFonts w:ascii="Arial" w:cs="Arial" w:eastAsia="Arial" w:hAnsi="Arial"/>
                <w:b w:val="false"/>
                <w:bCs w:val="false"/>
                <w:i w:val="false"/>
                <w:iCs w:val="false"/>
                <w:color w:val="6B6B6B"/>
                <w:sz w:val="20"/>
                <w:szCs w:val="20"/>
              </w:rPr>
              <w:t xml:space="preserve">19 tools</w:t>
            </w:r>
          </w:p>
        </w:tc>
      </w:tr>
      <w:tr>
        <w:tc>
          <w:tcPr>
            <w:tcW w:type="dxa" w:w="72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P</w:t>
            </w:r>
          </w:p>
        </w:tc>
        <w:tc>
          <w:tcPr>
            <w:tcW w:type="dxa" w:w="72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20"/>
                <w:szCs w:val="20"/>
              </w:rPr>
              <w:t xml:space="preserve">Underwriting, Deal Management &amp; Financial Modeling</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right"/>
            </w:pPr>
            <w:r>
              <w:rPr>
                <w:rFonts w:ascii="Arial" w:cs="Arial" w:eastAsia="Arial" w:hAnsi="Arial"/>
                <w:b w:val="false"/>
                <w:bCs w:val="false"/>
                <w:i w:val="false"/>
                <w:iCs w:val="false"/>
                <w:color w:val="6B6B6B"/>
                <w:sz w:val="20"/>
                <w:szCs w:val="20"/>
              </w:rPr>
              <w:t xml:space="preserve">14 tools</w:t>
            </w:r>
          </w:p>
        </w:tc>
      </w:tr>
      <w:tr>
        <w:tc>
          <w:tcPr>
            <w:tcW w:type="dxa" w:w="72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Q</w:t>
            </w:r>
          </w:p>
        </w:tc>
        <w:tc>
          <w:tcPr>
            <w:tcW w:type="dxa" w:w="72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20"/>
                <w:szCs w:val="20"/>
              </w:rPr>
              <w:t xml:space="preserve">Property Management Platforms (Operator Intelligence)</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right"/>
            </w:pPr>
            <w:r>
              <w:rPr>
                <w:rFonts w:ascii="Arial" w:cs="Arial" w:eastAsia="Arial" w:hAnsi="Arial"/>
                <w:b w:val="false"/>
                <w:bCs w:val="false"/>
                <w:i w:val="false"/>
                <w:iCs w:val="false"/>
                <w:color w:val="6B6B6B"/>
                <w:sz w:val="20"/>
                <w:szCs w:val="20"/>
              </w:rPr>
              <w:t xml:space="preserve">7 tools</w:t>
            </w:r>
          </w:p>
        </w:tc>
      </w:tr>
      <w:tr>
        <w:tc>
          <w:tcPr>
            <w:tcW w:type="dxa" w:w="72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R</w:t>
            </w:r>
          </w:p>
        </w:tc>
        <w:tc>
          <w:tcPr>
            <w:tcW w:type="dxa" w:w="72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20"/>
                <w:szCs w:val="20"/>
              </w:rPr>
              <w:t xml:space="preserve">Investor Reporting / Fund Administration (Competitive Intel)</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right"/>
            </w:pPr>
            <w:r>
              <w:rPr>
                <w:rFonts w:ascii="Arial" w:cs="Arial" w:eastAsia="Arial" w:hAnsi="Arial"/>
                <w:b w:val="false"/>
                <w:bCs w:val="false"/>
                <w:i w:val="false"/>
                <w:iCs w:val="false"/>
                <w:color w:val="6B6B6B"/>
                <w:sz w:val="20"/>
                <w:szCs w:val="20"/>
              </w:rPr>
              <w:t xml:space="preserve">11 tools</w:t>
            </w:r>
          </w:p>
        </w:tc>
      </w:tr>
      <w:tr>
        <w:tc>
          <w:tcPr>
            <w:tcW w:type="dxa" w:w="72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S</w:t>
            </w:r>
          </w:p>
        </w:tc>
        <w:tc>
          <w:tcPr>
            <w:tcW w:type="dxa" w:w="72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20"/>
                <w:szCs w:val="20"/>
              </w:rPr>
              <w:t xml:space="preserve">Climate &amp; Physical Risk Intelligence</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right"/>
            </w:pPr>
            <w:r>
              <w:rPr>
                <w:rFonts w:ascii="Arial" w:cs="Arial" w:eastAsia="Arial" w:hAnsi="Arial"/>
                <w:b w:val="false"/>
                <w:bCs w:val="false"/>
                <w:i w:val="false"/>
                <w:iCs w:val="false"/>
                <w:color w:val="6B6B6B"/>
                <w:sz w:val="20"/>
                <w:szCs w:val="20"/>
              </w:rPr>
              <w:t xml:space="preserve">15 tools</w:t>
            </w:r>
          </w:p>
        </w:tc>
      </w:tr>
      <w:tr>
        <w:tc>
          <w:tcPr>
            <w:tcW w:type="dxa" w:w="72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T</w:t>
            </w:r>
          </w:p>
        </w:tc>
        <w:tc>
          <w:tcPr>
            <w:tcW w:type="dxa" w:w="72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20"/>
                <w:szCs w:val="20"/>
              </w:rPr>
              <w:t xml:space="preserve">Environmental Due Diligence Data</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right"/>
            </w:pPr>
            <w:r>
              <w:rPr>
                <w:rFonts w:ascii="Arial" w:cs="Arial" w:eastAsia="Arial" w:hAnsi="Arial"/>
                <w:b w:val="false"/>
                <w:bCs w:val="false"/>
                <w:i w:val="false"/>
                <w:iCs w:val="false"/>
                <w:color w:val="6B6B6B"/>
                <w:sz w:val="20"/>
                <w:szCs w:val="20"/>
              </w:rPr>
              <w:t xml:space="preserve">12 tools</w:t>
            </w:r>
          </w:p>
        </w:tc>
      </w:tr>
      <w:tr>
        <w:tc>
          <w:tcPr>
            <w:tcW w:type="dxa" w:w="72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U</w:t>
            </w:r>
          </w:p>
        </w:tc>
        <w:tc>
          <w:tcPr>
            <w:tcW w:type="dxa" w:w="72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20"/>
                <w:szCs w:val="20"/>
              </w:rPr>
              <w:t xml:space="preserve">Insurance, Loss History &amp; Replacement Cost</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right"/>
            </w:pPr>
            <w:r>
              <w:rPr>
                <w:rFonts w:ascii="Arial" w:cs="Arial" w:eastAsia="Arial" w:hAnsi="Arial"/>
                <w:b w:val="false"/>
                <w:bCs w:val="false"/>
                <w:i w:val="false"/>
                <w:iCs w:val="false"/>
                <w:color w:val="6B6B6B"/>
                <w:sz w:val="20"/>
                <w:szCs w:val="20"/>
              </w:rPr>
              <w:t xml:space="preserve">6 tools</w:t>
            </w:r>
          </w:p>
        </w:tc>
      </w:tr>
      <w:tr>
        <w:tc>
          <w:tcPr>
            <w:tcW w:type="dxa" w:w="72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V</w:t>
            </w:r>
          </w:p>
        </w:tc>
        <w:tc>
          <w:tcPr>
            <w:tcW w:type="dxa" w:w="72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20"/>
                <w:szCs w:val="20"/>
              </w:rPr>
              <w:t xml:space="preserve">Skip Tracing &amp; Owner Contact Intelligence</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right"/>
            </w:pPr>
            <w:r>
              <w:rPr>
                <w:rFonts w:ascii="Arial" w:cs="Arial" w:eastAsia="Arial" w:hAnsi="Arial"/>
                <w:b w:val="false"/>
                <w:bCs w:val="false"/>
                <w:i w:val="false"/>
                <w:iCs w:val="false"/>
                <w:color w:val="6B6B6B"/>
                <w:sz w:val="20"/>
                <w:szCs w:val="20"/>
              </w:rPr>
              <w:t xml:space="preserve">17 tools</w:t>
            </w:r>
          </w:p>
        </w:tc>
      </w:tr>
      <w:tr>
        <w:tc>
          <w:tcPr>
            <w:tcW w:type="dxa" w:w="72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W</w:t>
            </w:r>
          </w:p>
        </w:tc>
        <w:tc>
          <w:tcPr>
            <w:tcW w:type="dxa" w:w="72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20"/>
                <w:szCs w:val="20"/>
              </w:rPr>
              <w:t xml:space="preserve">Title, Liens &amp; Recorded Instruments</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right"/>
            </w:pPr>
            <w:r>
              <w:rPr>
                <w:rFonts w:ascii="Arial" w:cs="Arial" w:eastAsia="Arial" w:hAnsi="Arial"/>
                <w:b w:val="false"/>
                <w:bCs w:val="false"/>
                <w:i w:val="false"/>
                <w:iCs w:val="false"/>
                <w:color w:val="6B6B6B"/>
                <w:sz w:val="20"/>
                <w:szCs w:val="20"/>
              </w:rPr>
              <w:t xml:space="preserve">10 tools</w:t>
            </w:r>
          </w:p>
        </w:tc>
      </w:tr>
      <w:tr>
        <w:tc>
          <w:tcPr>
            <w:tcW w:type="dxa" w:w="72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X</w:t>
            </w:r>
          </w:p>
        </w:tc>
        <w:tc>
          <w:tcPr>
            <w:tcW w:type="dxa" w:w="72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20"/>
                <w:szCs w:val="20"/>
              </w:rPr>
              <w:t xml:space="preserve">Permits, Construction &amp; Development Intelligence</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right"/>
            </w:pPr>
            <w:r>
              <w:rPr>
                <w:rFonts w:ascii="Arial" w:cs="Arial" w:eastAsia="Arial" w:hAnsi="Arial"/>
                <w:b w:val="false"/>
                <w:bCs w:val="false"/>
                <w:i w:val="false"/>
                <w:iCs w:val="false"/>
                <w:color w:val="6B6B6B"/>
                <w:sz w:val="20"/>
                <w:szCs w:val="20"/>
              </w:rPr>
              <w:t xml:space="preserve">8 tools</w:t>
            </w:r>
          </w:p>
        </w:tc>
      </w:tr>
      <w:tr>
        <w:tc>
          <w:tcPr>
            <w:tcW w:type="dxa" w:w="72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Y</w:t>
            </w:r>
          </w:p>
        </w:tc>
        <w:tc>
          <w:tcPr>
            <w:tcW w:type="dxa" w:w="72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20"/>
                <w:szCs w:val="20"/>
              </w:rPr>
              <w:t xml:space="preserve">Crime, Safety &amp; Neighborhood Quality</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right"/>
            </w:pPr>
            <w:r>
              <w:rPr>
                <w:rFonts w:ascii="Arial" w:cs="Arial" w:eastAsia="Arial" w:hAnsi="Arial"/>
                <w:b w:val="false"/>
                <w:bCs w:val="false"/>
                <w:i w:val="false"/>
                <w:iCs w:val="false"/>
                <w:color w:val="6B6B6B"/>
                <w:sz w:val="20"/>
                <w:szCs w:val="20"/>
              </w:rPr>
              <w:t xml:space="preserve">6 tools</w:t>
            </w:r>
          </w:p>
        </w:tc>
      </w:tr>
      <w:tr>
        <w:tc>
          <w:tcPr>
            <w:tcW w:type="dxa" w:w="72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Z1</w:t>
            </w:r>
          </w:p>
        </w:tc>
        <w:tc>
          <w:tcPr>
            <w:tcW w:type="dxa" w:w="72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20"/>
                <w:szCs w:val="20"/>
              </w:rPr>
              <w:t xml:space="preserve">Specialty: Hospitality</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right"/>
            </w:pPr>
            <w:r>
              <w:rPr>
                <w:rFonts w:ascii="Arial" w:cs="Arial" w:eastAsia="Arial" w:hAnsi="Arial"/>
                <w:b w:val="false"/>
                <w:bCs w:val="false"/>
                <w:i w:val="false"/>
                <w:iCs w:val="false"/>
                <w:color w:val="6B6B6B"/>
                <w:sz w:val="20"/>
                <w:szCs w:val="20"/>
              </w:rPr>
              <w:t xml:space="preserve">9 tools</w:t>
            </w:r>
          </w:p>
        </w:tc>
      </w:tr>
      <w:tr>
        <w:tc>
          <w:tcPr>
            <w:tcW w:type="dxa" w:w="72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Z2</w:t>
            </w:r>
          </w:p>
        </w:tc>
        <w:tc>
          <w:tcPr>
            <w:tcW w:type="dxa" w:w="72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20"/>
                <w:szCs w:val="20"/>
              </w:rPr>
              <w:t xml:space="preserve">Specialty: Self-Storage</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right"/>
            </w:pPr>
            <w:r>
              <w:rPr>
                <w:rFonts w:ascii="Arial" w:cs="Arial" w:eastAsia="Arial" w:hAnsi="Arial"/>
                <w:b w:val="false"/>
                <w:bCs w:val="false"/>
                <w:i w:val="false"/>
                <w:iCs w:val="false"/>
                <w:color w:val="6B6B6B"/>
                <w:sz w:val="20"/>
                <w:szCs w:val="20"/>
              </w:rPr>
              <w:t xml:space="preserve">5 tools</w:t>
            </w:r>
          </w:p>
        </w:tc>
      </w:tr>
      <w:tr>
        <w:tc>
          <w:tcPr>
            <w:tcW w:type="dxa" w:w="72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Z3</w:t>
            </w:r>
          </w:p>
        </w:tc>
        <w:tc>
          <w:tcPr>
            <w:tcW w:type="dxa" w:w="72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20"/>
                <w:szCs w:val="20"/>
              </w:rPr>
              <w:t xml:space="preserve">Specialty: Senior Housing &amp; Healthcare</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right"/>
            </w:pPr>
            <w:r>
              <w:rPr>
                <w:rFonts w:ascii="Arial" w:cs="Arial" w:eastAsia="Arial" w:hAnsi="Arial"/>
                <w:b w:val="false"/>
                <w:bCs w:val="false"/>
                <w:i w:val="false"/>
                <w:iCs w:val="false"/>
                <w:color w:val="6B6B6B"/>
                <w:sz w:val="20"/>
                <w:szCs w:val="20"/>
              </w:rPr>
              <w:t xml:space="preserve">6 tools</w:t>
            </w:r>
          </w:p>
        </w:tc>
      </w:tr>
      <w:tr>
        <w:tc>
          <w:tcPr>
            <w:tcW w:type="dxa" w:w="72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Z4</w:t>
            </w:r>
          </w:p>
        </w:tc>
        <w:tc>
          <w:tcPr>
            <w:tcW w:type="dxa" w:w="72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20"/>
                <w:szCs w:val="20"/>
              </w:rPr>
              <w:t xml:space="preserve">Specialty: Industrial</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right"/>
            </w:pPr>
            <w:r>
              <w:rPr>
                <w:rFonts w:ascii="Arial" w:cs="Arial" w:eastAsia="Arial" w:hAnsi="Arial"/>
                <w:b w:val="false"/>
                <w:bCs w:val="false"/>
                <w:i w:val="false"/>
                <w:iCs w:val="false"/>
                <w:color w:val="6B6B6B"/>
                <w:sz w:val="20"/>
                <w:szCs w:val="20"/>
              </w:rPr>
              <w:t xml:space="preserve">8 tools</w:t>
            </w:r>
          </w:p>
        </w:tc>
      </w:tr>
      <w:tr>
        <w:tc>
          <w:tcPr>
            <w:tcW w:type="dxa" w:w="72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Z5</w:t>
            </w:r>
          </w:p>
        </w:tc>
        <w:tc>
          <w:tcPr>
            <w:tcW w:type="dxa" w:w="72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20"/>
                <w:szCs w:val="20"/>
              </w:rPr>
              <w:t xml:space="preserve">Specialty: Multifamily</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right"/>
            </w:pPr>
            <w:r>
              <w:rPr>
                <w:rFonts w:ascii="Arial" w:cs="Arial" w:eastAsia="Arial" w:hAnsi="Arial"/>
                <w:b w:val="false"/>
                <w:bCs w:val="false"/>
                <w:i w:val="false"/>
                <w:iCs w:val="false"/>
                <w:color w:val="6B6B6B"/>
                <w:sz w:val="20"/>
                <w:szCs w:val="20"/>
              </w:rPr>
              <w:t xml:space="preserve">10 tools</w:t>
            </w:r>
          </w:p>
        </w:tc>
      </w:tr>
      <w:tr>
        <w:tc>
          <w:tcPr>
            <w:tcW w:type="dxa" w:w="72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Z6</w:t>
            </w:r>
          </w:p>
        </w:tc>
        <w:tc>
          <w:tcPr>
            <w:tcW w:type="dxa" w:w="72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20"/>
                <w:szCs w:val="20"/>
              </w:rPr>
              <w:t xml:space="preserve">Specialty: Retail</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right"/>
            </w:pPr>
            <w:r>
              <w:rPr>
                <w:rFonts w:ascii="Arial" w:cs="Arial" w:eastAsia="Arial" w:hAnsi="Arial"/>
                <w:b w:val="false"/>
                <w:bCs w:val="false"/>
                <w:i w:val="false"/>
                <w:iCs w:val="false"/>
                <w:color w:val="6B6B6B"/>
                <w:sz w:val="20"/>
                <w:szCs w:val="20"/>
              </w:rPr>
              <w:t xml:space="preserve">10 tools</w:t>
            </w:r>
          </w:p>
        </w:tc>
      </w:tr>
      <w:tr>
        <w:tc>
          <w:tcPr>
            <w:tcW w:type="dxa" w:w="72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Z7</w:t>
            </w:r>
          </w:p>
        </w:tc>
        <w:tc>
          <w:tcPr>
            <w:tcW w:type="dxa" w:w="72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20"/>
                <w:szCs w:val="20"/>
              </w:rPr>
              <w:t xml:space="preserve">Specialty: Office &amp; Workplace</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right"/>
            </w:pPr>
            <w:r>
              <w:rPr>
                <w:rFonts w:ascii="Arial" w:cs="Arial" w:eastAsia="Arial" w:hAnsi="Arial"/>
                <w:b w:val="false"/>
                <w:bCs w:val="false"/>
                <w:i w:val="false"/>
                <w:iCs w:val="false"/>
                <w:color w:val="6B6B6B"/>
                <w:sz w:val="20"/>
                <w:szCs w:val="20"/>
              </w:rPr>
              <w:t xml:space="preserve">8 tools</w:t>
            </w:r>
          </w:p>
        </w:tc>
      </w:tr>
      <w:tr>
        <w:tc>
          <w:tcPr>
            <w:tcW w:type="dxa" w:w="72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Z8</w:t>
            </w:r>
          </w:p>
        </w:tc>
        <w:tc>
          <w:tcPr>
            <w:tcW w:type="dxa" w:w="72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20"/>
                <w:szCs w:val="20"/>
              </w:rPr>
              <w:t xml:space="preserve">Specialty: Land &amp; Development</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right"/>
            </w:pPr>
            <w:r>
              <w:rPr>
                <w:rFonts w:ascii="Arial" w:cs="Arial" w:eastAsia="Arial" w:hAnsi="Arial"/>
                <w:b w:val="false"/>
                <w:bCs w:val="false"/>
                <w:i w:val="false"/>
                <w:iCs w:val="false"/>
                <w:color w:val="6B6B6B"/>
                <w:sz w:val="20"/>
                <w:szCs w:val="20"/>
              </w:rPr>
              <w:t xml:space="preserve">7 tools</w:t>
            </w:r>
          </w:p>
        </w:tc>
      </w:tr>
      <w:tr>
        <w:tc>
          <w:tcPr>
            <w:tcW w:type="dxa" w:w="72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AA</w:t>
            </w:r>
          </w:p>
        </w:tc>
        <w:tc>
          <w:tcPr>
            <w:tcW w:type="dxa" w:w="72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20"/>
                <w:szCs w:val="20"/>
              </w:rPr>
              <w:t xml:space="preserve">Private Note &amp; Debt Marketplaces</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right"/>
            </w:pPr>
            <w:r>
              <w:rPr>
                <w:rFonts w:ascii="Arial" w:cs="Arial" w:eastAsia="Arial" w:hAnsi="Arial"/>
                <w:b w:val="false"/>
                <w:bCs w:val="false"/>
                <w:i w:val="false"/>
                <w:iCs w:val="false"/>
                <w:color w:val="6B6B6B"/>
                <w:sz w:val="20"/>
                <w:szCs w:val="20"/>
              </w:rPr>
              <w:t xml:space="preserve">9 tools</w:t>
            </w:r>
          </w:p>
        </w:tc>
      </w:tr>
      <w:tr>
        <w:tc>
          <w:tcPr>
            <w:tcW w:type="dxa" w:w="72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BB</w:t>
            </w:r>
          </w:p>
        </w:tc>
        <w:tc>
          <w:tcPr>
            <w:tcW w:type="dxa" w:w="72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20"/>
                <w:szCs w:val="20"/>
              </w:rPr>
              <w:t xml:space="preserve">Public Financial Data, SEC &amp; Capital Markets</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right"/>
            </w:pPr>
            <w:r>
              <w:rPr>
                <w:rFonts w:ascii="Arial" w:cs="Arial" w:eastAsia="Arial" w:hAnsi="Arial"/>
                <w:b w:val="false"/>
                <w:bCs w:val="false"/>
                <w:i w:val="false"/>
                <w:iCs w:val="false"/>
                <w:color w:val="6B6B6B"/>
                <w:sz w:val="20"/>
                <w:szCs w:val="20"/>
              </w:rPr>
              <w:t xml:space="preserve">11 tools</w:t>
            </w:r>
          </w:p>
        </w:tc>
      </w:tr>
      <w:tr>
        <w:tc>
          <w:tcPr>
            <w:tcW w:type="dxa" w:w="72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CC</w:t>
            </w:r>
          </w:p>
        </w:tc>
        <w:tc>
          <w:tcPr>
            <w:tcW w:type="dxa" w:w="72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20"/>
                <w:szCs w:val="20"/>
              </w:rPr>
              <w:t xml:space="preserve">Niche &amp; Court-Sourced Alt-Data Feeds</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right"/>
            </w:pPr>
            <w:r>
              <w:rPr>
                <w:rFonts w:ascii="Arial" w:cs="Arial" w:eastAsia="Arial" w:hAnsi="Arial"/>
                <w:b w:val="false"/>
                <w:bCs w:val="false"/>
                <w:i w:val="false"/>
                <w:iCs w:val="false"/>
                <w:color w:val="6B6B6B"/>
                <w:sz w:val="20"/>
                <w:szCs w:val="20"/>
              </w:rPr>
              <w:t xml:space="preserve">11 tools</w:t>
            </w:r>
          </w:p>
        </w:tc>
      </w:tr>
    </w:tbl>
    <w:p>
      <w:r>
        <w:br w:type="page"/>
      </w:r>
    </w:p>
    <w:p>
      <w:pPr>
        <w:pBdr>
          <w:bottom w:val="single" w:color="BC9C45" w:sz="12" w:space="4"/>
        </w:pBdr>
        <w:spacing w:after="60" w:before="0"/>
        <w:jc w:val="left"/>
      </w:pPr>
      <w:r>
        <w:rPr>
          <w:rFonts w:ascii="Arial" w:cs="Arial" w:eastAsia="Arial" w:hAnsi="Arial"/>
          <w:b/>
          <w:bCs/>
          <w:i w:val="false"/>
          <w:iCs w:val="false"/>
          <w:color w:val="BC9C45"/>
          <w:sz w:val="32"/>
          <w:szCs w:val="32"/>
        </w:rPr>
        <w:t xml:space="preserve">A.  </w:t>
      </w:r>
      <w:r>
        <w:rPr>
          <w:rFonts w:ascii="Arial" w:cs="Arial" w:eastAsia="Arial" w:hAnsi="Arial"/>
          <w:b/>
          <w:bCs/>
          <w:i w:val="false"/>
          <w:iCs w:val="false"/>
          <w:color w:val="0E3470"/>
          <w:sz w:val="32"/>
          <w:szCs w:val="32"/>
        </w:rPr>
        <w:t xml:space="preserve">PROPERTY &amp; OWNERSHIP INTELLIGENCE</w:t>
      </w:r>
    </w:p>
    <w:p>
      <w:pPr>
        <w:spacing w:after="240" w:before="60"/>
        <w:jc w:val="left"/>
      </w:pPr>
      <w:r>
        <w:rPr>
          <w:rFonts w:ascii="Arial" w:cs="Arial" w:eastAsia="Arial" w:hAnsi="Arial"/>
          <w:b w:val="false"/>
          <w:bCs w:val="false"/>
          <w:i/>
          <w:iCs/>
          <w:color w:val="6B6B6B"/>
          <w:sz w:val="18"/>
          <w:szCs w:val="18"/>
        </w:rPr>
        <w:t xml:space="preserve">28 tools</w:t>
      </w:r>
    </w:p>
    <w:p>
      <w:pPr>
        <w:spacing w:after="60" w:before="60"/>
        <w:jc w:val="left"/>
      </w:pPr>
      <w:r>
        <w:rPr>
          <w:rFonts w:ascii="Arial" w:cs="Arial" w:eastAsia="Arial" w:hAnsi="Arial"/>
          <w:b/>
          <w:bCs/>
          <w:i w:val="false"/>
          <w:iCs w:val="false"/>
          <w:color w:val="0E3470"/>
          <w:sz w:val="22"/>
          <w:szCs w:val="22"/>
        </w:rPr>
        <w:t xml:space="preserve">Intent.  </w:t>
      </w:r>
    </w:p>
    <w:p>
      <w:pPr>
        <w:spacing w:after="360" w:before="0"/>
        <w:jc w:val="left"/>
      </w:pPr>
      <w:r>
        <w:rPr>
          <w:rFonts w:ascii="Arial" w:cs="Arial" w:eastAsia="Arial" w:hAnsi="Arial"/>
          <w:b w:val="false"/>
          <w:bCs w:val="false"/>
          <w:i w:val="false"/>
          <w:iCs w:val="false"/>
          <w:color w:val="000000"/>
          <w:sz w:val="22"/>
          <w:szCs w:val="22"/>
        </w:rPr>
        <w:t xml:space="preserve">Identify who owns every commercial parcel, pierce LLC veils, surface ownership conditions (lifecycle exits, fractured partnerships, hold fatigue) before broker awareness.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4160"/>
        <w:gridCol w:w="1440"/>
        <w:gridCol w:w="800"/>
        <w:gridCol w:w="880"/>
      </w:tblGrid>
      <w:tr>
        <w:trPr>
          <w:tblHeader/>
        </w:trPr>
        <w:tc>
          <w:tcPr>
            <w:tcW w:type="dxa" w:w="208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Tool / Vendor</w:t>
            </w:r>
          </w:p>
        </w:tc>
        <w:tc>
          <w:tcPr>
            <w:tcW w:type="dxa" w:w="416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What It Does (One-Liner)</w:t>
            </w:r>
          </w:p>
        </w:tc>
        <w:tc>
          <w:tcPr>
            <w:tcW w:type="dxa" w:w="144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Annual Cost</w:t>
            </w:r>
          </w:p>
        </w:tc>
        <w:tc>
          <w:tcPr>
            <w:tcW w:type="dxa" w:w="80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API</w:t>
            </w:r>
          </w:p>
        </w:tc>
        <w:tc>
          <w:tcPr>
            <w:tcW w:type="dxa" w:w="88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Tier</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CoStar</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Industry-standard CRE database covering ~70% of institutional users with 8.5M property records, 1,600+ researchers, sales/lease comps, ownership and tenant data. Anchor of any institutional stack.</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$24,000–$60,000/yr</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 (Enterprise)</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T1</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Reonomy (Altus Group)</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54M commercial parcels with ML-driven LLC piercing via the Reonomy ID universal identifier. 'Likelihood to Sell' predictive score and 200+ filters; ownership accuracy degrades in rural markets.</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$4,800/yr/seat</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T1</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Cherre</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Data infrastructure layer aggregating 100+ sources into a knowledge graph with 3.3B+ addresses; powers $3T+ in AUM with entity resolution and LLC unmasking. Enterprise integration play, not a UI tool.</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$50K–$250K+/yr</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 (core product)</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Crexi Intelligence</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153M property records with 46M verified sales/lease comps, hold-period filters, and Placer.ai integration. Strongest free/freemium tier of major CRE databases.</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$1,200–$8,000/yr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T1</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MSCI Real Assets (formerly RCA)</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$50T+ global transaction database with investor-level intelligence on what each firm owns and partnership structures. Integration with Dealpath; benchmark for sales comps.</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$25K–$100K+/yr</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Yardi Matrix</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Multifamily, office, industrial, self-storage, and student-housing market intelligence with property-level financials, ownership, and forecasts. Strong for non-CoStar verticals.</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$8K–$30K/yr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ATTOM Data</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155M+ U.S. property database covering deeds, mortgages, foreclosure, tax, AVM, and neighborhood data. Strong API; powers many third-party CRE products as the underlying feed.</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$10K–$100K+/yr (API)</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 (primary product)</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CoreLogic / Cotality</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National property data covering 99.9% of U.S. addresses including title, AVM, MLS history, and insurance loss intelligence. Now branded Cotality after 2025 rebrand.</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Custom enterprise</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First American DataTree</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Title-grade property record search across 3,000+ counties with deed images, lien histories, and ownership chains. The professional title industry's research backbone.</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$1,200–$15,000/yr</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T1</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PropStream</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165+ filters and 20 pre-made lead lists including divorce, pre-probate, failed listings, free-and-clear, and high-equity stacks. Originally residential but covers small CRE.</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$1,200/yr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BatchData</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Property data API with distress signal stacking — pre-foreclosure, tax delinquency, code violations, probate, vacancy. Builder-focused, lower per-call cost than ATTOM.</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$0.05–$0.25/record + plans</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 (primary product)</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PropertyRadar</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Daily county-recorder updates with court-sourced probate and divorce data captured at initial petition (months ahead of recorder data). Lis pendens, NOD, trustee sales nationwide.</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$1,188–$5,000/yr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T1</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Estated (CoreLogic)</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Cleaned, normalized property API covering 150M+ U.S. parcels. Acquired by CoreLogic in 2022; now positioned as a developer-tier feed.</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$0.10–$0.50/record</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 (primary product)</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Regrid</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Nationwide parcel boundary and ownership data with bulk download licensing. Strongest pure parcel-geometry source; widely used for GIS overlays.</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$5K–$30K/yr (bulk)</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ParcelQuest</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California-focused parcel intelligence — strongest CA assessor and recorder data on the market. Essential for any California acquisition program.</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$1,200–$6,000/yr</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NETROnline / Public Records Online</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Free directory of every U.S. county recorder, assessor, and GIS portal with direct links. The starting point for any manual deep-dive on a specific county.</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CourthouseDirect.com</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Texas-focused recorded-document retrieval with paid per-document pulls. Useful for Texas deal verification when DataTree coverage is thin.</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Pay-per-doc</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PropertyShark</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Strong NYC and California ownership and lien data including auction calendars, lien amounts, and case numbers. The go-to for NYC distressed work.</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$2,400–$8,400/yr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Property Capsule</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CRE marketing and brokerage tour-stack tool — useful for monitoring how brokers package competing assets, not a primary intelligence source.</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Custom</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Realeflow / DealMachine</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Investor-focused 'driving for dollars' apps with vacant property targeting. Marginal commercial relevance but useful for small mixed-use sweeps.</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$600–$1,800/yr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RealCapitalMarkets / RCM Lightbox</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Broker-side deal marketing platform; shows what's actively being marketed by major investment-sales houses (CBRE, JLL, Newmark, Eastdil). Read-only intelligence on competitive flow.</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Custom (broker-side)</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LightBox</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CRE data, due diligence, and listings platform consolidating EDR (environmental), ClientLook, RCM, and Real Capital. Increasingly an institutional bundle.</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$15K–$100K+/yr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Buildout</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Broker-facing CRE marketing and CRM platform with property presentation generation. Used internally for OM creation; less useful as a pure intelligence source.</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$15,000/yr</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20"/>
                <w:szCs w:val="20"/>
              </w:rPr>
              <w:t xml:space="preserve">T1 (already active)</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Catylist (Moody's CRE)</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Local broker network listings aggregated into a national database. Stronger in secondary markets where CoStar coverage thins.</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$1,500–$5,000/yr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Brevitas</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Off-market and pocket listing CRE marketplace with private deal-room tooling. Smaller universe; useful as a supplemental sourcing channel.</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$1,200–$6,000/yr</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theBrokerList</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Free CRE broker directory with active-broker status by market and asset class. Rolodex tool for outreach campaigns.</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 / Premium $300/yr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LandsofAmerica / LandFlip / LandWatch</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Land-specific listings networks with ranch, timber, recreational, and development-land coverage. The land sub-MLS for any non-improved acquisition.</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Free–$1,200/yr (broker)</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AcreValue (Granular)</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Farmland-focused parcel and ownership data with USDA soil productivity overlays. The land equivalent of Reonomy.</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$300–$3,000/yr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bl>
    <w:p>
      <w:r>
        <w:br w:type="page"/>
      </w:r>
    </w:p>
    <w:p>
      <w:pPr>
        <w:pBdr>
          <w:bottom w:val="single" w:color="BC9C45" w:sz="12" w:space="4"/>
        </w:pBdr>
        <w:spacing w:after="60" w:before="0"/>
        <w:jc w:val="left"/>
      </w:pPr>
      <w:r>
        <w:rPr>
          <w:rFonts w:ascii="Arial" w:cs="Arial" w:eastAsia="Arial" w:hAnsi="Arial"/>
          <w:b/>
          <w:bCs/>
          <w:i w:val="false"/>
          <w:iCs w:val="false"/>
          <w:color w:val="BC9C45"/>
          <w:sz w:val="32"/>
          <w:szCs w:val="32"/>
        </w:rPr>
        <w:t xml:space="preserve">B.  </w:t>
      </w:r>
      <w:r>
        <w:rPr>
          <w:rFonts w:ascii="Arial" w:cs="Arial" w:eastAsia="Arial" w:hAnsi="Arial"/>
          <w:b/>
          <w:bCs/>
          <w:i w:val="false"/>
          <w:iCs w:val="false"/>
          <w:color w:val="0E3470"/>
          <w:sz w:val="32"/>
          <w:szCs w:val="32"/>
        </w:rPr>
        <w:t xml:space="preserve">CMBS, DEBT &amp; LOAN MATURITY INTELLIGENCE</w:t>
      </w:r>
    </w:p>
    <w:p>
      <w:pPr>
        <w:spacing w:after="240" w:before="60"/>
        <w:jc w:val="left"/>
      </w:pPr>
      <w:r>
        <w:rPr>
          <w:rFonts w:ascii="Arial" w:cs="Arial" w:eastAsia="Arial" w:hAnsi="Arial"/>
          <w:b w:val="false"/>
          <w:bCs w:val="false"/>
          <w:i/>
          <w:iCs/>
          <w:color w:val="6B6B6B"/>
          <w:sz w:val="18"/>
          <w:szCs w:val="18"/>
        </w:rPr>
        <w:t xml:space="preserve">16 tools</w:t>
      </w:r>
    </w:p>
    <w:p>
      <w:pPr>
        <w:spacing w:after="60" w:before="60"/>
        <w:jc w:val="left"/>
      </w:pPr>
      <w:r>
        <w:rPr>
          <w:rFonts w:ascii="Arial" w:cs="Arial" w:eastAsia="Arial" w:hAnsi="Arial"/>
          <w:b/>
          <w:bCs/>
          <w:i w:val="false"/>
          <w:iCs w:val="false"/>
          <w:color w:val="0E3470"/>
          <w:sz w:val="22"/>
          <w:szCs w:val="22"/>
        </w:rPr>
        <w:t xml:space="preserve">Intent.  </w:t>
      </w:r>
    </w:p>
    <w:p>
      <w:pPr>
        <w:spacing w:after="360" w:before="0"/>
        <w:jc w:val="left"/>
      </w:pPr>
      <w:r>
        <w:rPr>
          <w:rFonts w:ascii="Arial" w:cs="Arial" w:eastAsia="Arial" w:hAnsi="Arial"/>
          <w:b w:val="false"/>
          <w:bCs w:val="false"/>
          <w:i w:val="false"/>
          <w:iCs w:val="false"/>
          <w:color w:val="000000"/>
          <w:sz w:val="22"/>
          <w:szCs w:val="22"/>
        </w:rPr>
        <w:t xml:space="preserve">Identify every loan in the U.S. CRE debt market — securitized and bank-held — with maturity dates, distress signals, and borrower contact data. The single highest-leverage category for sourcing.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4160"/>
        <w:gridCol w:w="1440"/>
        <w:gridCol w:w="800"/>
        <w:gridCol w:w="880"/>
      </w:tblGrid>
      <w:tr>
        <w:trPr>
          <w:tblHeader/>
        </w:trPr>
        <w:tc>
          <w:tcPr>
            <w:tcW w:type="dxa" w:w="208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Tool / Vendor</w:t>
            </w:r>
          </w:p>
        </w:tc>
        <w:tc>
          <w:tcPr>
            <w:tcW w:type="dxa" w:w="416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What It Does (One-Liner)</w:t>
            </w:r>
          </w:p>
        </w:tc>
        <w:tc>
          <w:tcPr>
            <w:tcW w:type="dxa" w:w="144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Annual Cost</w:t>
            </w:r>
          </w:p>
        </w:tc>
        <w:tc>
          <w:tcPr>
            <w:tcW w:type="dxa" w:w="80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API</w:t>
            </w:r>
          </w:p>
        </w:tc>
        <w:tc>
          <w:tcPr>
            <w:tcW w:type="dxa" w:w="88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Tier</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CRED iQ</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$2.3T in CMBS and CRE CLO data with 100% securitized market coverage; provides borrower contact info (name, email, cell) and daily distress alerts. The best-in-class loan-maturity sourcing tool.</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$14,400/yr</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T1</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Trepp</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Industry standard since 1979 with TreppLoan, Trepp Analytics, and the Trepp/CREFC Performance Database. Monthly special-servicing reports are the benchmark distress metric.</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$15K–$60K/yr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T1</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Bloomberg Terminal</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Bond-by-bond CMBS surveillance, deal-level cash flows, and integrated rating agency commentary. The institutional desk standard; expensive at scale.</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$28,000/yr/seat</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 (BPIPE)</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Intex Solutions</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Bond-level CMBS, RMBS, and ABS cash-flow modeling with the most accurate deal libraries on the Street. Used by every major CMBS investor.</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$30K–$150K+/yr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 (Intex API)</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Morningstar DBRS</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CMBS rating agency with detailed surveillance reports, deal-level analytics, and watchlist commentary. Free public reports; deeper data behind subscription.</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 reports / $5K–$25K/yr</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Fitch Ratings CMBS</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Surveillance, presale, and rating-action commentary on CMBS deals with U.S. Loans-of-Concern monthly publication. Free public reports + research subscription.</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 / Custom research</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Moody's CMBS / Credit Research</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Rating agency commentary, performance data, and special-servicing analytics. Moody's Analytics CRE (formerly REIS) integrates loan and property fundamentals.</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 reports / $20K–$80K/yr</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Kroll Bond Rating Agency (KBRA)</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Rating-agency surveillance with strong commentary on subordinate CMBS positions. Free reports for general public; institutional access tier above.</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 / Custom</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Boxwood Means</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Small-balance CRE loan and property analytics ($1M–$10M segment) underserved by CoStar/Trepp. Niche but unique coverage of the lower-middle market.</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Custom subscription</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RealAtom</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Online CRE debt marketplace connecting borrowers with 1,500+ active lenders. Useful as a real-time read on lending appetite by asset class and market.</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 for borrowers</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Lev Capital</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Tech-enabled CRE debt brokerage with embedded analytics on deal pricing across lender pools. Read-only signal; not a buyable feed.</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N/A (transactional)</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Mortgage Observer / Commercial Observer</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Trade press covering large CRE debt originations, refinancings, and distress. Early signal for individual deal news ahead of public filings.</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$200–$1,000/yr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CommercialEdge (Yardi)</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Office, industrial, and self-storage market analytics including loan maturity tracking by metro. Bundled value with Yardi Matrix subscriptions.</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Bundled with Matrix</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CRED iQ Maturity Wall Tracker</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Sub-product of CRED iQ surfacing every maturing CMBS loan with property-level metrics and special-servicer commentary. Core sourcing engine.</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Bundled with CRED iQ</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T1</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S&amp;P Global CMBS</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Rating agency surveillance and CRE loan performance research. Stronger correlation analytics across sectors than peers.</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Custom</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DBRS Morningstar Viewpoint</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Web platform consolidating CMBS deal data, watchlist activity, and ratings in one interface. The fastest free way to scan the watchlist universe.</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 with registration</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bl>
    <w:p>
      <w:r>
        <w:br w:type="page"/>
      </w:r>
    </w:p>
    <w:p>
      <w:pPr>
        <w:pBdr>
          <w:bottom w:val="single" w:color="BC9C45" w:sz="12" w:space="4"/>
        </w:pBdr>
        <w:spacing w:after="60" w:before="0"/>
        <w:jc w:val="left"/>
      </w:pPr>
      <w:r>
        <w:rPr>
          <w:rFonts w:ascii="Arial" w:cs="Arial" w:eastAsia="Arial" w:hAnsi="Arial"/>
          <w:b/>
          <w:bCs/>
          <w:i w:val="false"/>
          <w:iCs w:val="false"/>
          <w:color w:val="BC9C45"/>
          <w:sz w:val="32"/>
          <w:szCs w:val="32"/>
        </w:rPr>
        <w:t xml:space="preserve">C.  </w:t>
      </w:r>
      <w:r>
        <w:rPr>
          <w:rFonts w:ascii="Arial" w:cs="Arial" w:eastAsia="Arial" w:hAnsi="Arial"/>
          <w:b/>
          <w:bCs/>
          <w:i w:val="false"/>
          <w:iCs w:val="false"/>
          <w:color w:val="0E3470"/>
          <w:sz w:val="32"/>
          <w:szCs w:val="32"/>
        </w:rPr>
        <w:t xml:space="preserve">BANK HEALTH &amp; NPL INTELLIGENCE</w:t>
      </w:r>
    </w:p>
    <w:p>
      <w:pPr>
        <w:spacing w:after="240" w:before="60"/>
        <w:jc w:val="left"/>
      </w:pPr>
      <w:r>
        <w:rPr>
          <w:rFonts w:ascii="Arial" w:cs="Arial" w:eastAsia="Arial" w:hAnsi="Arial"/>
          <w:b w:val="false"/>
          <w:bCs w:val="false"/>
          <w:i/>
          <w:iCs/>
          <w:color w:val="6B6B6B"/>
          <w:sz w:val="18"/>
          <w:szCs w:val="18"/>
        </w:rPr>
        <w:t xml:space="preserve">14 tools</w:t>
      </w:r>
    </w:p>
    <w:p>
      <w:pPr>
        <w:spacing w:after="60" w:before="60"/>
        <w:jc w:val="left"/>
      </w:pPr>
      <w:r>
        <w:rPr>
          <w:rFonts w:ascii="Arial" w:cs="Arial" w:eastAsia="Arial" w:hAnsi="Arial"/>
          <w:b/>
          <w:bCs/>
          <w:i w:val="false"/>
          <w:iCs w:val="false"/>
          <w:color w:val="0E3470"/>
          <w:sz w:val="22"/>
          <w:szCs w:val="22"/>
        </w:rPr>
        <w:t xml:space="preserve">Intent.  </w:t>
      </w:r>
    </w:p>
    <w:p>
      <w:pPr>
        <w:spacing w:after="360" w:before="0"/>
        <w:jc w:val="left"/>
      </w:pPr>
      <w:r>
        <w:rPr>
          <w:rFonts w:ascii="Arial" w:cs="Arial" w:eastAsia="Arial" w:hAnsi="Arial"/>
          <w:b w:val="false"/>
          <w:bCs w:val="false"/>
          <w:i w:val="false"/>
          <w:iCs w:val="false"/>
          <w:color w:val="000000"/>
          <w:sz w:val="22"/>
          <w:szCs w:val="22"/>
        </w:rPr>
        <w:t xml:space="preserve">Identify which banks are about to dispose of bad CRE loans before they list. Call reports are public; the edge is in parsing them at scale and monitoring leadership and regulatory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4160"/>
        <w:gridCol w:w="1440"/>
        <w:gridCol w:w="800"/>
        <w:gridCol w:w="880"/>
      </w:tblGrid>
      <w:tr>
        <w:trPr>
          <w:tblHeader/>
        </w:trPr>
        <w:tc>
          <w:tcPr>
            <w:tcW w:type="dxa" w:w="208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Tool / Vendor</w:t>
            </w:r>
          </w:p>
        </w:tc>
        <w:tc>
          <w:tcPr>
            <w:tcW w:type="dxa" w:w="416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What It Does (One-Liner)</w:t>
            </w:r>
          </w:p>
        </w:tc>
        <w:tc>
          <w:tcPr>
            <w:tcW w:type="dxa" w:w="144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Annual Cost</w:t>
            </w:r>
          </w:p>
        </w:tc>
        <w:tc>
          <w:tcPr>
            <w:tcW w:type="dxa" w:w="80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API</w:t>
            </w:r>
          </w:p>
        </w:tc>
        <w:tc>
          <w:tcPr>
            <w:tcW w:type="dxa" w:w="88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Tier</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FFIEC Call Reports (CDR)</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Quarterly Consolidated Reports of Condition and Income filed by every FDIC-insured bank, with full balance-sheet, NPL ratio, and CRE concentration data. Free and authoritative.</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 (bulk + XBRL)</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Uniform Bank Performance Report (UBPR)</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Examiner-facing distillation of Call Reports with peer-group comparisons and trend ratios. The same view bank examiners use to flag CAMELS deterioration.</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 (CDR)</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FDIC BankFind / Statistics</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Free FDIC institution lookup with quarterly ratios, trust data, and enforcement actions. Pair with Call Reports for full institution view.</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BankRegData</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Independent SaaS that visualizes Call Report and UBPR data with custom peer groups, CRE concentration ratios, and trip-wire alerts. Modern UI on free underlying data.</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$600–$5,000/yr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BankRegReports</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Similar peer to BankRegData with 24-year history per bank, CET1, Texas Ratio, and CRE concentration dashboards. Strong Excel export workflows.</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$1,200–$6,000/yr</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Bauer Financial</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Bank and credit union safety ratings (1–5 stars) updated quarterly. Coarse-grained but the public-facing health signal regulators reference indirectly.</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$600–$2,400/yr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IDC Financial Publishing</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Banking and credit union financial analysis with proprietary CAMELS-style ratings. Stronger institutional client base than Bauer.</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Custom</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Veribanc</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Bank rating service issuing 'Blue Ribbon' ratings on financial strength. Smaller and older than Bauer but used by some institutional depositors.</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$500–$3,000/yr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S&amp;P Global Market Intelligence (SNL)</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Comprehensive bank, REIT, and financial-services data with deep regulatory filings, M&amp;A tracking, and ownership intelligence. The institutional standard.</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$25K–$150K+/yr</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FDIC Loan Sale Listings (LSPP)</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Failed-bank receivership loan sales managed by the FDIC. Free public listings; requires Prospective Purchaser approval to bid.</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 (bid registration)</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FDIC Failed Bank List</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Public quarterly list of bank failures and receiverships with asset details. Tracks the literal pipeline of FDIC-resolved CRE loans.</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Federal Reserve Enforcement Actions</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Public database of all Federal Reserve formal enforcement actions, written agreements, and consent orders against banks. Direct distress signal at the institution level.</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OCC Enforcement Action Search</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Office of the Comptroller's public enforcement database for national banks. Critical complement to Fed actions for full regulatory pressure mapping.</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FDIC Enforcement Decisions and Orders</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Public FDIC enforcement action database. Combine with Fed and OCC for complete regulatory action coverage across all bank charter types.</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bl>
    <w:p>
      <w:r>
        <w:br w:type="page"/>
      </w:r>
    </w:p>
    <w:p>
      <w:pPr>
        <w:pBdr>
          <w:bottom w:val="single" w:color="BC9C45" w:sz="12" w:space="4"/>
        </w:pBdr>
        <w:spacing w:after="60" w:before="0"/>
        <w:jc w:val="left"/>
      </w:pPr>
      <w:r>
        <w:rPr>
          <w:rFonts w:ascii="Arial" w:cs="Arial" w:eastAsia="Arial" w:hAnsi="Arial"/>
          <w:b/>
          <w:bCs/>
          <w:i w:val="false"/>
          <w:iCs w:val="false"/>
          <w:color w:val="BC9C45"/>
          <w:sz w:val="32"/>
          <w:szCs w:val="32"/>
        </w:rPr>
        <w:t xml:space="preserve">D.  </w:t>
      </w:r>
      <w:r>
        <w:rPr>
          <w:rFonts w:ascii="Arial" w:cs="Arial" w:eastAsia="Arial" w:hAnsi="Arial"/>
          <w:b/>
          <w:bCs/>
          <w:i w:val="false"/>
          <w:iCs w:val="false"/>
          <w:color w:val="0E3470"/>
          <w:sz w:val="32"/>
          <w:szCs w:val="32"/>
        </w:rPr>
        <w:t xml:space="preserve">TENANT CREDIT &amp; BANKRUPTCY RISK</w:t>
      </w:r>
    </w:p>
    <w:p>
      <w:pPr>
        <w:spacing w:after="240" w:before="60"/>
        <w:jc w:val="left"/>
      </w:pPr>
      <w:r>
        <w:rPr>
          <w:rFonts w:ascii="Arial" w:cs="Arial" w:eastAsia="Arial" w:hAnsi="Arial"/>
          <w:b w:val="false"/>
          <w:bCs w:val="false"/>
          <w:i/>
          <w:iCs/>
          <w:color w:val="6B6B6B"/>
          <w:sz w:val="18"/>
          <w:szCs w:val="18"/>
        </w:rPr>
        <w:t xml:space="preserve">18 tools</w:t>
      </w:r>
    </w:p>
    <w:p>
      <w:pPr>
        <w:spacing w:after="60" w:before="60"/>
        <w:jc w:val="left"/>
      </w:pPr>
      <w:r>
        <w:rPr>
          <w:rFonts w:ascii="Arial" w:cs="Arial" w:eastAsia="Arial" w:hAnsi="Arial"/>
          <w:b/>
          <w:bCs/>
          <w:i w:val="false"/>
          <w:iCs w:val="false"/>
          <w:color w:val="0E3470"/>
          <w:sz w:val="22"/>
          <w:szCs w:val="22"/>
        </w:rPr>
        <w:t xml:space="preserve">Intent.  </w:t>
      </w:r>
    </w:p>
    <w:p>
      <w:pPr>
        <w:spacing w:after="360" w:before="0"/>
        <w:jc w:val="left"/>
      </w:pPr>
      <w:r>
        <w:rPr>
          <w:rFonts w:ascii="Arial" w:cs="Arial" w:eastAsia="Arial" w:hAnsi="Arial"/>
          <w:b w:val="false"/>
          <w:bCs w:val="false"/>
          <w:i w:val="false"/>
          <w:iCs w:val="false"/>
          <w:color w:val="000000"/>
          <w:sz w:val="22"/>
          <w:szCs w:val="22"/>
        </w:rPr>
        <w:t xml:space="preserve">Score every credit tenant in every deal — public, private, anchor, and regional. Identify tenant deterioration months before lease default; downgrade signals owners' refi math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4160"/>
        <w:gridCol w:w="1440"/>
        <w:gridCol w:w="800"/>
        <w:gridCol w:w="880"/>
      </w:tblGrid>
      <w:tr>
        <w:trPr>
          <w:tblHeader/>
        </w:trPr>
        <w:tc>
          <w:tcPr>
            <w:tcW w:type="dxa" w:w="208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Tool / Vendor</w:t>
            </w:r>
          </w:p>
        </w:tc>
        <w:tc>
          <w:tcPr>
            <w:tcW w:type="dxa" w:w="416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What It Does (One-Liner)</w:t>
            </w:r>
          </w:p>
        </w:tc>
        <w:tc>
          <w:tcPr>
            <w:tcW w:type="dxa" w:w="144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Annual Cost</w:t>
            </w:r>
          </w:p>
        </w:tc>
        <w:tc>
          <w:tcPr>
            <w:tcW w:type="dxa" w:w="80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API</w:t>
            </w:r>
          </w:p>
        </w:tc>
        <w:tc>
          <w:tcPr>
            <w:tcW w:type="dxa" w:w="88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Tier</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CreditRiskMonitor (FRISK Score)</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FRISK Score with stated 96% accuracy predicting public-company bankruptcy 12 months out. Covers 57,000+ public companies and 80M private firms.</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$8,000–$15,000/yr</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T1</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Moody's RiskCalc</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Private-firm probability of default model trained on 1M+ private financial statements. The institutional standard for non-public tenant credit.</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$15K–$75K+/yr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Equifax CRE Tenant Risk Assessment</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Tenant payment-behavior data from Equifax's commercial credit file with CRE-specific scoring. Strong on small-tenant and retail visibility.</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Custom enterprise</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Dun &amp; Bradstreet (D&amp;B Hoovers / Paydex)</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Paydex commercial payment score on 500M+ businesses globally. Industry-standard private-company credit signal; pair with FRISK for public coverage.</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$3K–$30K+/yr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Experian Business Reports</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Commercial credit reports with Intelliscore Plus risk score and payment trend data. Stronger small-business coverage than D&amp;B in some segments.</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Pay-per-report / $2K+/yr</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RapidRatings</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Private and public company financial health ratings with 12-month default-probability scores. Used by Fortune 500 procurement teams and CRE asset managers.</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Custom</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S&amp;P Capital IQ</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Public and private company financial data, credit ratings, and ownership intelligence. Bundles with Capital IQ Pro and Compustat.</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$15K–$75K+/yr</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Bloomberg Tenant Credit (CRDT)</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Bloomberg Terminal's credit research and CDS spread data on public corporate tenants. Real-time bond-market signal on credit deterioration.</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Bundled with Terminal</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FactSet</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Public-company financials, ownership, supply-chain, and ESG data with strong analyst-estimate coverage. Comparable institutional tier to Capital IQ.</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$15K–$75K+/yr</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Refinitiv (LSEG Workspace)</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Public-market data, news, and credit research successor to Thomson Reuters Eikon. Strong news and Reuters wire integration for tenant headline monitoring.</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$22K+/yr/seat</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Creditntell (Information Clearinghouse)</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Retail-tenant-specialist credit research covering 1,500+ retailers including private chains. The retail equivalent of Moody's; essential for anchor underwriting.</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$5K–$25K/yr</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T1</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Coresight Research</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Retail and consumer market intelligence with store-closing tracking and bankruptcy watch. Strong forward-looking retail tenant signal.</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$5K–$30K/yr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RetailStat</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Specialty retail tenant credit and store-economics data with location-level performance estimates. Niche but unique granularity.</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Custom</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Fitch Corporate Ratings</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Public-tenant rating agency reports and outlook commentary. Free for public reports; deeper data behind Fitch Connect subscription.</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 / $10K–$40K</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Moody's Investors Service</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Public corporate credit ratings, outlook, and watchlist commentary on every rated tenant. Free public reports; CreditView for full access.</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 / Custom</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Crunchbase Pro</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Private company funding, leadership, and operational data for tenant due diligence on venture-backed startups and growth-stage companies.</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$1,200–$6,000/yr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PitchBook</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Private-market data on PE/VC-owned tenants including ownership history, fund vintages, and exit pressure. Critical for sponsor-backed retail and industrial tenants.</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$25K–$60K+/yr</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BankruptcyData (New Generation Research)</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Public-company bankruptcy database with 30+ years of filings, claims register, and creditor data. The most-cited corporate bankruptcy reference dataset.</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$3K–$15K/yr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bl>
    <w:p>
      <w:r>
        <w:br w:type="page"/>
      </w:r>
    </w:p>
    <w:p>
      <w:pPr>
        <w:pBdr>
          <w:bottom w:val="single" w:color="BC9C45" w:sz="12" w:space="4"/>
        </w:pBdr>
        <w:spacing w:after="60" w:before="0"/>
        <w:jc w:val="left"/>
      </w:pPr>
      <w:r>
        <w:rPr>
          <w:rFonts w:ascii="Arial" w:cs="Arial" w:eastAsia="Arial" w:hAnsi="Arial"/>
          <w:b/>
          <w:bCs/>
          <w:i w:val="false"/>
          <w:iCs w:val="false"/>
          <w:color w:val="BC9C45"/>
          <w:sz w:val="32"/>
          <w:szCs w:val="32"/>
        </w:rPr>
        <w:t xml:space="preserve">E.  </w:t>
      </w:r>
      <w:r>
        <w:rPr>
          <w:rFonts w:ascii="Arial" w:cs="Arial" w:eastAsia="Arial" w:hAnsi="Arial"/>
          <w:b/>
          <w:bCs/>
          <w:i w:val="false"/>
          <w:iCs w:val="false"/>
          <w:color w:val="0E3470"/>
          <w:sz w:val="32"/>
          <w:szCs w:val="32"/>
        </w:rPr>
        <w:t xml:space="preserve">BANKRUPTCY &amp; COURT FILING MONITORING</w:t>
      </w:r>
    </w:p>
    <w:p>
      <w:pPr>
        <w:spacing w:after="240" w:before="60"/>
        <w:jc w:val="left"/>
      </w:pPr>
      <w:r>
        <w:rPr>
          <w:rFonts w:ascii="Arial" w:cs="Arial" w:eastAsia="Arial" w:hAnsi="Arial"/>
          <w:b w:val="false"/>
          <w:bCs w:val="false"/>
          <w:i/>
          <w:iCs/>
          <w:color w:val="6B6B6B"/>
          <w:sz w:val="18"/>
          <w:szCs w:val="18"/>
        </w:rPr>
        <w:t xml:space="preserve">20 tools</w:t>
      </w:r>
    </w:p>
    <w:p>
      <w:pPr>
        <w:spacing w:after="60" w:before="60"/>
        <w:jc w:val="left"/>
      </w:pPr>
      <w:r>
        <w:rPr>
          <w:rFonts w:ascii="Arial" w:cs="Arial" w:eastAsia="Arial" w:hAnsi="Arial"/>
          <w:b/>
          <w:bCs/>
          <w:i w:val="false"/>
          <w:iCs w:val="false"/>
          <w:color w:val="0E3470"/>
          <w:sz w:val="22"/>
          <w:szCs w:val="22"/>
        </w:rPr>
        <w:t xml:space="preserve">Intent.  </w:t>
      </w:r>
    </w:p>
    <w:p>
      <w:pPr>
        <w:spacing w:after="360" w:before="0"/>
        <w:jc w:val="left"/>
      </w:pPr>
      <w:r>
        <w:rPr>
          <w:rFonts w:ascii="Arial" w:cs="Arial" w:eastAsia="Arial" w:hAnsi="Arial"/>
          <w:b w:val="false"/>
          <w:bCs w:val="false"/>
          <w:i w:val="false"/>
          <w:iCs w:val="false"/>
          <w:color w:val="000000"/>
          <w:sz w:val="22"/>
          <w:szCs w:val="22"/>
        </w:rPr>
        <w:t xml:space="preserve">Monitor every federal and state court for filings that signal CRE owner or tenant distress: Chapter 7/11 petitions, lis pendens, mechanic's liens, judgments, and receiverships.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4160"/>
        <w:gridCol w:w="1440"/>
        <w:gridCol w:w="800"/>
        <w:gridCol w:w="880"/>
      </w:tblGrid>
      <w:tr>
        <w:trPr>
          <w:tblHeader/>
        </w:trPr>
        <w:tc>
          <w:tcPr>
            <w:tcW w:type="dxa" w:w="208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Tool / Vendor</w:t>
            </w:r>
          </w:p>
        </w:tc>
        <w:tc>
          <w:tcPr>
            <w:tcW w:type="dxa" w:w="416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What It Does (One-Liner)</w:t>
            </w:r>
          </w:p>
        </w:tc>
        <w:tc>
          <w:tcPr>
            <w:tcW w:type="dxa" w:w="144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Annual Cost</w:t>
            </w:r>
          </w:p>
        </w:tc>
        <w:tc>
          <w:tcPr>
            <w:tcW w:type="dxa" w:w="80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API</w:t>
            </w:r>
          </w:p>
        </w:tc>
        <w:tc>
          <w:tcPr>
            <w:tcW w:type="dxa" w:w="88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Tier</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PACER</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Federal court electronic records covering every U.S. district, bankruptcy, and appellate court. The authoritative source for all federal bankruptcy and litigation filings.</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$0.10/page (capped $3.00)</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 (basic)</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CourtLink (LexisNexis)</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Federal and state court docket search with automated alerts on parties, attorneys, and case types. The institutional law-firm standard for active monitoring.</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$2K–$10K+/yr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Westlaw Court Express</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Thomson Reuters federal and state docket search with strong full-text search across pleadings. Comparable enterprise tier to CourtLink.</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$2K–$15K+/yr</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Bloomberg Law Dockets</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Federal and state court dockets bundled with Bloomberg Law's research platform, including bankruptcy claims register coverage. Strong UI on federal coverage.</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Bundled $5K+/yr/seat</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UniCourt</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State and federal court records with API-first delivery; covers 3,400+ jurisdictions including state civil and family court (divorce). Strongest API in the category.</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$0.10–$0.50/record + plans</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 (primary product)</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T1</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Trellis Research</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California and Texas state court intelligence with predictive analytics on judges and motions. Strongest data set for the two largest CRE states.</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$2K–$15K/yr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CourtListener / RECAP (Free Law Project)</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Free federal court docket and opinion archive crowdsourced through the RECAP Chrome extension. Useful for retroactive lookups; coverage gaps on recent filings.</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Docket Alarm (Fastcase / vLex)</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Federal and state court docket alerts with PTAB, ITC, and tax court coverage. Strong patent and IP focus but excellent on bankruptcy too.</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$2K–$8K/yr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Lex Machina (LexisNexis)</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Litigation analytics with judge, party, and outcome data. Stronger on patent and securities than CRE-specific filings; useful for general counsel intelligence.</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Custom enterprise</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Inforuptcy</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Bankruptcy-specific PACER aggregator with claims, schedules, and asset listings. Heavily used by distressed-debt buyers for asset-acquisition opportunities.</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$1,200–$6,000/yr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T1</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DailyDAC</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Bankruptcy and distressed-asset news with auction listings, ABC sales, and Section 363 sale calendars. Free email newsletter; paid premium tier.</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 / $600–$3,000/yr</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Reorg Research</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Distressed-debt and bankruptcy news with credit-specific reporting on covenants, intercreditor disputes, and DIP financings. Hedge-fund tier intelligence.</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$30K–$100K+/yr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Petition (Newsletter / Data)</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Free weekly distressed-debt and bankruptcy newsletter with data subscription tier. Sharp commentary on CRE-adjacent corporate filings.</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 / $1,200/yr</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Stretto</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Bankruptcy claims and noticing agent operating the official claims register on most large CRE bankruptcies. Free public claims search per case.</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 (case-by-case)</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Epiq Bankruptcy Solutions</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Largest U.S. claims and noticing agent. Free claims register search by case; the most-likely operator on a Fortune-500 retail bankruptcy.</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 (case-by-case)</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Kurtzman Carson Consultants (KCC) / Verita</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Bankruptcy claims and balloting agent with free per-case claims registers. Often used on mid-cap CRE filings.</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 (case-by-case)</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BMC Group</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Claims and noticing agent for select bankruptcy cases with free public registers. Niche but covers cases the larger agents don't.</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 (case-by-case)</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Donlin Recano (formerly)</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Claims agent absorbed into Verita; legacy case registers still public. Useful for backward research on completed CRE bankruptcies.</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 (case-by-case)</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Kroll Restructuring (formerly Prime Clerk)</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Largest premium claims and noticing agent on mega-bankruptcies including CRE-heavy retail filings. Free per-case registers.</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 (case-by-case)</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REbbons / DistressedRealEstate.net</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Daily aggregator of court-filed CRE distress signals including judgments, lis pendens, and liens parsed from PACER and state systems.</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$1,200–$3,600/yr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bl>
    <w:p>
      <w:r>
        <w:br w:type="page"/>
      </w:r>
    </w:p>
    <w:p>
      <w:pPr>
        <w:pBdr>
          <w:bottom w:val="single" w:color="BC9C45" w:sz="12" w:space="4"/>
        </w:pBdr>
        <w:spacing w:after="60" w:before="0"/>
        <w:jc w:val="left"/>
      </w:pPr>
      <w:r>
        <w:rPr>
          <w:rFonts w:ascii="Arial" w:cs="Arial" w:eastAsia="Arial" w:hAnsi="Arial"/>
          <w:b/>
          <w:bCs/>
          <w:i w:val="false"/>
          <w:iCs w:val="false"/>
          <w:color w:val="BC9C45"/>
          <w:sz w:val="32"/>
          <w:szCs w:val="32"/>
        </w:rPr>
        <w:t xml:space="preserve">F.  </w:t>
      </w:r>
      <w:r>
        <w:rPr>
          <w:rFonts w:ascii="Arial" w:cs="Arial" w:eastAsia="Arial" w:hAnsi="Arial"/>
          <w:b/>
          <w:bCs/>
          <w:i w:val="false"/>
          <w:iCs w:val="false"/>
          <w:color w:val="0E3470"/>
          <w:sz w:val="32"/>
          <w:szCs w:val="32"/>
        </w:rPr>
        <w:t xml:space="preserve">PROBATE, DECEDENT &amp; ESTATE INTELLIGENCE</w:t>
      </w:r>
    </w:p>
    <w:p>
      <w:pPr>
        <w:spacing w:after="240" w:before="60"/>
        <w:jc w:val="left"/>
      </w:pPr>
      <w:r>
        <w:rPr>
          <w:rFonts w:ascii="Arial" w:cs="Arial" w:eastAsia="Arial" w:hAnsi="Arial"/>
          <w:b w:val="false"/>
          <w:bCs w:val="false"/>
          <w:i/>
          <w:iCs/>
          <w:color w:val="6B6B6B"/>
          <w:sz w:val="18"/>
          <w:szCs w:val="18"/>
        </w:rPr>
        <w:t xml:space="preserve">11 tools</w:t>
      </w:r>
    </w:p>
    <w:p>
      <w:pPr>
        <w:spacing w:after="60" w:before="60"/>
        <w:jc w:val="left"/>
      </w:pPr>
      <w:r>
        <w:rPr>
          <w:rFonts w:ascii="Arial" w:cs="Arial" w:eastAsia="Arial" w:hAnsi="Arial"/>
          <w:b/>
          <w:bCs/>
          <w:i w:val="false"/>
          <w:iCs w:val="false"/>
          <w:color w:val="0E3470"/>
          <w:sz w:val="22"/>
          <w:szCs w:val="22"/>
        </w:rPr>
        <w:t xml:space="preserve">Intent.  </w:t>
      </w:r>
    </w:p>
    <w:p>
      <w:pPr>
        <w:spacing w:after="360" w:before="0"/>
        <w:jc w:val="left"/>
      </w:pPr>
      <w:r>
        <w:rPr>
          <w:rFonts w:ascii="Arial" w:cs="Arial" w:eastAsia="Arial" w:hAnsi="Arial"/>
          <w:b w:val="false"/>
          <w:bCs w:val="false"/>
          <w:i w:val="false"/>
          <w:iCs w:val="false"/>
          <w:color w:val="000000"/>
          <w:sz w:val="22"/>
          <w:szCs w:val="22"/>
        </w:rPr>
        <w:t xml:space="preserve">Identify CRE owners who have died — and their heirs — at the moment the estate enters probate. Often months ahead of any deed or recorder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4160"/>
        <w:gridCol w:w="1440"/>
        <w:gridCol w:w="800"/>
        <w:gridCol w:w="880"/>
      </w:tblGrid>
      <w:tr>
        <w:trPr>
          <w:tblHeader/>
        </w:trPr>
        <w:tc>
          <w:tcPr>
            <w:tcW w:type="dxa" w:w="208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Tool / Vendor</w:t>
            </w:r>
          </w:p>
        </w:tc>
        <w:tc>
          <w:tcPr>
            <w:tcW w:type="dxa" w:w="416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What It Does (One-Liner)</w:t>
            </w:r>
          </w:p>
        </w:tc>
        <w:tc>
          <w:tcPr>
            <w:tcW w:type="dxa" w:w="144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Annual Cost</w:t>
            </w:r>
          </w:p>
        </w:tc>
        <w:tc>
          <w:tcPr>
            <w:tcW w:type="dxa" w:w="80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API</w:t>
            </w:r>
          </w:p>
        </w:tc>
        <w:tc>
          <w:tcPr>
            <w:tcW w:type="dxa" w:w="88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Tier</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PropertyRadar Probate</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Court-sourced probate filings nationwide with case numbers, decedent info, attorney details, and relatives. Captured at petition, not deed-recording. Industry leader.</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Bundled with PropertyRadar</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T1</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ForeclosuresDaily.com</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50K+ daily records from 3,100+ counties covering probate, pre-probate, foreclosure, and divorce. Territory-exclusive pricing; aggressive marketing tier.</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$2K–$15K/yr (territory)</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US Probate Leads</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Subscription probate-leads service covering 800+ U.S. counties with monthly delivery. Older operator; coverage varies sharply by county.</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$1,200–$6,000/yr</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All The Leads</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Probate leads with monthly fresh data, skip tracing add-ons, and direct-mail integration. Investor-tier pricing structure.</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$1,000–$5,000/yr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ProbateLeads.com</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Smaller probate aggregator with state-by-state coverage. Useful as a price-shopping comparable to All The Leads and US Probate Leads.</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$600–$3,600/yr</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Heritage / Probate Mastery</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Probate education and lead-list bundle by Chad Corbett — strong training overlay. Marginal data uniqueness; education &gt; data quality.</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$1,000–$5,000/yr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Direct State Surrogate Court Pulls</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State-by-state probate filings via county Surrogate's / Superior / Probate Court online portals (NY Surrogate's Court, CA Superior, FL Circuit). Manual but authoritative.</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Free–$10/case</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 (varies)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Death Master File (SSA)</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Social Security Administration's full Death Master File listing 100M+ decedents since 1936. Available through resellers including Ancestry, NTIS, and credit bureaus.</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$200–$5,000/yr (resellers)</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LexisNexis Death Index / Obituary Data</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Aggregated death records, obituary data, and SSA Death Master File access through Accurint and CLEAR. Stronger record-linking than raw DMF.</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Bundled with Accurint</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Ancestry / Newspapers.com Obituaries</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Genealogy-grade obituary archives across 11,000+ U.S. newspapers. Useful for confirming decedent details and identifying surviving heirs.</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$120–$600/yr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Find a Grave / FamilySearch</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Free genealogical death and burial records with crowd-sourced obituary content. Useful for old-record research; rural coverage stronger than commercial tools.</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bl>
    <w:p>
      <w:r>
        <w:br w:type="page"/>
      </w:r>
    </w:p>
    <w:p>
      <w:pPr>
        <w:pBdr>
          <w:bottom w:val="single" w:color="BC9C45" w:sz="12" w:space="4"/>
        </w:pBdr>
        <w:spacing w:after="60" w:before="0"/>
        <w:jc w:val="left"/>
      </w:pPr>
      <w:r>
        <w:rPr>
          <w:rFonts w:ascii="Arial" w:cs="Arial" w:eastAsia="Arial" w:hAnsi="Arial"/>
          <w:b/>
          <w:bCs/>
          <w:i w:val="false"/>
          <w:iCs w:val="false"/>
          <w:color w:val="BC9C45"/>
          <w:sz w:val="32"/>
          <w:szCs w:val="32"/>
        </w:rPr>
        <w:t xml:space="preserve">G.  </w:t>
      </w:r>
      <w:r>
        <w:rPr>
          <w:rFonts w:ascii="Arial" w:cs="Arial" w:eastAsia="Arial" w:hAnsi="Arial"/>
          <w:b/>
          <w:bCs/>
          <w:i w:val="false"/>
          <w:iCs w:val="false"/>
          <w:color w:val="0E3470"/>
          <w:sz w:val="32"/>
          <w:szCs w:val="32"/>
        </w:rPr>
        <w:t xml:space="preserve">DIVORCE &amp; FAMILY COURT INTELLIGENCE</w:t>
      </w:r>
    </w:p>
    <w:p>
      <w:pPr>
        <w:spacing w:after="240" w:before="60"/>
        <w:jc w:val="left"/>
      </w:pPr>
      <w:r>
        <w:rPr>
          <w:rFonts w:ascii="Arial" w:cs="Arial" w:eastAsia="Arial" w:hAnsi="Arial"/>
          <w:b w:val="false"/>
          <w:bCs w:val="false"/>
          <w:i/>
          <w:iCs/>
          <w:color w:val="6B6B6B"/>
          <w:sz w:val="18"/>
          <w:szCs w:val="18"/>
        </w:rPr>
        <w:t xml:space="preserve">6 tools</w:t>
      </w:r>
    </w:p>
    <w:p>
      <w:pPr>
        <w:spacing w:after="60" w:before="60"/>
        <w:jc w:val="left"/>
      </w:pPr>
      <w:r>
        <w:rPr>
          <w:rFonts w:ascii="Arial" w:cs="Arial" w:eastAsia="Arial" w:hAnsi="Arial"/>
          <w:b/>
          <w:bCs/>
          <w:i w:val="false"/>
          <w:iCs w:val="false"/>
          <w:color w:val="0E3470"/>
          <w:sz w:val="22"/>
          <w:szCs w:val="22"/>
        </w:rPr>
        <w:t xml:space="preserve">Intent.  </w:t>
      </w:r>
    </w:p>
    <w:p>
      <w:pPr>
        <w:spacing w:after="360" w:before="0"/>
        <w:jc w:val="left"/>
      </w:pPr>
      <w:r>
        <w:rPr>
          <w:rFonts w:ascii="Arial" w:cs="Arial" w:eastAsia="Arial" w:hAnsi="Arial"/>
          <w:b w:val="false"/>
          <w:bCs w:val="false"/>
          <w:i w:val="false"/>
          <w:iCs w:val="false"/>
          <w:color w:val="000000"/>
          <w:sz w:val="22"/>
          <w:szCs w:val="22"/>
        </w:rPr>
        <w:t xml:space="preserve">Identify CRE owners going through forced asset division. Divorce filings precede property listings by 6–18 months on average and are visible at petition in most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4160"/>
        <w:gridCol w:w="1440"/>
        <w:gridCol w:w="800"/>
        <w:gridCol w:w="880"/>
      </w:tblGrid>
      <w:tr>
        <w:trPr>
          <w:tblHeader/>
        </w:trPr>
        <w:tc>
          <w:tcPr>
            <w:tcW w:type="dxa" w:w="208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Tool / Vendor</w:t>
            </w:r>
          </w:p>
        </w:tc>
        <w:tc>
          <w:tcPr>
            <w:tcW w:type="dxa" w:w="416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What It Does (One-Liner)</w:t>
            </w:r>
          </w:p>
        </w:tc>
        <w:tc>
          <w:tcPr>
            <w:tcW w:type="dxa" w:w="144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Annual Cost</w:t>
            </w:r>
          </w:p>
        </w:tc>
        <w:tc>
          <w:tcPr>
            <w:tcW w:type="dxa" w:w="80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API</w:t>
            </w:r>
          </w:p>
        </w:tc>
        <w:tc>
          <w:tcPr>
            <w:tcW w:type="dxa" w:w="88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Tier</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PropertyRadar Divorce</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Court-sourced divorce filings captured at initial petition, months ahead of any deed change. Combined with property records for owner-property linkage.</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Bundled with PropertyRadar</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T1</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Trellis (CA / TX Divorce)</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California and Texas state court records including family law dockets. Strongest divorce data for the two largest CRE states.</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Bundled with Trellis Research</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Gavelytics (now part of Trellis)</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California-focused predictive court analytics with judge-level outcome data. Useful for evaluating divorce-driven forced sales in California.</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Bundled with Trellis</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UniCourt Family Court</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State family court coverage in 3,400+ jurisdictions with API-first delivery. The strongest national divorce-data feed.</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Bundled with UniCourt</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PropStream Divorce Filter</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Pre-built divorce-filing list within PropStream's lead-list builder. Coverage varies by county; check residential bias for CRE applications.</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Bundled with PropStream</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Direct State Court PDF Pulls</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Many state Superior / Circuit / Domestic Relations courts publish daily filing PDFs publicly. Manual scraping but authoritative and free.</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bl>
    <w:p>
      <w:r>
        <w:br w:type="page"/>
      </w:r>
    </w:p>
    <w:p>
      <w:pPr>
        <w:pBdr>
          <w:bottom w:val="single" w:color="BC9C45" w:sz="12" w:space="4"/>
        </w:pBdr>
        <w:spacing w:after="60" w:before="0"/>
        <w:jc w:val="left"/>
      </w:pPr>
      <w:r>
        <w:rPr>
          <w:rFonts w:ascii="Arial" w:cs="Arial" w:eastAsia="Arial" w:hAnsi="Arial"/>
          <w:b/>
          <w:bCs/>
          <w:i w:val="false"/>
          <w:iCs w:val="false"/>
          <w:color w:val="BC9C45"/>
          <w:sz w:val="32"/>
          <w:szCs w:val="32"/>
        </w:rPr>
        <w:t xml:space="preserve">H.  </w:t>
      </w:r>
      <w:r>
        <w:rPr>
          <w:rFonts w:ascii="Arial" w:cs="Arial" w:eastAsia="Arial" w:hAnsi="Arial"/>
          <w:b/>
          <w:bCs/>
          <w:i w:val="false"/>
          <w:iCs w:val="false"/>
          <w:color w:val="0E3470"/>
          <w:sz w:val="32"/>
          <w:szCs w:val="32"/>
        </w:rPr>
        <w:t xml:space="preserve">DISTRESS, AUCTION &amp; FORECLOSURE PLATFORMS</w:t>
      </w:r>
    </w:p>
    <w:p>
      <w:pPr>
        <w:spacing w:after="240" w:before="60"/>
        <w:jc w:val="left"/>
      </w:pPr>
      <w:r>
        <w:rPr>
          <w:rFonts w:ascii="Arial" w:cs="Arial" w:eastAsia="Arial" w:hAnsi="Arial"/>
          <w:b w:val="false"/>
          <w:bCs w:val="false"/>
          <w:i/>
          <w:iCs/>
          <w:color w:val="6B6B6B"/>
          <w:sz w:val="18"/>
          <w:szCs w:val="18"/>
        </w:rPr>
        <w:t xml:space="preserve">18 tools</w:t>
      </w:r>
    </w:p>
    <w:p>
      <w:pPr>
        <w:spacing w:after="60" w:before="60"/>
        <w:jc w:val="left"/>
      </w:pPr>
      <w:r>
        <w:rPr>
          <w:rFonts w:ascii="Arial" w:cs="Arial" w:eastAsia="Arial" w:hAnsi="Arial"/>
          <w:b/>
          <w:bCs/>
          <w:i w:val="false"/>
          <w:iCs w:val="false"/>
          <w:color w:val="0E3470"/>
          <w:sz w:val="22"/>
          <w:szCs w:val="22"/>
        </w:rPr>
        <w:t xml:space="preserve">Intent.  </w:t>
      </w:r>
    </w:p>
    <w:p>
      <w:pPr>
        <w:spacing w:after="360" w:before="0"/>
        <w:jc w:val="left"/>
      </w:pPr>
      <w:r>
        <w:rPr>
          <w:rFonts w:ascii="Arial" w:cs="Arial" w:eastAsia="Arial" w:hAnsi="Arial"/>
          <w:b w:val="false"/>
          <w:bCs w:val="false"/>
          <w:i w:val="false"/>
          <w:iCs w:val="false"/>
          <w:color w:val="000000"/>
          <w:sz w:val="22"/>
          <w:szCs w:val="22"/>
        </w:rPr>
        <w:t xml:space="preserve">Every channel where distressed CRE actually trades — bank-disposition platforms, court auctions, special-servicer auctions, restructuring advisors, and online marketplaces.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4160"/>
        <w:gridCol w:w="1440"/>
        <w:gridCol w:w="800"/>
        <w:gridCol w:w="880"/>
      </w:tblGrid>
      <w:tr>
        <w:trPr>
          <w:tblHeader/>
        </w:trPr>
        <w:tc>
          <w:tcPr>
            <w:tcW w:type="dxa" w:w="208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Tool / Vendor</w:t>
            </w:r>
          </w:p>
        </w:tc>
        <w:tc>
          <w:tcPr>
            <w:tcW w:type="dxa" w:w="416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What It Does (One-Liner)</w:t>
            </w:r>
          </w:p>
        </w:tc>
        <w:tc>
          <w:tcPr>
            <w:tcW w:type="dxa" w:w="144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Annual Cost</w:t>
            </w:r>
          </w:p>
        </w:tc>
        <w:tc>
          <w:tcPr>
            <w:tcW w:type="dxa" w:w="80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API</w:t>
            </w:r>
          </w:p>
        </w:tc>
        <w:tc>
          <w:tcPr>
            <w:tcW w:type="dxa" w:w="88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Tier</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Auction.com / Ten-X (CoStar)</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Largest U.S. CRE and residential online auction platform with bank-direct REO, foreclosure, and short-sale inventory. Owned by CoStar since 2020.</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 to bidders</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T1</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Ten-X Commercial</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CoStar's pure-CRE auction platform with commercial REO, special-servicer dispositions, and stabilized asset sales. Standard institutional bidder qualification.</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 to bidders</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T1</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RealINSIGHT Marketplace</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Trimont-affiliated CRE loan and REO marketplace with bank, special servicer, and CDO seller flow. Primary channel for whole-loan distressed acquisitions.</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 (qualification req.)</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T1</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Hubzu</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Altisource-operated REO and short-sale auction platform. Heavier residential focus; small-balance commercial occasionally appears.</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 to bidders</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Xome Auction (Mr. Cooper)</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Mr. Cooper-affiliated auction platform with REO, foreclosure, and short-sale inventory. Lighter on CRE than Ten-X.</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 to bidders</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ServiceLink Auction</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Servicing-affiliate auction platform with REO and foreclosure-sale inventory. Smaller market share but covers some niche servicer relationships.</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 to bidders</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Williams &amp; Williams Auctioneers</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Real estate auction firm with national U.S. and international CRE inventory. Stronger on land, multifamily, and small-CRE than securitized assets.</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 to bidders</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Tranzon</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Real estate auction firm specializing in commercial, land, and unique-property dispositions. Broker-network model with regional coverage.</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 to bidders</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Hilco Real Estate</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Restructuring and disposition advisor specializing in retail real estate from bankrupt and distressed operators (Sears, Bed Bath &amp; Beyond, etc.).</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 to bidders</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T1</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A&amp;G Real Estate Partners</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Lease-restructuring and disposition advisor; runs §363 sales and lease auctions on behalf of bankrupt CRE-occupier debtors. Heavy retail focus.</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 to bidders</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T1</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Keen-Summit Capital Partners</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Real-estate restructuring and disposition advisor for bankruptcies and out-of-court restructurings. Smaller than Hilco/A&amp;G but high deal quality.</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 to bidders</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Newmark Real Estate Auction (Hilco partnership)</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Newmark-Hilco joint platform combining brokerage reach with auction expertise. Active on large institutional dispositions.</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 to bidders</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JLL Capital Markets Auction</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JLL's auction-style large-loan and REO sale platform integrated with JLL's brokerage relationships. Institutional buyer qualification required.</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 to bidders</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Eastdil Secured</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Top-tier institutional CRE investment-sales advisor; not a public marketplace but the channel where the largest distressed institutional sales transact.</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N/A (broker-direct)</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RealtyTrac</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Distressed-property and foreclosure-listing aggregator. Subscription-based with foreclosure, auction, and bank-owned property feeds.</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$600–$3,000/yr</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Foreclosure.com</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Subscription residential-and-small-CRE foreclosure aggregator. Heavily marketed retail tier; data quality variable by region.</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$300–$1,200/yr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RealtyBid (USRES)</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Servicing-affiliated REO auction platform; typically REO from major servicers post-foreclosure. Niche and shrinking.</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 to bidders</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Concierge Auctions (Sotheby's)</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Luxury and ultra-high-end auction platform; occasional large CRE assets like resort properties and trophy estates.</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 to bidders</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bl>
    <w:p>
      <w:r>
        <w:br w:type="page"/>
      </w:r>
    </w:p>
    <w:p>
      <w:pPr>
        <w:pBdr>
          <w:bottom w:val="single" w:color="BC9C45" w:sz="12" w:space="4"/>
        </w:pBdr>
        <w:spacing w:after="60" w:before="0"/>
        <w:jc w:val="left"/>
      </w:pPr>
      <w:r>
        <w:rPr>
          <w:rFonts w:ascii="Arial" w:cs="Arial" w:eastAsia="Arial" w:hAnsi="Arial"/>
          <w:b/>
          <w:bCs/>
          <w:i w:val="false"/>
          <w:iCs w:val="false"/>
          <w:color w:val="BC9C45"/>
          <w:sz w:val="32"/>
          <w:szCs w:val="32"/>
        </w:rPr>
        <w:t xml:space="preserve">I.  </w:t>
      </w:r>
      <w:r>
        <w:rPr>
          <w:rFonts w:ascii="Arial" w:cs="Arial" w:eastAsia="Arial" w:hAnsi="Arial"/>
          <w:b/>
          <w:bCs/>
          <w:i w:val="false"/>
          <w:iCs w:val="false"/>
          <w:color w:val="0E3470"/>
          <w:sz w:val="32"/>
          <w:szCs w:val="32"/>
        </w:rPr>
        <w:t xml:space="preserve">TAX LIEN, TAX DEED &amp; SHERIFF SALE PLATFORMS</w:t>
      </w:r>
    </w:p>
    <w:p>
      <w:pPr>
        <w:spacing w:after="240" w:before="60"/>
        <w:jc w:val="left"/>
      </w:pPr>
      <w:r>
        <w:rPr>
          <w:rFonts w:ascii="Arial" w:cs="Arial" w:eastAsia="Arial" w:hAnsi="Arial"/>
          <w:b w:val="false"/>
          <w:bCs w:val="false"/>
          <w:i/>
          <w:iCs/>
          <w:color w:val="6B6B6B"/>
          <w:sz w:val="18"/>
          <w:szCs w:val="18"/>
        </w:rPr>
        <w:t xml:space="preserve">16 tools</w:t>
      </w:r>
    </w:p>
    <w:p>
      <w:pPr>
        <w:spacing w:after="60" w:before="60"/>
        <w:jc w:val="left"/>
      </w:pPr>
      <w:r>
        <w:rPr>
          <w:rFonts w:ascii="Arial" w:cs="Arial" w:eastAsia="Arial" w:hAnsi="Arial"/>
          <w:b/>
          <w:bCs/>
          <w:i w:val="false"/>
          <w:iCs w:val="false"/>
          <w:color w:val="0E3470"/>
          <w:sz w:val="22"/>
          <w:szCs w:val="22"/>
        </w:rPr>
        <w:t xml:space="preserve">Intent.  </w:t>
      </w:r>
    </w:p>
    <w:p>
      <w:pPr>
        <w:spacing w:after="360" w:before="0"/>
        <w:jc w:val="left"/>
      </w:pPr>
      <w:r>
        <w:rPr>
          <w:rFonts w:ascii="Arial" w:cs="Arial" w:eastAsia="Arial" w:hAnsi="Arial"/>
          <w:b w:val="false"/>
          <w:bCs w:val="false"/>
          <w:i w:val="false"/>
          <w:iCs w:val="false"/>
          <w:color w:val="000000"/>
          <w:sz w:val="22"/>
          <w:szCs w:val="22"/>
        </w:rPr>
        <w:t xml:space="preserve">Every state's tax-collection auction platform, plus the consultancy and software ecosystem around it. Annual delinquency calendar across all 3,143 U.S. counties.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4160"/>
        <w:gridCol w:w="1440"/>
        <w:gridCol w:w="800"/>
        <w:gridCol w:w="880"/>
      </w:tblGrid>
      <w:tr>
        <w:trPr>
          <w:tblHeader/>
        </w:trPr>
        <w:tc>
          <w:tcPr>
            <w:tcW w:type="dxa" w:w="208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Tool / Vendor</w:t>
            </w:r>
          </w:p>
        </w:tc>
        <w:tc>
          <w:tcPr>
            <w:tcW w:type="dxa" w:w="416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What It Does (One-Liner)</w:t>
            </w:r>
          </w:p>
        </w:tc>
        <w:tc>
          <w:tcPr>
            <w:tcW w:type="dxa" w:w="144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Annual Cost</w:t>
            </w:r>
          </w:p>
        </w:tc>
        <w:tc>
          <w:tcPr>
            <w:tcW w:type="dxa" w:w="80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API</w:t>
            </w:r>
          </w:p>
        </w:tc>
        <w:tc>
          <w:tcPr>
            <w:tcW w:type="dxa" w:w="88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Tier</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RealAuction.com</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Largest U.S. tax-lien and tax-deed online auction operator covering FL, NJ, AZ, WV, MD, and others. Free to bidders; deposits required for participation.</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 to bidders</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T1</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GovEase</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Online tax-lien and tax-deed auction platform covering Alabama, Mississippi, Louisiana, and Los Angeles County. Integrated bidder education.</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 to bidders</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T1</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Bid4Assets</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Federal, state, and county auction platform covering tax deeds, government surplus, and foreclosed property. The most diverse public-asset auctioneer.</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 to bidders</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T1</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GovDeals</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Government-surplus and seized-asset platform with occasional real estate listings. State and municipal seller breadth is unmatched.</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 to bidders</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Public Surplus</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Government-surplus auction platform used by Mohave County (AZ) tax deeds and many other state and municipal sellers. Free bidder participation.</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 to bidders</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Grant Street Group (LienHub / DeedAuction)</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Tax-lien and tax-deed auction platform powering FL, IN, KY, and other state programs. Strong investor portfolio-management tools.</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 to bidders</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T1</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RealAuction RA Bid</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RealAuction's bidder-side platform with auto-bid, prebid, and portfolio-management features. Required for FL tax certificate season.</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T1</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SRI Inc.</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Tax-lien and certificate-sale auction operator in IN, OH, KS, MO, and other states. Smaller than Grant Street; jurisdiction-specific.</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 to bidders</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Liensuite</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Tax-lien education, training, and research platform with state-by-state interest-rate guides. Subscription education layer over public auction infrastructure.</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$300–$2,400/yr</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Tax Lien Software (Portfolio Tracker)</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Investor-side software for tracking tax-lien certificate portfolios with redemption-date alerts and county-import. Simple but unique.</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$300–$1,200/yr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ParcelFair</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Map-based tax-deed and pre-auction property research with photos, comps, and overlays. Strong UI for buyer-side due diligence.</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$300–$2,400/yr</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TaxSaleSupport.com</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Education-heavy tax-lien training with weekly auction list publication. Marginal data quality; education-tier offering.</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$300–$3,000/yr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US Tax Lien Association</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Membership organization with training, research, and county-list access. Older; replaced by NTLA for institutional credibility.</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$600–$3,000/yr</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National Tax Lien Association (NTLA)</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Trade association directory of institutional tax-lien investors and county-by-county auction calendars. Free directory; conference and research tier above.</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 / $1K–$5K</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Sheriff Sales (county-by-county)</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State sheriff departments operate foreclosure auctions on the courthouse steps or online (varies). Free public lists; manual jurisdiction tracking required.</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Treasurer-direct platforms</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Dozens of states (CO, NV, TX, OK, WY) host tax-deed and tax-lien sales on the County Treasurer or Trustee's website directly. Manual but free.</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bl>
    <w:p>
      <w:r>
        <w:br w:type="page"/>
      </w:r>
    </w:p>
    <w:p>
      <w:pPr>
        <w:pBdr>
          <w:bottom w:val="single" w:color="BC9C45" w:sz="12" w:space="4"/>
        </w:pBdr>
        <w:spacing w:after="60" w:before="0"/>
        <w:jc w:val="left"/>
      </w:pPr>
      <w:r>
        <w:rPr>
          <w:rFonts w:ascii="Arial" w:cs="Arial" w:eastAsia="Arial" w:hAnsi="Arial"/>
          <w:b/>
          <w:bCs/>
          <w:i w:val="false"/>
          <w:iCs w:val="false"/>
          <w:color w:val="BC9C45"/>
          <w:sz w:val="32"/>
          <w:szCs w:val="32"/>
        </w:rPr>
        <w:t xml:space="preserve">J.  </w:t>
      </w:r>
      <w:r>
        <w:rPr>
          <w:rFonts w:ascii="Arial" w:cs="Arial" w:eastAsia="Arial" w:hAnsi="Arial"/>
          <w:b/>
          <w:bCs/>
          <w:i w:val="false"/>
          <w:iCs w:val="false"/>
          <w:color w:val="0E3470"/>
          <w:sz w:val="32"/>
          <w:szCs w:val="32"/>
        </w:rPr>
        <w:t xml:space="preserve">GOVERNMENT &amp; SURPLUS REAL ESTATE CHANNELS</w:t>
      </w:r>
    </w:p>
    <w:p>
      <w:pPr>
        <w:spacing w:after="240" w:before="60"/>
        <w:jc w:val="left"/>
      </w:pPr>
      <w:r>
        <w:rPr>
          <w:rFonts w:ascii="Arial" w:cs="Arial" w:eastAsia="Arial" w:hAnsi="Arial"/>
          <w:b w:val="false"/>
          <w:bCs w:val="false"/>
          <w:i/>
          <w:iCs/>
          <w:color w:val="6B6B6B"/>
          <w:sz w:val="18"/>
          <w:szCs w:val="18"/>
        </w:rPr>
        <w:t xml:space="preserve">14 tools</w:t>
      </w:r>
    </w:p>
    <w:p>
      <w:pPr>
        <w:spacing w:after="60" w:before="60"/>
        <w:jc w:val="left"/>
      </w:pPr>
      <w:r>
        <w:rPr>
          <w:rFonts w:ascii="Arial" w:cs="Arial" w:eastAsia="Arial" w:hAnsi="Arial"/>
          <w:b/>
          <w:bCs/>
          <w:i w:val="false"/>
          <w:iCs w:val="false"/>
          <w:color w:val="0E3470"/>
          <w:sz w:val="22"/>
          <w:szCs w:val="22"/>
        </w:rPr>
        <w:t xml:space="preserve">Intent.  </w:t>
      </w:r>
    </w:p>
    <w:p>
      <w:pPr>
        <w:spacing w:after="360" w:before="0"/>
        <w:jc w:val="left"/>
      </w:pPr>
      <w:r>
        <w:rPr>
          <w:rFonts w:ascii="Arial" w:cs="Arial" w:eastAsia="Arial" w:hAnsi="Arial"/>
          <w:b w:val="false"/>
          <w:bCs w:val="false"/>
          <w:i w:val="false"/>
          <w:iCs w:val="false"/>
          <w:color w:val="000000"/>
          <w:sz w:val="22"/>
          <w:szCs w:val="22"/>
        </w:rPr>
        <w:t xml:space="preserve">Every federal, state, and quasi-public CRE disposition channel — GSA, HUD, USDA, VA, FDIC, and Treasury. Largely free public access; high effort, low competition.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4160"/>
        <w:gridCol w:w="1440"/>
        <w:gridCol w:w="800"/>
        <w:gridCol w:w="880"/>
      </w:tblGrid>
      <w:tr>
        <w:trPr>
          <w:tblHeader/>
        </w:trPr>
        <w:tc>
          <w:tcPr>
            <w:tcW w:type="dxa" w:w="208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Tool / Vendor</w:t>
            </w:r>
          </w:p>
        </w:tc>
        <w:tc>
          <w:tcPr>
            <w:tcW w:type="dxa" w:w="416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What It Does (One-Liner)</w:t>
            </w:r>
          </w:p>
        </w:tc>
        <w:tc>
          <w:tcPr>
            <w:tcW w:type="dxa" w:w="144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Annual Cost</w:t>
            </w:r>
          </w:p>
        </w:tc>
        <w:tc>
          <w:tcPr>
            <w:tcW w:type="dxa" w:w="80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API</w:t>
            </w:r>
          </w:p>
        </w:tc>
        <w:tc>
          <w:tcPr>
            <w:tcW w:type="dxa" w:w="88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Tier</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GSA Auctions (gsaauctions.gov)</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General Services Administration's federal real estate and surplus auction platform. The single channel for federal building dispositions.</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 to bidders</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T1</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RealEstateSales.gov (formerly USRealEstateSales)</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Federal real-estate sale aggregator pointing to GSA, USDA, VA, and other federal-agency dispositions. Free portal; underlying inventory varies.</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FDIC RI Marketplace</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Failed-bank receivership-asset and structured-transaction marketplace. Requires FDIC Loan Sales Purchaser Program qualification.</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 (qualification req.)</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T1</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FDIC Loan Sales Purchaser Program (LSPP)</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Pre-qualification required to bid on FDIC receivership loan and asset sales. Annual recertification; significant compliance burden.</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 (compliance burden)</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T1</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Treasury Forfeited Property</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Treasury Executive Office for Asset Forfeiture sales of seized real estate. Run through commercial auction partners (CWS Asset Mgmt).</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 to bidders</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U.S. Marshals Service Asset Forfeiture</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USMS-managed forfeited real-estate sales typically through commercial auction partners. Listings appear on Bid4Assets and similar.</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 to bidders</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HUD Homes (HUD HomePath alternative)</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FHA-foreclosed property listings with owner-occupant and investor bidding tiers. Heavily residential; small mixed-use occasionally.</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Fannie Mae HomePath</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Fannie Mae REO listings; almost entirely SFR/condo. Low CRE relevance but useful for mixed-use mortgage tracking.</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Freddie Mac HomeSteps</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Freddie Mac REO listings, near-mirror of HomePath. Very low CRE relevance.</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USDA Rural Development Properties</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USDA-foreclosed rural-housing and farmland REO listings. Specialty rural and small-town opportunity channel.</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VA Vendee Sales</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Department of Veterans Affairs REO program for VA-foreclosed properties. Almost entirely residential.</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GovPlanet (Liquidity Services)</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Federal-equipment and occasional real-estate auction platform under the Liquidity Services umbrella. Smaller real-estate volume.</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 to bidders</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AllSurplus / GovDeals (Liquidity Services)</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Combined state, county, and municipal surplus auction platform; same parent as GovPlanet. Strong municipal seller breadth.</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 to bidders</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State General Land Office sites (TX, NM, etc.)</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Several states publish state-owned real estate dispositions and mineral rights on dedicated sites (Texas GLO, New Mexico SLO, Arizona State Trust).</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bl>
    <w:p>
      <w:r>
        <w:br w:type="page"/>
      </w:r>
    </w:p>
    <w:p>
      <w:pPr>
        <w:pBdr>
          <w:bottom w:val="single" w:color="BC9C45" w:sz="12" w:space="4"/>
        </w:pBdr>
        <w:spacing w:after="60" w:before="0"/>
        <w:jc w:val="left"/>
      </w:pPr>
      <w:r>
        <w:rPr>
          <w:rFonts w:ascii="Arial" w:cs="Arial" w:eastAsia="Arial" w:hAnsi="Arial"/>
          <w:b/>
          <w:bCs/>
          <w:i w:val="false"/>
          <w:iCs w:val="false"/>
          <w:color w:val="BC9C45"/>
          <w:sz w:val="32"/>
          <w:szCs w:val="32"/>
        </w:rPr>
        <w:t xml:space="preserve">K.  </w:t>
      </w:r>
      <w:r>
        <w:rPr>
          <w:rFonts w:ascii="Arial" w:cs="Arial" w:eastAsia="Arial" w:hAnsi="Arial"/>
          <w:b/>
          <w:bCs/>
          <w:i w:val="false"/>
          <w:iCs w:val="false"/>
          <w:color w:val="0E3470"/>
          <w:sz w:val="32"/>
          <w:szCs w:val="32"/>
        </w:rPr>
        <w:t xml:space="preserve">FOOT TRAFFIC, MOBILITY &amp; DEMOGRAPHIC INTELLIGENCE</w:t>
      </w:r>
    </w:p>
    <w:p>
      <w:pPr>
        <w:spacing w:after="240" w:before="60"/>
        <w:jc w:val="left"/>
      </w:pPr>
      <w:r>
        <w:rPr>
          <w:rFonts w:ascii="Arial" w:cs="Arial" w:eastAsia="Arial" w:hAnsi="Arial"/>
          <w:b w:val="false"/>
          <w:bCs w:val="false"/>
          <w:i/>
          <w:iCs/>
          <w:color w:val="6B6B6B"/>
          <w:sz w:val="18"/>
          <w:szCs w:val="18"/>
        </w:rPr>
        <w:t xml:space="preserve">20 tools</w:t>
      </w:r>
    </w:p>
    <w:p>
      <w:pPr>
        <w:spacing w:after="60" w:before="60"/>
        <w:jc w:val="left"/>
      </w:pPr>
      <w:r>
        <w:rPr>
          <w:rFonts w:ascii="Arial" w:cs="Arial" w:eastAsia="Arial" w:hAnsi="Arial"/>
          <w:b/>
          <w:bCs/>
          <w:i w:val="false"/>
          <w:iCs w:val="false"/>
          <w:color w:val="0E3470"/>
          <w:sz w:val="22"/>
          <w:szCs w:val="22"/>
        </w:rPr>
        <w:t xml:space="preserve">Intent.  </w:t>
      </w:r>
    </w:p>
    <w:p>
      <w:pPr>
        <w:spacing w:after="360" w:before="0"/>
        <w:jc w:val="left"/>
      </w:pPr>
      <w:r>
        <w:rPr>
          <w:rFonts w:ascii="Arial" w:cs="Arial" w:eastAsia="Arial" w:hAnsi="Arial"/>
          <w:b w:val="false"/>
          <w:bCs w:val="false"/>
          <w:i w:val="false"/>
          <w:iCs w:val="false"/>
          <w:color w:val="000000"/>
          <w:sz w:val="22"/>
          <w:szCs w:val="22"/>
        </w:rPr>
        <w:t xml:space="preserve">Anchor-tenant departure detection, retail and office vibrancy measurement, and demographic shifts that affect property value 6–18 months before they show in lease renewals.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4160"/>
        <w:gridCol w:w="1440"/>
        <w:gridCol w:w="800"/>
        <w:gridCol w:w="880"/>
      </w:tblGrid>
      <w:tr>
        <w:trPr>
          <w:tblHeader/>
        </w:trPr>
        <w:tc>
          <w:tcPr>
            <w:tcW w:type="dxa" w:w="208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Tool / Vendor</w:t>
            </w:r>
          </w:p>
        </w:tc>
        <w:tc>
          <w:tcPr>
            <w:tcW w:type="dxa" w:w="416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What It Does (One-Liner)</w:t>
            </w:r>
          </w:p>
        </w:tc>
        <w:tc>
          <w:tcPr>
            <w:tcW w:type="dxa" w:w="144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Annual Cost</w:t>
            </w:r>
          </w:p>
        </w:tc>
        <w:tc>
          <w:tcPr>
            <w:tcW w:type="dxa" w:w="80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API</w:t>
            </w:r>
          </w:p>
        </w:tc>
        <w:tc>
          <w:tcPr>
            <w:tcW w:type="dxa" w:w="88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Tier</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Placer.ai</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Mobile-device foot-traffic analytics on 200K+ retail, office, hospital, and venue locations with anchor-tenant tracking and trade-area analysis. Industry standard.</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$5K–$15K/yr/seat</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T1</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SafeGraph</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Place data and points-of-interest with foot-traffic patterns; SafeGraph Spend overlays card-spend data. Strong API; data-engineering-friendly.</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$10K–$100K+/yr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 (primary)</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Advan Research</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Mobility and foot-traffic analytics with strong office and industrial coverage including weekly office-occupancy data. Increasingly used by REIT analysts.</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$20K–$100K+/yr</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Unacast</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Location-data platform with foot-traffic, retail-spend, and demographic layers. Smaller than Placer; stronger international.</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$10K–$50K+/yr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Veraset</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Raw mobile-device location data feed; engineering-team product for custom analytics. Privacy-compliant since 2022.</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$25K–$200K+/yr</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 (primary)</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Gravy Analytics</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Mobile-location intelligence with demographic and brand-affinity overlays. Acquired by Unacast / merged into peer ecosystem in 2024.</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$15K–$60K/yr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Near (Azira)</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Global location-intelligence platform with consumer-behavior segmentation. Stronger international; some U.S. CRE applications.</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Custom</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Cuebiq (Quad)</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Location analytics specializing in OOH and physical-retail measurement. Acquired by Quad/Graphics; integrated into ad-targeting workflows.</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Custom</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Esri Business Analyst</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Demographic, business, consumer-spending, and traffic data with map-based site-selection and trade-area tools. The institutional GIS standard.</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$1,500–$10,000/yr/seat</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STI: PopStats (Synergos / GADS)</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Demographic, employment, and consumer-spending estimates updated quarterly with strong forward projections. Used by major CRE underwriters.</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$3K–$15K/yr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Claritas</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Demographic and segmentation data including PRIZM consumer profiles, geocoded household-level data, and direct-mail targeting. Strong on consumer segmentation.</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$3K–$30K+/yr</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Nielsen Scarborough</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Local consumer survey data covering 200K+ U.S. households with media, retail, and lifestyle behavior. The legacy retail demographic standard.</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Custom</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AlphaMap</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CRE-specific market mapping with retail tenant intelligence, ownership overlays, and trade-area tools. Solid mid-market alternative to Placer + Esri.</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$1,200–$8,000/yr</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Tango Analytics</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Site-selection and lease-administration platform with predictive-analytics overlays. Heavy enterprise-tenant client base.</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Enterprise custom</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Buxton</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Consumer-analytics and site-selection consultancy with major retail and restaurant clients. Service-heavy delivery model rather than software.</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Custom consulting</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Pitney Bowes Spectrum / Mosaic</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Demographic segmentation, trade-area, and consumer-behavior data successor to MapInfo. Strong international and household-level data.</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$5K–$30K/yr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Kalibrate Site Intelligence</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Site-selection software focused on fuel/c-store, QSR, and grocery. Industry-specific but gold-standard in those verticals.</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Custom</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U.S. Census ACS / Bureau API</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American Community Survey detailed demographic data at block-group level, plus decennial Census. Free, authoritative, and machine-accessible.</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Bureau of Labor Statistics (BLS) API</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Employment, wage, and price data at metro and county level. Foundation for any market-rent or job-growth analysis.</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Bureau of Economic Analysis (BEA) API</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GDP, personal income, and industry data at state and metro level. Critical for office-job-growth and consumer-spending projections.</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bl>
    <w:p>
      <w:r>
        <w:br w:type="page"/>
      </w:r>
    </w:p>
    <w:p>
      <w:pPr>
        <w:pBdr>
          <w:bottom w:val="single" w:color="BC9C45" w:sz="12" w:space="4"/>
        </w:pBdr>
        <w:spacing w:after="60" w:before="0"/>
        <w:jc w:val="left"/>
      </w:pPr>
      <w:r>
        <w:rPr>
          <w:rFonts w:ascii="Arial" w:cs="Arial" w:eastAsia="Arial" w:hAnsi="Arial"/>
          <w:b/>
          <w:bCs/>
          <w:i w:val="false"/>
          <w:iCs w:val="false"/>
          <w:color w:val="BC9C45"/>
          <w:sz w:val="32"/>
          <w:szCs w:val="32"/>
        </w:rPr>
        <w:t xml:space="preserve">L.  </w:t>
      </w:r>
      <w:r>
        <w:rPr>
          <w:rFonts w:ascii="Arial" w:cs="Arial" w:eastAsia="Arial" w:hAnsi="Arial"/>
          <w:b/>
          <w:bCs/>
          <w:i w:val="false"/>
          <w:iCs w:val="false"/>
          <w:color w:val="0E3470"/>
          <w:sz w:val="32"/>
          <w:szCs w:val="32"/>
        </w:rPr>
        <w:t xml:space="preserve">LEASE COMPS &amp; OCCUPANCY DATA</w:t>
      </w:r>
    </w:p>
    <w:p>
      <w:pPr>
        <w:spacing w:after="240" w:before="60"/>
        <w:jc w:val="left"/>
      </w:pPr>
      <w:r>
        <w:rPr>
          <w:rFonts w:ascii="Arial" w:cs="Arial" w:eastAsia="Arial" w:hAnsi="Arial"/>
          <w:b w:val="false"/>
          <w:bCs w:val="false"/>
          <w:i/>
          <w:iCs/>
          <w:color w:val="6B6B6B"/>
          <w:sz w:val="18"/>
          <w:szCs w:val="18"/>
        </w:rPr>
        <w:t xml:space="preserve">12 tools</w:t>
      </w:r>
    </w:p>
    <w:p>
      <w:pPr>
        <w:spacing w:after="60" w:before="60"/>
        <w:jc w:val="left"/>
      </w:pPr>
      <w:r>
        <w:rPr>
          <w:rFonts w:ascii="Arial" w:cs="Arial" w:eastAsia="Arial" w:hAnsi="Arial"/>
          <w:b/>
          <w:bCs/>
          <w:i w:val="false"/>
          <w:iCs w:val="false"/>
          <w:color w:val="0E3470"/>
          <w:sz w:val="22"/>
          <w:szCs w:val="22"/>
        </w:rPr>
        <w:t xml:space="preserve">Intent.  </w:t>
      </w:r>
    </w:p>
    <w:p>
      <w:pPr>
        <w:spacing w:after="360" w:before="0"/>
        <w:jc w:val="left"/>
      </w:pPr>
      <w:r>
        <w:rPr>
          <w:rFonts w:ascii="Arial" w:cs="Arial" w:eastAsia="Arial" w:hAnsi="Arial"/>
          <w:b w:val="false"/>
          <w:bCs w:val="false"/>
          <w:i w:val="false"/>
          <w:iCs w:val="false"/>
          <w:color w:val="000000"/>
          <w:sz w:val="22"/>
          <w:szCs w:val="22"/>
        </w:rPr>
        <w:t xml:space="preserve">Verify what tenants actually pay (vs. asking rents) — the single largest gap in seller-supplied financials. CompStak crowdsourcing has industrialized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4160"/>
        <w:gridCol w:w="1440"/>
        <w:gridCol w:w="800"/>
        <w:gridCol w:w="880"/>
      </w:tblGrid>
      <w:tr>
        <w:trPr>
          <w:tblHeader/>
        </w:trPr>
        <w:tc>
          <w:tcPr>
            <w:tcW w:type="dxa" w:w="208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Tool / Vendor</w:t>
            </w:r>
          </w:p>
        </w:tc>
        <w:tc>
          <w:tcPr>
            <w:tcW w:type="dxa" w:w="416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What It Does (One-Liner)</w:t>
            </w:r>
          </w:p>
        </w:tc>
        <w:tc>
          <w:tcPr>
            <w:tcW w:type="dxa" w:w="144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Annual Cost</w:t>
            </w:r>
          </w:p>
        </w:tc>
        <w:tc>
          <w:tcPr>
            <w:tcW w:type="dxa" w:w="80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API</w:t>
            </w:r>
          </w:p>
        </w:tc>
        <w:tc>
          <w:tcPr>
            <w:tcW w:type="dxa" w:w="88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Tier</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CompStak</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2.3M+ verified lease comps from 35,000+ CRE professionals on a barter-credit model — submit your comps, access others. The industry's most accurate effective-rent benchmark.</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$2K–$30K/yr (or barter)</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 (Enterprise)</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T1</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CoStar Comps</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CoStar's lease and sales comp database integrated into the main CoStar product. Larger raw count than CompStak but lower verification.</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Bundled with CoStar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T1</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Crexi Comps (LeaseComps)</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Crexi's lease and sales comp database with hold-period filters. Free tier on basic comps; deeper data behind subscription.</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Bundled with Crexi</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RealPage MPF Research</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Multifamily market-rent surveys covering 15M+ U.S. units with monthly updates. The institutional multifamily benchmark.</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$5K–$25K/yr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Reis (Moody's Analytics CRE)</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Office, retail, multifamily, industrial, and self-storage submarket forecasts and comps. Now under Moody's Analytics CRE umbrella.</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$10K–$50K+/yr</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Yardi Matrix Multifamily / Office</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Property-level multifamily, office, and industrial market data with rent, occupancy, and ownership intelligence. Strong forecast layer.</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$8K–$30K/yr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ALN Apartment Data</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Texas and Sun Belt multifamily market-rent and concession data with property-level granularity. The Texas standard for multifamily underwriting.</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$3K–$15K/yr</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RentCafe</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Yardi's consumer-facing multifamily listings site with national rent data. Useful free signal for asking rents at the property level.</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 (consumer)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CommercialEdge (Yardi)</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Office, industrial, and self-storage market analytics including transaction comps and ownership data. Bundled with Matrix or standalone.</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$8K–$30K/yr</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Apartments.com (CoStar)</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CoStar's consumer multifamily marketplace with national listing data. Useful for asking rents and concession-package signals.</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 / Listing fees</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REBNY Listing Service (RLS)</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NYC commercial and residential listing service operated by REBNY. The standard NYC commercial leasing data source.</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$1K–$10K/yr (member)</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HelloData.ai</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Multifamily market intelligence with AI-driven competitive-set rent analysis. Newer entrant; aggressive pricing.</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$1,200–$6,000/yr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bl>
    <w:p>
      <w:r>
        <w:br w:type="page"/>
      </w:r>
    </w:p>
    <w:p>
      <w:pPr>
        <w:pBdr>
          <w:bottom w:val="single" w:color="BC9C45" w:sz="12" w:space="4"/>
        </w:pBdr>
        <w:spacing w:after="60" w:before="0"/>
        <w:jc w:val="left"/>
      </w:pPr>
      <w:r>
        <w:rPr>
          <w:rFonts w:ascii="Arial" w:cs="Arial" w:eastAsia="Arial" w:hAnsi="Arial"/>
          <w:b/>
          <w:bCs/>
          <w:i w:val="false"/>
          <w:iCs w:val="false"/>
          <w:color w:val="BC9C45"/>
          <w:sz w:val="32"/>
          <w:szCs w:val="32"/>
        </w:rPr>
        <w:t xml:space="preserve">M.  </w:t>
      </w:r>
      <w:r>
        <w:rPr>
          <w:rFonts w:ascii="Arial" w:cs="Arial" w:eastAsia="Arial" w:hAnsi="Arial"/>
          <w:b/>
          <w:bCs/>
          <w:i w:val="false"/>
          <w:iCs w:val="false"/>
          <w:color w:val="0E3470"/>
          <w:sz w:val="32"/>
          <w:szCs w:val="32"/>
        </w:rPr>
        <w:t xml:space="preserve">MARKET FORECASTS &amp; MACRO ECONOMIC INTELLIGENCE</w:t>
      </w:r>
    </w:p>
    <w:p>
      <w:pPr>
        <w:spacing w:after="240" w:before="60"/>
        <w:jc w:val="left"/>
      </w:pPr>
      <w:r>
        <w:rPr>
          <w:rFonts w:ascii="Arial" w:cs="Arial" w:eastAsia="Arial" w:hAnsi="Arial"/>
          <w:b w:val="false"/>
          <w:bCs w:val="false"/>
          <w:i/>
          <w:iCs/>
          <w:color w:val="6B6B6B"/>
          <w:sz w:val="18"/>
          <w:szCs w:val="18"/>
        </w:rPr>
        <w:t xml:space="preserve">15 tools</w:t>
      </w:r>
    </w:p>
    <w:p>
      <w:pPr>
        <w:spacing w:after="60" w:before="60"/>
        <w:jc w:val="left"/>
      </w:pPr>
      <w:r>
        <w:rPr>
          <w:rFonts w:ascii="Arial" w:cs="Arial" w:eastAsia="Arial" w:hAnsi="Arial"/>
          <w:b/>
          <w:bCs/>
          <w:i w:val="false"/>
          <w:iCs w:val="false"/>
          <w:color w:val="0E3470"/>
          <w:sz w:val="22"/>
          <w:szCs w:val="22"/>
        </w:rPr>
        <w:t xml:space="preserve">Intent.  </w:t>
      </w:r>
    </w:p>
    <w:p>
      <w:pPr>
        <w:spacing w:after="360" w:before="0"/>
        <w:jc w:val="left"/>
      </w:pPr>
      <w:r>
        <w:rPr>
          <w:rFonts w:ascii="Arial" w:cs="Arial" w:eastAsia="Arial" w:hAnsi="Arial"/>
          <w:b w:val="false"/>
          <w:bCs w:val="false"/>
          <w:i w:val="false"/>
          <w:iCs w:val="false"/>
          <w:color w:val="000000"/>
          <w:sz w:val="22"/>
          <w:szCs w:val="22"/>
        </w:rPr>
        <w:t xml:space="preserve">Submarket-level rent and cap-rate forecasts. The institutional research layer above CoStar — Green Street, REIS, Cushman, JLL, CBRE, Newmark research divisions.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4160"/>
        <w:gridCol w:w="1440"/>
        <w:gridCol w:w="800"/>
        <w:gridCol w:w="880"/>
      </w:tblGrid>
      <w:tr>
        <w:trPr>
          <w:tblHeader/>
        </w:trPr>
        <w:tc>
          <w:tcPr>
            <w:tcW w:type="dxa" w:w="208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Tool / Vendor</w:t>
            </w:r>
          </w:p>
        </w:tc>
        <w:tc>
          <w:tcPr>
            <w:tcW w:type="dxa" w:w="416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What It Does (One-Liner)</w:t>
            </w:r>
          </w:p>
        </w:tc>
        <w:tc>
          <w:tcPr>
            <w:tcW w:type="dxa" w:w="144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Annual Cost</w:t>
            </w:r>
          </w:p>
        </w:tc>
        <w:tc>
          <w:tcPr>
            <w:tcW w:type="dxa" w:w="80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API</w:t>
            </w:r>
          </w:p>
        </w:tc>
        <w:tc>
          <w:tcPr>
            <w:tcW w:type="dxa" w:w="88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Tier</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Green Street</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384 U.S. markets with 5-year rent and cap-rate forecasts and proprietary REIT and private-market indexes. The institutional gold standard for forward-looking CRE research.</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$50K–$200K+/yr</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CBRE Econometric Advisors (CBRE-EA)</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Submarket-level forecasts across all major property types with quarterly cap-rate surveys. Comparable to Green Street with stronger data depth.</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$30K–$100K+/yr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JLL Research / Insights</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Free public quarterly market reports plus paid client-portal forecasts. Strong office and industrial coverage; logistics-leading research.</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 / Custom</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Cushman &amp; Wakefield Research</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Free quarterly market reports, occupier-services research, and capital-markets commentary. Strong investment-sales perspective.</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 / Custom</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Newmark Research</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Free quarterly market reports plus capital-markets commentary. Stronger debt-and-structured-finance research than peers.</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 / Custom</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Colliers Research</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Free global market reports with strong international coverage. Useful complement to U.S.-focused research from CBRE/JLL.</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 / Custom</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Marcus &amp; Millichap Research</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Free market reports with stronger small-balance and middle-market coverage than the Big Four. Useful for sub-$25M asset classes.</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 / Custom</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RealPage Forecasts</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Multifamily 5-year submarket rent and concession forecasts. The multifamily-specialist analog to Green Street.</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$5K–$30K/yr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RCLCO</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Real estate consulting firm with strong residential, mixed-use, and master-planned-community research. Service-heavy delivery.</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Custom consulting</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Capital Economics</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Independent macroeconomic research with U.S. and global property-team coverage. Stronger macro framing than CRE-specific research.</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$10K–$50K+/yr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Oxford Economics</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Global macro and CRE-specific forecasting with metro-level GDP and employment projections. Strong scenario-modeling tooling.</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$15K–$75K+/yr</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Moody's Analytics</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Macro forecasting, scenario analysis, and CRE-specific REIS data integration. The institutional standard for CCAR/DFAST stress testing.</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$25K–$150K+/yr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Federal Reserve FRED</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Free Federal Reserve Economic Data covering 800K+ U.S. and global economic time series. Authoritative, machine-accessible, and indispensable.</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BLS Local Area Statistics</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Metro-level employment, wage, and labor-force data updated monthly. Critical for any market-level rent or vacancy forecast.</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BEA Regional Data</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State and metro GDP, personal income, and industry data quarterly. Essential for office-tenant-base and consumer-spending projections.</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bl>
    <w:p>
      <w:r>
        <w:br w:type="page"/>
      </w:r>
    </w:p>
    <w:p>
      <w:pPr>
        <w:pBdr>
          <w:bottom w:val="single" w:color="BC9C45" w:sz="12" w:space="4"/>
        </w:pBdr>
        <w:spacing w:after="60" w:before="0"/>
        <w:jc w:val="left"/>
      </w:pPr>
      <w:r>
        <w:rPr>
          <w:rFonts w:ascii="Arial" w:cs="Arial" w:eastAsia="Arial" w:hAnsi="Arial"/>
          <w:b/>
          <w:bCs/>
          <w:i w:val="false"/>
          <w:iCs w:val="false"/>
          <w:color w:val="BC9C45"/>
          <w:sz w:val="32"/>
          <w:szCs w:val="32"/>
        </w:rPr>
        <w:t xml:space="preserve">N.  </w:t>
      </w:r>
      <w:r>
        <w:rPr>
          <w:rFonts w:ascii="Arial" w:cs="Arial" w:eastAsia="Arial" w:hAnsi="Arial"/>
          <w:b/>
          <w:bCs/>
          <w:i w:val="false"/>
          <w:iCs w:val="false"/>
          <w:color w:val="0E3470"/>
          <w:sz w:val="32"/>
          <w:szCs w:val="32"/>
        </w:rPr>
        <w:t xml:space="preserve">CAP RATE &amp; INVESTMENT-SALES COMPS</w:t>
      </w:r>
    </w:p>
    <w:p>
      <w:pPr>
        <w:spacing w:after="240" w:before="60"/>
        <w:jc w:val="left"/>
      </w:pPr>
      <w:r>
        <w:rPr>
          <w:rFonts w:ascii="Arial" w:cs="Arial" w:eastAsia="Arial" w:hAnsi="Arial"/>
          <w:b w:val="false"/>
          <w:bCs w:val="false"/>
          <w:i/>
          <w:iCs/>
          <w:color w:val="6B6B6B"/>
          <w:sz w:val="18"/>
          <w:szCs w:val="18"/>
        </w:rPr>
        <w:t xml:space="preserve">11 tools</w:t>
      </w:r>
    </w:p>
    <w:p>
      <w:pPr>
        <w:spacing w:after="60" w:before="60"/>
        <w:jc w:val="left"/>
      </w:pPr>
      <w:r>
        <w:rPr>
          <w:rFonts w:ascii="Arial" w:cs="Arial" w:eastAsia="Arial" w:hAnsi="Arial"/>
          <w:b/>
          <w:bCs/>
          <w:i w:val="false"/>
          <w:iCs w:val="false"/>
          <w:color w:val="0E3470"/>
          <w:sz w:val="22"/>
          <w:szCs w:val="22"/>
        </w:rPr>
        <w:t xml:space="preserve">Intent.  </w:t>
      </w:r>
    </w:p>
    <w:p>
      <w:pPr>
        <w:spacing w:after="360" w:before="0"/>
        <w:jc w:val="left"/>
      </w:pPr>
      <w:r>
        <w:rPr>
          <w:rFonts w:ascii="Arial" w:cs="Arial" w:eastAsia="Arial" w:hAnsi="Arial"/>
          <w:b w:val="false"/>
          <w:bCs w:val="false"/>
          <w:i w:val="false"/>
          <w:iCs w:val="false"/>
          <w:color w:val="000000"/>
          <w:sz w:val="22"/>
          <w:szCs w:val="22"/>
        </w:rPr>
        <w:t xml:space="preserve">What did the most recent comparable trade for, who bought it, and at what cap rate. Verifiable transaction data for every underwriting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4160"/>
        <w:gridCol w:w="1440"/>
        <w:gridCol w:w="800"/>
        <w:gridCol w:w="880"/>
      </w:tblGrid>
      <w:tr>
        <w:trPr>
          <w:tblHeader/>
        </w:trPr>
        <w:tc>
          <w:tcPr>
            <w:tcW w:type="dxa" w:w="208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Tool / Vendor</w:t>
            </w:r>
          </w:p>
        </w:tc>
        <w:tc>
          <w:tcPr>
            <w:tcW w:type="dxa" w:w="416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What It Does (One-Liner)</w:t>
            </w:r>
          </w:p>
        </w:tc>
        <w:tc>
          <w:tcPr>
            <w:tcW w:type="dxa" w:w="144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Annual Cost</w:t>
            </w:r>
          </w:p>
        </w:tc>
        <w:tc>
          <w:tcPr>
            <w:tcW w:type="dxa" w:w="80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API</w:t>
            </w:r>
          </w:p>
        </w:tc>
        <w:tc>
          <w:tcPr>
            <w:tcW w:type="dxa" w:w="88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Tier</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MSCI Real Capital Analytics</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$50T+ global transaction database — every CRE deal $2.5M+ since 2001 with buyer, seller, cap rate, and ownership intelligence. The transaction-data benchmark.</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$25K–$100K+/yr</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CoStar Comps Pro</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CoStar's investment-sales comp database with transaction-level cap rates, IRRs, and buyer identities. Bundled with main CoStar product.</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Bundled with CoStar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T1</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Green Street Sales Database</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REIT and private-market transaction comp database with proprietary nominal-cap and economic-cap calculations. Tighter universe; institutional only.</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Bundled with Green Street</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Crexi Sales Comps</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Crexi's investment-sales comp database with broker-uploaded and verified transactions. Stronger small-CRE and middle-market coverage.</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Bundled with Crexi</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CBRE-EA Cap Rate Survey</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Semi-annual cap-rate survey across all property types and U.S. markets. Free public summary; deeper underlying data behind CBRE-EA.</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 / Bundled CBRE-EA</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Cushman &amp; Wakefield Cap Rate Report</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Quarterly U.S. and global cap-rate report by property type and market. Free PDF distribution; useful institutional reference.</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PwC / Korpacz Real Estate Investor Survey</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Quarterly investor-sentiment survey with implied yields and underwriting assumptions across major property types. Free quarterly report.</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RERC (Real Estate Research Corporation)</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Quarterly institutional-investor sentiment and cap-rate survey across property types. Long history; smaller-tier than Korpacz/CBRE.</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$1,200–$5,000/yr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Situs RERC</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Successor to legacy RERC with stronger institutional-investor coverage. Quarterly survey with proprietary cap-rate indexes.</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Custom</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NCREIF Property Index (NPI)</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National Council of Real Estate Investment Fiduciaries quarterly index covering institutional CRE returns. The institutional return benchmark since 1978.</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Membership $5K+/yr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NCREIF Open-End Diversified Core Equity (ODCE)</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Quarterly performance index of open-end core CRE funds. The institutional benchmark for core fund managers.</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Bundled NCREIF</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bl>
    <w:p>
      <w:r>
        <w:br w:type="page"/>
      </w:r>
    </w:p>
    <w:p>
      <w:pPr>
        <w:pBdr>
          <w:bottom w:val="single" w:color="BC9C45" w:sz="12" w:space="4"/>
        </w:pBdr>
        <w:spacing w:after="60" w:before="0"/>
        <w:jc w:val="left"/>
      </w:pPr>
      <w:r>
        <w:rPr>
          <w:rFonts w:ascii="Arial" w:cs="Arial" w:eastAsia="Arial" w:hAnsi="Arial"/>
          <w:b/>
          <w:bCs/>
          <w:i w:val="false"/>
          <w:iCs w:val="false"/>
          <w:color w:val="BC9C45"/>
          <w:sz w:val="32"/>
          <w:szCs w:val="32"/>
        </w:rPr>
        <w:t xml:space="preserve">O.  </w:t>
      </w:r>
      <w:r>
        <w:rPr>
          <w:rFonts w:ascii="Arial" w:cs="Arial" w:eastAsia="Arial" w:hAnsi="Arial"/>
          <w:b/>
          <w:bCs/>
          <w:i w:val="false"/>
          <w:iCs w:val="false"/>
          <w:color w:val="0E3470"/>
          <w:sz w:val="32"/>
          <w:szCs w:val="32"/>
        </w:rPr>
        <w:t xml:space="preserve">CRE-SPECIFIC AI / DOCUMENT INTELLIGENCE / LEASE ABSTRACTION</w:t>
      </w:r>
    </w:p>
    <w:p>
      <w:pPr>
        <w:spacing w:after="240" w:before="60"/>
        <w:jc w:val="left"/>
      </w:pPr>
      <w:r>
        <w:rPr>
          <w:rFonts w:ascii="Arial" w:cs="Arial" w:eastAsia="Arial" w:hAnsi="Arial"/>
          <w:b w:val="false"/>
          <w:bCs w:val="false"/>
          <w:i/>
          <w:iCs/>
          <w:color w:val="6B6B6B"/>
          <w:sz w:val="18"/>
          <w:szCs w:val="18"/>
        </w:rPr>
        <w:t xml:space="preserve">19 tools</w:t>
      </w:r>
    </w:p>
    <w:p>
      <w:pPr>
        <w:spacing w:after="60" w:before="60"/>
        <w:jc w:val="left"/>
      </w:pPr>
      <w:r>
        <w:rPr>
          <w:rFonts w:ascii="Arial" w:cs="Arial" w:eastAsia="Arial" w:hAnsi="Arial"/>
          <w:b/>
          <w:bCs/>
          <w:i w:val="false"/>
          <w:iCs w:val="false"/>
          <w:color w:val="0E3470"/>
          <w:sz w:val="22"/>
          <w:szCs w:val="22"/>
        </w:rPr>
        <w:t xml:space="preserve">Intent.  </w:t>
      </w:r>
    </w:p>
    <w:p>
      <w:pPr>
        <w:spacing w:after="360" w:before="0"/>
        <w:jc w:val="left"/>
      </w:pPr>
      <w:r>
        <w:rPr>
          <w:rFonts w:ascii="Arial" w:cs="Arial" w:eastAsia="Arial" w:hAnsi="Arial"/>
          <w:b w:val="false"/>
          <w:bCs w:val="false"/>
          <w:i w:val="false"/>
          <w:iCs w:val="false"/>
          <w:color w:val="000000"/>
          <w:sz w:val="22"/>
          <w:szCs w:val="22"/>
        </w:rPr>
        <w:t xml:space="preserve">Convert PDF rent rolls, leases, and OMs into structured data. The category that has 10x'd in the last 18 months; quality and pricing have inverted from legal-tech roots.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4160"/>
        <w:gridCol w:w="1440"/>
        <w:gridCol w:w="800"/>
        <w:gridCol w:w="880"/>
      </w:tblGrid>
      <w:tr>
        <w:trPr>
          <w:tblHeader/>
        </w:trPr>
        <w:tc>
          <w:tcPr>
            <w:tcW w:type="dxa" w:w="208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Tool / Vendor</w:t>
            </w:r>
          </w:p>
        </w:tc>
        <w:tc>
          <w:tcPr>
            <w:tcW w:type="dxa" w:w="416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What It Does (One-Liner)</w:t>
            </w:r>
          </w:p>
        </w:tc>
        <w:tc>
          <w:tcPr>
            <w:tcW w:type="dxa" w:w="144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Annual Cost</w:t>
            </w:r>
          </w:p>
        </w:tc>
        <w:tc>
          <w:tcPr>
            <w:tcW w:type="dxa" w:w="80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API</w:t>
            </w:r>
          </w:p>
        </w:tc>
        <w:tc>
          <w:tcPr>
            <w:tcW w:type="dxa" w:w="88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Tier</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Prophia</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AI-powered lease abstraction with 99% accuracy through the Prophia Essentials tier (with human review). Source-document hyperlink traceability; 215+ data fields per lease. Retail/office/industrial only.</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$20/lease–Custom enterprise</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T1</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Leverton (MRI Software)</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Enterprise lease abstraction extracting 150+ data points across 25 languages. Deep Yardi, MRI, and Argus integrations. JLL partnership.</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$15K–$100K+/yr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Kira Systems (Litera)</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Legal-grade contract review with 1,000+ provisions and 93–97% accuracy on lease terms. Originally for law firms; expanded to CRE due-diligence work.</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~$30K+/yr</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LeaseLens</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Per-lease AI abstraction at $25 per export with no subscription. Strong for occasional-use cases and small portfolios.</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$25/lease</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Lextract</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Structured 126-field lease extraction at $20/lease with confidence scoring on each field. Pure abstraction-as-a-service play.</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$20/lease</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V7 Go (V7 Labs)</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Document-intelligence platform with AI Citations linking every extracted field to source. 99% accuracy on lease abstraction; broad integrations including Yardi/MRI/Argus.</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Custom enterprise</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Evisort</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Contract intelligence with strong CLM integration. Originally legal-tech; CRE applicability via lease-management partners.</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$30K+/yr</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Lexion (now Docusign Iris)</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Contract intelligence acquired by Docusign in 2024. CRE relevance limited compared to peers; better for sales/procurement contracts.</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Custom</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ThoughtTrace (Thomson Reuters)</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Document understanding for energy and CRE leases with strong oil-and-gas heritage. Acquired by Thomson Reuters; integrated into Highq.</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Custom</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LegalSifter</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AI contract review with strong concept-flagging on commercial leases. Smaller installed base than Kira/Leverton.</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$15K+/yr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eBrevia (Donnelley)</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Document analysis and contract abstraction with broad legal-tech use. Donnelley-owned since 2018; CRE applicability via due-diligence buyers.</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Custom</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DocSumo</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AI document processing across rent rolls, T-12s, OMs, and CSV exports. Workflow-automation-first; lease-abstraction as one use case.</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$500–$5,000/mo</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Proda AI</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Specialized rent-roll abstraction with column mapping, normalization, and Argus/Excel export. The strongest pure rent-roll tool.</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Custom</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Henry AI</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AI presentation builder generating deal-ready CRE decks from underwriting data and comps. Output-focused tool for IC and pitch packages.</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$300–$1,500/mo</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Archer</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Multifamily underwriting platform with AI parsing and comps benchmarking. Operator/investor-focused; strong for multifamily acquisition shops.</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Custom</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Pipe.CRE</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Unstructured lease, sale, and expense comp data parsing from team Drives. Surfaces archived intelligence already inside the firm.</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Custom</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Dealpath AI Extract</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Dealpath's AI Studio module abstracting OM data and lease terms in &lt;1 minute with 95% stated accuracy. Integrated into Dealpath pipeline.</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Bundled with Dealpath</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Northspyre AI</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Project intelligence and AI-driven cost-tracking for CRE development and asset management. Operator/owner-tier tool.</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Custom</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Lobby CRE</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AI-assisted leasing data and operating-statement extraction. Smaller than Prophia; strong for owner-operators with mid-size portfolios.</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Custom</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bl>
    <w:p>
      <w:r>
        <w:br w:type="page"/>
      </w:r>
    </w:p>
    <w:p>
      <w:pPr>
        <w:pBdr>
          <w:bottom w:val="single" w:color="BC9C45" w:sz="12" w:space="4"/>
        </w:pBdr>
        <w:spacing w:after="60" w:before="0"/>
        <w:jc w:val="left"/>
      </w:pPr>
      <w:r>
        <w:rPr>
          <w:rFonts w:ascii="Arial" w:cs="Arial" w:eastAsia="Arial" w:hAnsi="Arial"/>
          <w:b/>
          <w:bCs/>
          <w:i w:val="false"/>
          <w:iCs w:val="false"/>
          <w:color w:val="BC9C45"/>
          <w:sz w:val="32"/>
          <w:szCs w:val="32"/>
        </w:rPr>
        <w:t xml:space="preserve">P.  </w:t>
      </w:r>
      <w:r>
        <w:rPr>
          <w:rFonts w:ascii="Arial" w:cs="Arial" w:eastAsia="Arial" w:hAnsi="Arial"/>
          <w:b/>
          <w:bCs/>
          <w:i w:val="false"/>
          <w:iCs w:val="false"/>
          <w:color w:val="0E3470"/>
          <w:sz w:val="32"/>
          <w:szCs w:val="32"/>
        </w:rPr>
        <w:t xml:space="preserve">UNDERWRITING, DEAL MANAGEMENT &amp; FINANCIAL MODELING</w:t>
      </w:r>
    </w:p>
    <w:p>
      <w:pPr>
        <w:spacing w:after="240" w:before="60"/>
        <w:jc w:val="left"/>
      </w:pPr>
      <w:r>
        <w:rPr>
          <w:rFonts w:ascii="Arial" w:cs="Arial" w:eastAsia="Arial" w:hAnsi="Arial"/>
          <w:b w:val="false"/>
          <w:bCs w:val="false"/>
          <w:i/>
          <w:iCs/>
          <w:color w:val="6B6B6B"/>
          <w:sz w:val="18"/>
          <w:szCs w:val="18"/>
        </w:rPr>
        <w:t xml:space="preserve">14 tools</w:t>
      </w:r>
    </w:p>
    <w:p>
      <w:pPr>
        <w:spacing w:after="60" w:before="60"/>
        <w:jc w:val="left"/>
      </w:pPr>
      <w:r>
        <w:rPr>
          <w:rFonts w:ascii="Arial" w:cs="Arial" w:eastAsia="Arial" w:hAnsi="Arial"/>
          <w:b/>
          <w:bCs/>
          <w:i w:val="false"/>
          <w:iCs w:val="false"/>
          <w:color w:val="0E3470"/>
          <w:sz w:val="22"/>
          <w:szCs w:val="22"/>
        </w:rPr>
        <w:t xml:space="preserve">Intent.  </w:t>
      </w:r>
    </w:p>
    <w:p>
      <w:pPr>
        <w:spacing w:after="360" w:before="0"/>
        <w:jc w:val="left"/>
      </w:pPr>
      <w:r>
        <w:rPr>
          <w:rFonts w:ascii="Arial" w:cs="Arial" w:eastAsia="Arial" w:hAnsi="Arial"/>
          <w:b w:val="false"/>
          <w:bCs w:val="false"/>
          <w:i w:val="false"/>
          <w:iCs w:val="false"/>
          <w:color w:val="000000"/>
          <w:sz w:val="22"/>
          <w:szCs w:val="22"/>
        </w:rPr>
        <w:t xml:space="preserve">The acquisition workflow stack — from offering memo to PSA execution. ARGUS for cash flows, Dealpath for deal-flow management, and the CRM/IC layer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4160"/>
        <w:gridCol w:w="1440"/>
        <w:gridCol w:w="800"/>
        <w:gridCol w:w="880"/>
      </w:tblGrid>
      <w:tr>
        <w:trPr>
          <w:tblHeader/>
        </w:trPr>
        <w:tc>
          <w:tcPr>
            <w:tcW w:type="dxa" w:w="208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Tool / Vendor</w:t>
            </w:r>
          </w:p>
        </w:tc>
        <w:tc>
          <w:tcPr>
            <w:tcW w:type="dxa" w:w="416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What It Does (One-Liner)</w:t>
            </w:r>
          </w:p>
        </w:tc>
        <w:tc>
          <w:tcPr>
            <w:tcW w:type="dxa" w:w="144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Annual Cost</w:t>
            </w:r>
          </w:p>
        </w:tc>
        <w:tc>
          <w:tcPr>
            <w:tcW w:type="dxa" w:w="80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API</w:t>
            </w:r>
          </w:p>
        </w:tc>
        <w:tc>
          <w:tcPr>
            <w:tcW w:type="dxa" w:w="88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Tier</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ARGUS Enterprise (Altus Group)</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DCF and lease-by-lease cash-flow modeling — the institutional standard for office, retail, and industrial valuation. Required for every credible IC package.</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$5K–$15K/yr/seat</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T1</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ARGUS Taliance / Refm / Voyanta</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Altus complementary tools for fund-level modeling, residential development, and CRE data warehousing. Bundled or standalone.</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$5K–$25K/yr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Dealpath</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CRE deal-flow management and IC pipeline platform with AI Extract module. The institutional acquisition-team CRM standard.</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$15K–$75K+/yr</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Northspyre</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Development-project intelligence with budget tracking, vendor management, and predictive analytics. Strong for ground-up and value-add projects.</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$15K–$50K+/yr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Honest Buildings (Procore)</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Project-management platform for CRE owners with cap-ex tracking. Acquired by Procore; integrated into broader construction stack.</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Custom</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Apto</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CRE-broker CRM with deal pipeline and prospect tracking. Broker-side product; useful for monitoring competitive deal flow.</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$1K–$5K/yr/seat</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ClientLook (LightBox)</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CRE-broker and acquisitions CRM with property and contact tracking. Now part of the LightBox bundle.</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$600–$3,600/yr</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RealNex</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End-to-end CRE platform combining CRM, financial analysis, and marketing tools. Smaller installed base; mid-market focus.</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$1,200–$8,000/yr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Salesforce Real Estate Industry Cloud</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Salesforce's vertical CRE solution with deal pipelines, investor relations, and partner management. Heavy customization burden.</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$15K–$100K+/yr</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Microsoft Dynamics 365 (CRE customizations)</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Microsoft's enterprise CRM with CRE accelerators. Strong if firm is Microsoft-stack; otherwise Salesforce or Dealpath.</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$1K+/yr/seat</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RealPage Investment Management</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Multifamily-focused investment management and reporting. Bundled with RealPage operating-platform.</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Bundled w/ RealPage</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Cherre Connect</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CRE data infrastructure connecting Yardi, MRI, ARGUS, and external feeds into a unified data layer. Enterprise-only; significant integration work.</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$50K–$250K+/yr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TheAnalyst PRO</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CRE financial-analysis and broker-tier underwriting tool with simpler interface than ARGUS. Useful for quick screens; not IC-grade.</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$60–$120/mo</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Excel + Custom Templates</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Industry-standard underwriting environment despite the dedicated tools above. Most acquisition shops still IC in Excel; ARGUS supplements.</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$100/yr/seat (M365)</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20"/>
                <w:szCs w:val="20"/>
              </w:rPr>
              <w:t xml:space="preserve">T1 (already active)</w:t>
            </w:r>
          </w:p>
        </w:tc>
      </w:tr>
    </w:tbl>
    <w:p>
      <w:r>
        <w:br w:type="page"/>
      </w:r>
    </w:p>
    <w:p>
      <w:pPr>
        <w:pBdr>
          <w:bottom w:val="single" w:color="BC9C45" w:sz="12" w:space="4"/>
        </w:pBdr>
        <w:spacing w:after="60" w:before="0"/>
        <w:jc w:val="left"/>
      </w:pPr>
      <w:r>
        <w:rPr>
          <w:rFonts w:ascii="Arial" w:cs="Arial" w:eastAsia="Arial" w:hAnsi="Arial"/>
          <w:b/>
          <w:bCs/>
          <w:i w:val="false"/>
          <w:iCs w:val="false"/>
          <w:color w:val="BC9C45"/>
          <w:sz w:val="32"/>
          <w:szCs w:val="32"/>
        </w:rPr>
        <w:t xml:space="preserve">Q.  </w:t>
      </w:r>
      <w:r>
        <w:rPr>
          <w:rFonts w:ascii="Arial" w:cs="Arial" w:eastAsia="Arial" w:hAnsi="Arial"/>
          <w:b/>
          <w:bCs/>
          <w:i w:val="false"/>
          <w:iCs w:val="false"/>
          <w:color w:val="0E3470"/>
          <w:sz w:val="32"/>
          <w:szCs w:val="32"/>
        </w:rPr>
        <w:t xml:space="preserve">PROPERTY MANAGEMENT PLATFORMS (OPERATOR INTELLIGENCE)</w:t>
      </w:r>
    </w:p>
    <w:p>
      <w:pPr>
        <w:spacing w:after="240" w:before="60"/>
        <w:jc w:val="left"/>
      </w:pPr>
      <w:r>
        <w:rPr>
          <w:rFonts w:ascii="Arial" w:cs="Arial" w:eastAsia="Arial" w:hAnsi="Arial"/>
          <w:b w:val="false"/>
          <w:bCs w:val="false"/>
          <w:i/>
          <w:iCs/>
          <w:color w:val="6B6B6B"/>
          <w:sz w:val="18"/>
          <w:szCs w:val="18"/>
        </w:rPr>
        <w:t xml:space="preserve">7 tools</w:t>
      </w:r>
    </w:p>
    <w:p>
      <w:pPr>
        <w:spacing w:after="60" w:before="60"/>
        <w:jc w:val="left"/>
      </w:pPr>
      <w:r>
        <w:rPr>
          <w:rFonts w:ascii="Arial" w:cs="Arial" w:eastAsia="Arial" w:hAnsi="Arial"/>
          <w:b/>
          <w:bCs/>
          <w:i w:val="false"/>
          <w:iCs w:val="false"/>
          <w:color w:val="0E3470"/>
          <w:sz w:val="22"/>
          <w:szCs w:val="22"/>
        </w:rPr>
        <w:t xml:space="preserve">Intent.  </w:t>
      </w:r>
    </w:p>
    <w:p>
      <w:pPr>
        <w:spacing w:after="360" w:before="0"/>
        <w:jc w:val="left"/>
      </w:pPr>
      <w:r>
        <w:rPr>
          <w:rFonts w:ascii="Arial" w:cs="Arial" w:eastAsia="Arial" w:hAnsi="Arial"/>
          <w:b w:val="false"/>
          <w:bCs w:val="false"/>
          <w:i w:val="false"/>
          <w:iCs w:val="false"/>
          <w:color w:val="000000"/>
          <w:sz w:val="22"/>
          <w:szCs w:val="22"/>
        </w:rPr>
        <w:t xml:space="preserve">Read-only intelligence on competing operators — what platforms they run, what concessions they're posting, and what partial info leaks through tenant portals.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4160"/>
        <w:gridCol w:w="1440"/>
        <w:gridCol w:w="800"/>
        <w:gridCol w:w="880"/>
      </w:tblGrid>
      <w:tr>
        <w:trPr>
          <w:tblHeader/>
        </w:trPr>
        <w:tc>
          <w:tcPr>
            <w:tcW w:type="dxa" w:w="208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Tool / Vendor</w:t>
            </w:r>
          </w:p>
        </w:tc>
        <w:tc>
          <w:tcPr>
            <w:tcW w:type="dxa" w:w="416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What It Does (One-Liner)</w:t>
            </w:r>
          </w:p>
        </w:tc>
        <w:tc>
          <w:tcPr>
            <w:tcW w:type="dxa" w:w="144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Annual Cost</w:t>
            </w:r>
          </w:p>
        </w:tc>
        <w:tc>
          <w:tcPr>
            <w:tcW w:type="dxa" w:w="80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API</w:t>
            </w:r>
          </w:p>
        </w:tc>
        <w:tc>
          <w:tcPr>
            <w:tcW w:type="dxa" w:w="88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Tier</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Yardi (full enterprise)</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Industry's largest CRE property-management platform. Yardi Voyager, Genesis, Breeze, and Investment Management; Matrix data extracted from this universe.</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$5K–$50K+/yr/seat</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MRI Software</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Enterprise property-management and accounting platform; Yardi's primary competitor at the institutional tier. Strong international.</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$5K–$50K+/yr/seat</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RealPage (OneSite, Spherexx)</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Multifamily property-management platform now owned by Thoma Bravo. Strong revenue-management module (YieldStar) is the industry tier-1.</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$3K–$25K+/yr</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AppFolio</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Mid-market property-management platform with strong residential focus and growing CRE. Cloud-native; SMB-friendly pricing.</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$1.40+/unit/mo</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Buildium</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RealPage-owned property-management platform for smaller portfolios. Residential-heavy.</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$50–$500+/mo</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Entrata</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Enterprise multifamily platform with strong leasing and resident-portal modules. Comparable tier to RealPage.</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Custom</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ResMan</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Multifamily platform acquired by Inhabit in 2024. Strong on tax-credit and affordable housing.</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Custom</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bl>
    <w:p>
      <w:r>
        <w:br w:type="page"/>
      </w:r>
    </w:p>
    <w:p>
      <w:pPr>
        <w:pBdr>
          <w:bottom w:val="single" w:color="BC9C45" w:sz="12" w:space="4"/>
        </w:pBdr>
        <w:spacing w:after="60" w:before="0"/>
        <w:jc w:val="left"/>
      </w:pPr>
      <w:r>
        <w:rPr>
          <w:rFonts w:ascii="Arial" w:cs="Arial" w:eastAsia="Arial" w:hAnsi="Arial"/>
          <w:b/>
          <w:bCs/>
          <w:i w:val="false"/>
          <w:iCs w:val="false"/>
          <w:color w:val="BC9C45"/>
          <w:sz w:val="32"/>
          <w:szCs w:val="32"/>
        </w:rPr>
        <w:t xml:space="preserve">R.  </w:t>
      </w:r>
      <w:r>
        <w:rPr>
          <w:rFonts w:ascii="Arial" w:cs="Arial" w:eastAsia="Arial" w:hAnsi="Arial"/>
          <w:b/>
          <w:bCs/>
          <w:i w:val="false"/>
          <w:iCs w:val="false"/>
          <w:color w:val="0E3470"/>
          <w:sz w:val="32"/>
          <w:szCs w:val="32"/>
        </w:rPr>
        <w:t xml:space="preserve">INVESTOR REPORTING / FUND ADMINISTRATION (COMPETITIVE INTEL)</w:t>
      </w:r>
    </w:p>
    <w:p>
      <w:pPr>
        <w:spacing w:after="240" w:before="60"/>
        <w:jc w:val="left"/>
      </w:pPr>
      <w:r>
        <w:rPr>
          <w:rFonts w:ascii="Arial" w:cs="Arial" w:eastAsia="Arial" w:hAnsi="Arial"/>
          <w:b w:val="false"/>
          <w:bCs w:val="false"/>
          <w:i/>
          <w:iCs/>
          <w:color w:val="6B6B6B"/>
          <w:sz w:val="18"/>
          <w:szCs w:val="18"/>
        </w:rPr>
        <w:t xml:space="preserve">11 tools</w:t>
      </w:r>
    </w:p>
    <w:p>
      <w:pPr>
        <w:spacing w:after="60" w:before="60"/>
        <w:jc w:val="left"/>
      </w:pPr>
      <w:r>
        <w:rPr>
          <w:rFonts w:ascii="Arial" w:cs="Arial" w:eastAsia="Arial" w:hAnsi="Arial"/>
          <w:b/>
          <w:bCs/>
          <w:i w:val="false"/>
          <w:iCs w:val="false"/>
          <w:color w:val="0E3470"/>
          <w:sz w:val="22"/>
          <w:szCs w:val="22"/>
        </w:rPr>
        <w:t xml:space="preserve">Intent.  </w:t>
      </w:r>
    </w:p>
    <w:p>
      <w:pPr>
        <w:spacing w:after="360" w:before="0"/>
        <w:jc w:val="left"/>
      </w:pPr>
      <w:r>
        <w:rPr>
          <w:rFonts w:ascii="Arial" w:cs="Arial" w:eastAsia="Arial" w:hAnsi="Arial"/>
          <w:b w:val="false"/>
          <w:bCs w:val="false"/>
          <w:i w:val="false"/>
          <w:iCs w:val="false"/>
          <w:color w:val="000000"/>
          <w:sz w:val="22"/>
          <w:szCs w:val="22"/>
        </w:rPr>
        <w:t xml:space="preserve">Map competing GP and sponsor platforms — what they publish, what their LPs see, and what investor-experience benchmarks the Terminal must beat.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4160"/>
        <w:gridCol w:w="1440"/>
        <w:gridCol w:w="800"/>
        <w:gridCol w:w="880"/>
      </w:tblGrid>
      <w:tr>
        <w:trPr>
          <w:tblHeader/>
        </w:trPr>
        <w:tc>
          <w:tcPr>
            <w:tcW w:type="dxa" w:w="208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Tool / Vendor</w:t>
            </w:r>
          </w:p>
        </w:tc>
        <w:tc>
          <w:tcPr>
            <w:tcW w:type="dxa" w:w="416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What It Does (One-Liner)</w:t>
            </w:r>
          </w:p>
        </w:tc>
        <w:tc>
          <w:tcPr>
            <w:tcW w:type="dxa" w:w="144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Annual Cost</w:t>
            </w:r>
          </w:p>
        </w:tc>
        <w:tc>
          <w:tcPr>
            <w:tcW w:type="dxa" w:w="80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API</w:t>
            </w:r>
          </w:p>
        </w:tc>
        <w:tc>
          <w:tcPr>
            <w:tcW w:type="dxa" w:w="88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Tier</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Juniper Square</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Largest CRE-focused investor portal and fund-administration platform; the de-facto institutional standard. K-1 distribution, capital calls, and reporting.</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$15K–$100K+/yr</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InvestNext</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Mid-market CRE investor portal with strong UI and capital-call workflow. Comparable to Juniper Square at lower price point.</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$5K–$25K+/yr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Agora</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Investor relations and fund-administration platform with AI Smart Questionnaire and onboarding tools. Strong on Israeli-investor-experience design.</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$8K–$40K+/yr</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AppFolio Investment Management</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Investment-management module of AppFolio's residential platform. SMB-friendly; lighter on fund-admin than Juniper.</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Custom</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Dynamo Software</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Enterprise-grade alternative-investment platform covering CRE, PE, and private-credit. Heavy customization required.</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Custom enterprise</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eFront (BlackRock)</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Enterprise alternative-investment platform owned by BlackRock. The institutional fund-of-funds standard; expensive and complex.</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Custom enterprise</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Burgiss (now MSCI)</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Private-markets data and fund-analytics platform acquired by MSCI in 2023. Used by LPs for benchmarking; institutional only.</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Custom</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Allvue Systems</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Alternative-investment management platform covering credit, PE, and CRE. Strong fund-accounting layer.</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Custom</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SS&amp;C Advent (Geneva)</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Multi-asset fund-accounting platform with broad alternatives coverage. The hedge-fund-and-PE-shop institutional standard.</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Custom enterprise</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Anduin (now part of Dynamo)</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Investor onboarding and KYC platform absorbed into Dynamo in 2024. Useful as a benchmark for onboarding UX.</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Bundled w/ Dynamo</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Backstop Solutions (ION)</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Alternative-investment CRM and reporting platform under ION Group. Strong on hedge-fund-and-allocator workflows.</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Custom</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bl>
    <w:p>
      <w:r>
        <w:br w:type="page"/>
      </w:r>
    </w:p>
    <w:p>
      <w:pPr>
        <w:pBdr>
          <w:bottom w:val="single" w:color="BC9C45" w:sz="12" w:space="4"/>
        </w:pBdr>
        <w:spacing w:after="60" w:before="0"/>
        <w:jc w:val="left"/>
      </w:pPr>
      <w:r>
        <w:rPr>
          <w:rFonts w:ascii="Arial" w:cs="Arial" w:eastAsia="Arial" w:hAnsi="Arial"/>
          <w:b/>
          <w:bCs/>
          <w:i w:val="false"/>
          <w:iCs w:val="false"/>
          <w:color w:val="BC9C45"/>
          <w:sz w:val="32"/>
          <w:szCs w:val="32"/>
        </w:rPr>
        <w:t xml:space="preserve">S.  </w:t>
      </w:r>
      <w:r>
        <w:rPr>
          <w:rFonts w:ascii="Arial" w:cs="Arial" w:eastAsia="Arial" w:hAnsi="Arial"/>
          <w:b/>
          <w:bCs/>
          <w:i w:val="false"/>
          <w:iCs w:val="false"/>
          <w:color w:val="0E3470"/>
          <w:sz w:val="32"/>
          <w:szCs w:val="32"/>
        </w:rPr>
        <w:t xml:space="preserve">CLIMATE &amp; PHYSICAL RISK INTELLIGENCE</w:t>
      </w:r>
    </w:p>
    <w:p>
      <w:pPr>
        <w:spacing w:after="240" w:before="60"/>
        <w:jc w:val="left"/>
      </w:pPr>
      <w:r>
        <w:rPr>
          <w:rFonts w:ascii="Arial" w:cs="Arial" w:eastAsia="Arial" w:hAnsi="Arial"/>
          <w:b w:val="false"/>
          <w:bCs w:val="false"/>
          <w:i/>
          <w:iCs/>
          <w:color w:val="6B6B6B"/>
          <w:sz w:val="18"/>
          <w:szCs w:val="18"/>
        </w:rPr>
        <w:t xml:space="preserve">15 tools</w:t>
      </w:r>
    </w:p>
    <w:p>
      <w:pPr>
        <w:spacing w:after="60" w:before="60"/>
        <w:jc w:val="left"/>
      </w:pPr>
      <w:r>
        <w:rPr>
          <w:rFonts w:ascii="Arial" w:cs="Arial" w:eastAsia="Arial" w:hAnsi="Arial"/>
          <w:b/>
          <w:bCs/>
          <w:i w:val="false"/>
          <w:iCs w:val="false"/>
          <w:color w:val="0E3470"/>
          <w:sz w:val="22"/>
          <w:szCs w:val="22"/>
        </w:rPr>
        <w:t xml:space="preserve">Intent.  </w:t>
      </w:r>
    </w:p>
    <w:p>
      <w:pPr>
        <w:spacing w:after="360" w:before="0"/>
        <w:jc w:val="left"/>
      </w:pPr>
      <w:r>
        <w:rPr>
          <w:rFonts w:ascii="Arial" w:cs="Arial" w:eastAsia="Arial" w:hAnsi="Arial"/>
          <w:b w:val="false"/>
          <w:bCs w:val="false"/>
          <w:i w:val="false"/>
          <w:iCs w:val="false"/>
          <w:color w:val="000000"/>
          <w:sz w:val="22"/>
          <w:szCs w:val="22"/>
        </w:rPr>
        <w:t xml:space="preserve">Insurance is the fastest-growing CRE expense item with 8–12% annual increases since 2018. Climate models drive every major underwriter's pricing within 3–5 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4160"/>
        <w:gridCol w:w="1440"/>
        <w:gridCol w:w="800"/>
        <w:gridCol w:w="880"/>
      </w:tblGrid>
      <w:tr>
        <w:trPr>
          <w:tblHeader/>
        </w:trPr>
        <w:tc>
          <w:tcPr>
            <w:tcW w:type="dxa" w:w="208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Tool / Vendor</w:t>
            </w:r>
          </w:p>
        </w:tc>
        <w:tc>
          <w:tcPr>
            <w:tcW w:type="dxa" w:w="416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What It Does (One-Liner)</w:t>
            </w:r>
          </w:p>
        </w:tc>
        <w:tc>
          <w:tcPr>
            <w:tcW w:type="dxa" w:w="144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Annual Cost</w:t>
            </w:r>
          </w:p>
        </w:tc>
        <w:tc>
          <w:tcPr>
            <w:tcW w:type="dxa" w:w="80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API</w:t>
            </w:r>
          </w:p>
        </w:tc>
        <w:tc>
          <w:tcPr>
            <w:tcW w:type="dxa" w:w="88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Tier</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First Street Foundation</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Property-level flood, fire, wind, heat, and air-quality risk scores covering every U.S. property. Powered by peer-reviewed science; integrated into Realtor.com.</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 consumer / Custom</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 (primary)</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T1</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ClimateCheck</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1–100 property-level risk scores for heat, fire, drought, wind, flood, and precipitation with 40-year projections. Strong API; CRE-focused pricing.</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$5K–$30K+/yr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Jupiter Intelligence (Mitiga)</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Enterprise climate-risk analytics with property-level flood, wildfire, heat, and wind modeling. Munich Re and JLL partnerships; institutional tier.</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$25K–$100K+/yr</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FEMA Flood Maps (MSC)</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Free Flood Insurance Rate Maps with floodplain designations; FEMA Risk Rating 2.0 for granular pricing data. The regulatory baseline.</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FEMA NFHL (National Flood Hazard Layer)</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Free GIS layer of all FEMA-mapped flood zones nationally. Base layer for any flood-risk overlay.</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Moody's RMS (formerly RMS)</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Catastrophe modeling for flood, wind, earthquake, and wildfire. Re/insurance industry standard; institutional-only access.</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Custom enterprise</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Verisk AIR Worldwide</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Catastrophe modeling competitor to RMS with strong U.S. and international cat coverage. Re/insurance industry use.</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Custom enterprise</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KatRisk</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Catastrophe modeling for U.S. flood, hurricane, wildfire, and severe convective storm. Smaller than RMS/AIR; strong flood specifics.</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Custom</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Munich Re Location Risk Intelligence</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Climate Change Edition and Climate Financial Impact Edition with multi-scenario forecasts to 2100. Strong reinsurance-grade modeling.</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Custom</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Athenium Analytics</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Climate and weather-risk analytics for insurance and CRE; commercial-property risk scoring. Acquired by USIC in 2023.</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Custom</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Mitiga Solutions (formerly Cervest)</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Asset-level physical climate risk scoring with strong scenario modeling. European base; expanding U.S. coverage.</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Custom</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Climate.AI / Cervest</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Physical climate risk and forecasting; combined into Mitiga Solutions in 2024. Listed for completeness.</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Custom</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U.S. Climate Resilience Toolkit</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Federal portal of free climate-risk data including NOAA, NASA, USGS, EPA, and DOE sources. Critical free baseline overlay.</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NOAA Climate Data</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National Oceanic and Atmospheric Administration historical and forecasted climate data. Free, machine-accessible, and authoritative.</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USGS Earthquake Hazards Program</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Free seismic-risk data including ShakeMaps and Hazard Tool. Required for any seismic-zone underwriting.</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bl>
    <w:p>
      <w:r>
        <w:br w:type="page"/>
      </w:r>
    </w:p>
    <w:p>
      <w:pPr>
        <w:pBdr>
          <w:bottom w:val="single" w:color="BC9C45" w:sz="12" w:space="4"/>
        </w:pBdr>
        <w:spacing w:after="60" w:before="0"/>
        <w:jc w:val="left"/>
      </w:pPr>
      <w:r>
        <w:rPr>
          <w:rFonts w:ascii="Arial" w:cs="Arial" w:eastAsia="Arial" w:hAnsi="Arial"/>
          <w:b/>
          <w:bCs/>
          <w:i w:val="false"/>
          <w:iCs w:val="false"/>
          <w:color w:val="BC9C45"/>
          <w:sz w:val="32"/>
          <w:szCs w:val="32"/>
        </w:rPr>
        <w:t xml:space="preserve">T.  </w:t>
      </w:r>
      <w:r>
        <w:rPr>
          <w:rFonts w:ascii="Arial" w:cs="Arial" w:eastAsia="Arial" w:hAnsi="Arial"/>
          <w:b/>
          <w:bCs/>
          <w:i w:val="false"/>
          <w:iCs w:val="false"/>
          <w:color w:val="0E3470"/>
          <w:sz w:val="32"/>
          <w:szCs w:val="32"/>
        </w:rPr>
        <w:t xml:space="preserve">ENVIRONMENTAL DUE DILIGENCE DATA</w:t>
      </w:r>
    </w:p>
    <w:p>
      <w:pPr>
        <w:spacing w:after="240" w:before="60"/>
        <w:jc w:val="left"/>
      </w:pPr>
      <w:r>
        <w:rPr>
          <w:rFonts w:ascii="Arial" w:cs="Arial" w:eastAsia="Arial" w:hAnsi="Arial"/>
          <w:b w:val="false"/>
          <w:bCs w:val="false"/>
          <w:i/>
          <w:iCs/>
          <w:color w:val="6B6B6B"/>
          <w:sz w:val="18"/>
          <w:szCs w:val="18"/>
        </w:rPr>
        <w:t xml:space="preserve">12 tools</w:t>
      </w:r>
    </w:p>
    <w:p>
      <w:pPr>
        <w:spacing w:after="60" w:before="60"/>
        <w:jc w:val="left"/>
      </w:pPr>
      <w:r>
        <w:rPr>
          <w:rFonts w:ascii="Arial" w:cs="Arial" w:eastAsia="Arial" w:hAnsi="Arial"/>
          <w:b/>
          <w:bCs/>
          <w:i w:val="false"/>
          <w:iCs w:val="false"/>
          <w:color w:val="0E3470"/>
          <w:sz w:val="22"/>
          <w:szCs w:val="22"/>
        </w:rPr>
        <w:t xml:space="preserve">Intent.  </w:t>
      </w:r>
    </w:p>
    <w:p>
      <w:pPr>
        <w:spacing w:after="360" w:before="0"/>
        <w:jc w:val="left"/>
      </w:pPr>
      <w:r>
        <w:rPr>
          <w:rFonts w:ascii="Arial" w:cs="Arial" w:eastAsia="Arial" w:hAnsi="Arial"/>
          <w:b w:val="false"/>
          <w:bCs w:val="false"/>
          <w:i w:val="false"/>
          <w:iCs w:val="false"/>
          <w:color w:val="000000"/>
          <w:sz w:val="22"/>
          <w:szCs w:val="22"/>
        </w:rPr>
        <w:t xml:space="preserve">Phase I and Phase II ESA data sourcing — historical regulatory database searches, recognized environmental conditions, and brownfield assessments.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4160"/>
        <w:gridCol w:w="1440"/>
        <w:gridCol w:w="800"/>
        <w:gridCol w:w="880"/>
      </w:tblGrid>
      <w:tr>
        <w:trPr>
          <w:tblHeader/>
        </w:trPr>
        <w:tc>
          <w:tcPr>
            <w:tcW w:type="dxa" w:w="208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Tool / Vendor</w:t>
            </w:r>
          </w:p>
        </w:tc>
        <w:tc>
          <w:tcPr>
            <w:tcW w:type="dxa" w:w="416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What It Does (One-Liner)</w:t>
            </w:r>
          </w:p>
        </w:tc>
        <w:tc>
          <w:tcPr>
            <w:tcW w:type="dxa" w:w="144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Annual Cost</w:t>
            </w:r>
          </w:p>
        </w:tc>
        <w:tc>
          <w:tcPr>
            <w:tcW w:type="dxa" w:w="80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API</w:t>
            </w:r>
          </w:p>
        </w:tc>
        <w:tc>
          <w:tcPr>
            <w:tcW w:type="dxa" w:w="88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Tier</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EDR (LightBox EDR)</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Environmental Data Resources — the institutional standard for Phase I ESA database reports. Acquired by LightBox; required for institutional Phase I delivery.</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$300–$1,200/report</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T1</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ERIS Environmental Risk Information Services</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Phase I ESA database report provider (Canadian-rooted, U.S. capable). Direct competitor to EDR with similar database coverage.</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$250–$1,000/report</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Banks Environmental Data</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Phase I ESA database service with strong Texas and Southeast coverage. Mid-market alternative to EDR/ERIS.</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$200–$800/report</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Geosearch</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Environmental database search service with comprehensive coverage. Smaller market share but quality output.</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$200–$800/report</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EPA Envirofacts</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Free EPA database aggregating Toxics Release Inventory, Superfund, RCRA, and Air Quality information by location. Authoritative regulatory baseline.</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EPA ECHO (Enforcement &amp; Compliance History Online)</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Free EPA database covering enforcement actions and compliance history at every regulated facility. Critical for Phase I background checks.</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EPA CERCLIS / SEMS</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Free Superfund site database with status, contamination, and remediation history. The starting point for any contamination DD.</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EPA RCRA Info</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Free Resource Conservation and Recovery Act tracking system covering hazardous-waste handlers. Required Phase I background source.</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EPA Brownfields Inventory</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Free EPA Brownfields Properties Inventory with funded-assessment and cleanup data. Useful for opportunistic remediation-discount strategies.</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State VCP (Voluntary Cleanup Program) Databases</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State-by-state environmental enrollment databases (TX VCP, CA RCP, FL Brownfields). Free public registries with state-specific protections.</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USGS Mineral Resources Online</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Free historical mining and mineral-extraction database. Critical for inland Phase I assessments in mining-history states.</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Sanborn Maps (Library of Congress)</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Free historical fire-insurance maps showing 1880s–1990s land use including service stations, dry cleaners, and industrial uses. Standard Phase I historical reference.</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bl>
    <w:p>
      <w:r>
        <w:br w:type="page"/>
      </w:r>
    </w:p>
    <w:p>
      <w:pPr>
        <w:pBdr>
          <w:bottom w:val="single" w:color="BC9C45" w:sz="12" w:space="4"/>
        </w:pBdr>
        <w:spacing w:after="60" w:before="0"/>
        <w:jc w:val="left"/>
      </w:pPr>
      <w:r>
        <w:rPr>
          <w:rFonts w:ascii="Arial" w:cs="Arial" w:eastAsia="Arial" w:hAnsi="Arial"/>
          <w:b/>
          <w:bCs/>
          <w:i w:val="false"/>
          <w:iCs w:val="false"/>
          <w:color w:val="BC9C45"/>
          <w:sz w:val="32"/>
          <w:szCs w:val="32"/>
        </w:rPr>
        <w:t xml:space="preserve">U.  </w:t>
      </w:r>
      <w:r>
        <w:rPr>
          <w:rFonts w:ascii="Arial" w:cs="Arial" w:eastAsia="Arial" w:hAnsi="Arial"/>
          <w:b/>
          <w:bCs/>
          <w:i w:val="false"/>
          <w:iCs w:val="false"/>
          <w:color w:val="0E3470"/>
          <w:sz w:val="32"/>
          <w:szCs w:val="32"/>
        </w:rPr>
        <w:t xml:space="preserve">INSURANCE, LOSS HISTORY &amp; REPLACEMENT COST</w:t>
      </w:r>
    </w:p>
    <w:p>
      <w:pPr>
        <w:spacing w:after="240" w:before="60"/>
        <w:jc w:val="left"/>
      </w:pPr>
      <w:r>
        <w:rPr>
          <w:rFonts w:ascii="Arial" w:cs="Arial" w:eastAsia="Arial" w:hAnsi="Arial"/>
          <w:b w:val="false"/>
          <w:bCs w:val="false"/>
          <w:i/>
          <w:iCs/>
          <w:color w:val="6B6B6B"/>
          <w:sz w:val="18"/>
          <w:szCs w:val="18"/>
        </w:rPr>
        <w:t xml:space="preserve">6 tools</w:t>
      </w:r>
    </w:p>
    <w:p>
      <w:pPr>
        <w:spacing w:after="60" w:before="60"/>
        <w:jc w:val="left"/>
      </w:pPr>
      <w:r>
        <w:rPr>
          <w:rFonts w:ascii="Arial" w:cs="Arial" w:eastAsia="Arial" w:hAnsi="Arial"/>
          <w:b/>
          <w:bCs/>
          <w:i w:val="false"/>
          <w:iCs w:val="false"/>
          <w:color w:val="0E3470"/>
          <w:sz w:val="22"/>
          <w:szCs w:val="22"/>
        </w:rPr>
        <w:t xml:space="preserve">Intent.  </w:t>
      </w:r>
    </w:p>
    <w:p>
      <w:pPr>
        <w:spacing w:after="360" w:before="0"/>
        <w:jc w:val="left"/>
      </w:pPr>
      <w:r>
        <w:rPr>
          <w:rFonts w:ascii="Arial" w:cs="Arial" w:eastAsia="Arial" w:hAnsi="Arial"/>
          <w:b w:val="false"/>
          <w:bCs w:val="false"/>
          <w:i w:val="false"/>
          <w:iCs w:val="false"/>
          <w:color w:val="000000"/>
          <w:sz w:val="22"/>
          <w:szCs w:val="22"/>
        </w:rPr>
        <w:t xml:space="preserve">Underwrite the property's insurance economics — historical loss runs (CLUE), insurance pricing benchmarks, and replacement-cost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4160"/>
        <w:gridCol w:w="1440"/>
        <w:gridCol w:w="800"/>
        <w:gridCol w:w="880"/>
      </w:tblGrid>
      <w:tr>
        <w:trPr>
          <w:tblHeader/>
        </w:trPr>
        <w:tc>
          <w:tcPr>
            <w:tcW w:type="dxa" w:w="208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Tool / Vendor</w:t>
            </w:r>
          </w:p>
        </w:tc>
        <w:tc>
          <w:tcPr>
            <w:tcW w:type="dxa" w:w="416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What It Does (One-Liner)</w:t>
            </w:r>
          </w:p>
        </w:tc>
        <w:tc>
          <w:tcPr>
            <w:tcW w:type="dxa" w:w="144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Annual Cost</w:t>
            </w:r>
          </w:p>
        </w:tc>
        <w:tc>
          <w:tcPr>
            <w:tcW w:type="dxa" w:w="80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API</w:t>
            </w:r>
          </w:p>
        </w:tc>
        <w:tc>
          <w:tcPr>
            <w:tcW w:type="dxa" w:w="88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Tier</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CLUE (LexisNexis Comprehensive Loss Underwriting Exchange)</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5–7 years of insurance claim history on a property. Required for property-insurance underwriting; obtained at closing or with seller authorization.</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Pay-per-report</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T1</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A-PLUS (Verisk/ISO)</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Verisk's loss-history database, a CLUE alternative. Used by some insurers and broker workflows; same purpose as CLUE.</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Pay-per-report</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CoreLogic Insurance Solutions</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Property-insurance analytics including replacement cost, hazard scoring, and underwriting data. Used by major P&amp;C carriers.</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Custom</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Marshall &amp; Swift / Boeckh (CoreLogic)</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Standard replacement-cost-new estimating database used by appraisers and insurers nationally. The replacement-cost-analytics benchmark.</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$2K–$10K/yr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Verisk Risk Analyzer</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Property-risk and predictive-loss analytics for commercial insurance. Underwriter-tier tool; rarely directly used by CRE buyers.</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Custom</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RMS Property Risk Management</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Property-level cat-risk modeling for insurance underwriting. Bundled into broader RMS catastrophe modeling.</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Bundled w/ RMS</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bl>
    <w:p>
      <w:r>
        <w:br w:type="page"/>
      </w:r>
    </w:p>
    <w:p>
      <w:pPr>
        <w:pBdr>
          <w:bottom w:val="single" w:color="BC9C45" w:sz="12" w:space="4"/>
        </w:pBdr>
        <w:spacing w:after="60" w:before="0"/>
        <w:jc w:val="left"/>
      </w:pPr>
      <w:r>
        <w:rPr>
          <w:rFonts w:ascii="Arial" w:cs="Arial" w:eastAsia="Arial" w:hAnsi="Arial"/>
          <w:b/>
          <w:bCs/>
          <w:i w:val="false"/>
          <w:iCs w:val="false"/>
          <w:color w:val="BC9C45"/>
          <w:sz w:val="32"/>
          <w:szCs w:val="32"/>
        </w:rPr>
        <w:t xml:space="preserve">V.  </w:t>
      </w:r>
      <w:r>
        <w:rPr>
          <w:rFonts w:ascii="Arial" w:cs="Arial" w:eastAsia="Arial" w:hAnsi="Arial"/>
          <w:b/>
          <w:bCs/>
          <w:i w:val="false"/>
          <w:iCs w:val="false"/>
          <w:color w:val="0E3470"/>
          <w:sz w:val="32"/>
          <w:szCs w:val="32"/>
        </w:rPr>
        <w:t xml:space="preserve">SKIP TRACING &amp; OWNER CONTACT INTELLIGENCE</w:t>
      </w:r>
    </w:p>
    <w:p>
      <w:pPr>
        <w:spacing w:after="240" w:before="60"/>
        <w:jc w:val="left"/>
      </w:pPr>
      <w:r>
        <w:rPr>
          <w:rFonts w:ascii="Arial" w:cs="Arial" w:eastAsia="Arial" w:hAnsi="Arial"/>
          <w:b w:val="false"/>
          <w:bCs w:val="false"/>
          <w:i/>
          <w:iCs/>
          <w:color w:val="6B6B6B"/>
          <w:sz w:val="18"/>
          <w:szCs w:val="18"/>
        </w:rPr>
        <w:t xml:space="preserve">17 tools</w:t>
      </w:r>
    </w:p>
    <w:p>
      <w:pPr>
        <w:spacing w:after="60" w:before="60"/>
        <w:jc w:val="left"/>
      </w:pPr>
      <w:r>
        <w:rPr>
          <w:rFonts w:ascii="Arial" w:cs="Arial" w:eastAsia="Arial" w:hAnsi="Arial"/>
          <w:b/>
          <w:bCs/>
          <w:i w:val="false"/>
          <w:iCs w:val="false"/>
          <w:color w:val="0E3470"/>
          <w:sz w:val="22"/>
          <w:szCs w:val="22"/>
        </w:rPr>
        <w:t xml:space="preserve">Intent.  </w:t>
      </w:r>
    </w:p>
    <w:p>
      <w:pPr>
        <w:spacing w:after="360" w:before="0"/>
        <w:jc w:val="left"/>
      </w:pPr>
      <w:r>
        <w:rPr>
          <w:rFonts w:ascii="Arial" w:cs="Arial" w:eastAsia="Arial" w:hAnsi="Arial"/>
          <w:b w:val="false"/>
          <w:bCs w:val="false"/>
          <w:i w:val="false"/>
          <w:iCs w:val="false"/>
          <w:color w:val="000000"/>
          <w:sz w:val="22"/>
          <w:szCs w:val="22"/>
        </w:rPr>
        <w:t xml:space="preserve">Find the actual decision-maker behind every LLC. Phone, email, alternate addresses, and relationships — the moment ownership conditions trigger an outreach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4160"/>
        <w:gridCol w:w="1440"/>
        <w:gridCol w:w="800"/>
        <w:gridCol w:w="880"/>
      </w:tblGrid>
      <w:tr>
        <w:trPr>
          <w:tblHeader/>
        </w:trPr>
        <w:tc>
          <w:tcPr>
            <w:tcW w:type="dxa" w:w="208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Tool / Vendor</w:t>
            </w:r>
          </w:p>
        </w:tc>
        <w:tc>
          <w:tcPr>
            <w:tcW w:type="dxa" w:w="416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What It Does (One-Liner)</w:t>
            </w:r>
          </w:p>
        </w:tc>
        <w:tc>
          <w:tcPr>
            <w:tcW w:type="dxa" w:w="144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Annual Cost</w:t>
            </w:r>
          </w:p>
        </w:tc>
        <w:tc>
          <w:tcPr>
            <w:tcW w:type="dxa" w:w="80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API</w:t>
            </w:r>
          </w:p>
        </w:tc>
        <w:tc>
          <w:tcPr>
            <w:tcW w:type="dxa" w:w="88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Tier</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LexisNexis Accurint</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Industry-standard skip-tracing tool with phone, email, address, asset, and relative data. The institutional CRE acquisitions standard.</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$3K–$15K+/yr</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T1</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Thomson Reuters CLEAR</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Comparable to Accurint with strong public-records integration and predictive analytics on subjects. Heavily used in legal investigations.</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$3K–$15K+/yr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T1</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TLOxp (TransUnion)</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TransUnion's investigation tool with comprehensive subject-search across credit, public records, and proprietary data. Strong asset discovery.</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$3K–$15K+/yr</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IRBSearch</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Mid-market skip-tracing platform combining LexisNexis and other underlying feeds. Less expensive than Accurint direct.</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$1K–$6K/yr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IDI iCore (LexisNexis)</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LexisNexis's modern subject-search platform; the next-generation Accurint UI. Same underlying data, improved interface.</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$3K–$15K+/yr</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Tracers</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Skip-tracing platform with comprehensive U.S. data and competitive pricing. Used by some collections-focused CRE acquisition shops.</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$1.2K–$8K/yr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BeenVerified Pro</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Consumer-grade skip-tracing with API tier. Lighter data than Accurint but useful for high-volume cold outreach.</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$300–$2,400/yr</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Spokeo Pro</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Consumer skip-trace with API and bulk-search capability. Lighter than enterprise tools; useful for mass campaigns.</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$300–$2,400/yr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PeopleFinders Pro</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Consumer skip-trace platform with bulk-pricing API tier. Comparable to Spokeo and BeenVerified.</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$300–$2,400/yr</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Searchbug</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Pay-per-search skip-trace with bulk options. Useful for targeted lookups outside of subscription tools.</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$0.10–$2.00/lookup</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Whitepages PRO</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Phone, address, and identity-verification data with strong API. Used by financial-services and gig-economy verification workflows.</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Custom API tiers</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Pipl</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Identity-resolution and contact-data tool with global coverage. Strong international skip-trace; under LexisNexis since 2023.</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Custom</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Hunter.io</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Email-finding tool for corporate domains. Useful for B2B outreach to LLC owners and managers identified through other tools.</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$600–$3,600/yr</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ZoomInfo</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B2B contact and intent-data platform with deep corporate-leadership coverage. Strong for tenant-stakeholder and counterparty mapping.</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$15K–$100K+/yr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Apollo.io</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B2B contact platform with strong email and phone data on corporate roles. Mid-market alternative to ZoomInfo.</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$1.2K–$15K+/yr</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RocketReach</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Email-finding tool with API tier for finding decision-maker contacts. Mid-market complement to Apollo and ZoomInfo.</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$600–$3,000/yr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Clay (Apollo + enrichment)</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Workflow tool combining 100+ data sources for enrichment and outreach campaigns. Powerful for custom acquisition outreach pipelines.</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$1.2K–$15K+/yr</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bl>
    <w:p>
      <w:r>
        <w:br w:type="page"/>
      </w:r>
    </w:p>
    <w:p>
      <w:pPr>
        <w:pBdr>
          <w:bottom w:val="single" w:color="BC9C45" w:sz="12" w:space="4"/>
        </w:pBdr>
        <w:spacing w:after="60" w:before="0"/>
        <w:jc w:val="left"/>
      </w:pPr>
      <w:r>
        <w:rPr>
          <w:rFonts w:ascii="Arial" w:cs="Arial" w:eastAsia="Arial" w:hAnsi="Arial"/>
          <w:b/>
          <w:bCs/>
          <w:i w:val="false"/>
          <w:iCs w:val="false"/>
          <w:color w:val="BC9C45"/>
          <w:sz w:val="32"/>
          <w:szCs w:val="32"/>
        </w:rPr>
        <w:t xml:space="preserve">W.  </w:t>
      </w:r>
      <w:r>
        <w:rPr>
          <w:rFonts w:ascii="Arial" w:cs="Arial" w:eastAsia="Arial" w:hAnsi="Arial"/>
          <w:b/>
          <w:bCs/>
          <w:i w:val="false"/>
          <w:iCs w:val="false"/>
          <w:color w:val="0E3470"/>
          <w:sz w:val="32"/>
          <w:szCs w:val="32"/>
        </w:rPr>
        <w:t xml:space="preserve">TITLE, LIENS &amp; RECORDED INSTRUMENTS</w:t>
      </w:r>
    </w:p>
    <w:p>
      <w:pPr>
        <w:spacing w:after="240" w:before="60"/>
        <w:jc w:val="left"/>
      </w:pPr>
      <w:r>
        <w:rPr>
          <w:rFonts w:ascii="Arial" w:cs="Arial" w:eastAsia="Arial" w:hAnsi="Arial"/>
          <w:b w:val="false"/>
          <w:bCs w:val="false"/>
          <w:i/>
          <w:iCs/>
          <w:color w:val="6B6B6B"/>
          <w:sz w:val="18"/>
          <w:szCs w:val="18"/>
        </w:rPr>
        <w:t xml:space="preserve">10 tools</w:t>
      </w:r>
    </w:p>
    <w:p>
      <w:pPr>
        <w:spacing w:after="60" w:before="60"/>
        <w:jc w:val="left"/>
      </w:pPr>
      <w:r>
        <w:rPr>
          <w:rFonts w:ascii="Arial" w:cs="Arial" w:eastAsia="Arial" w:hAnsi="Arial"/>
          <w:b/>
          <w:bCs/>
          <w:i w:val="false"/>
          <w:iCs w:val="false"/>
          <w:color w:val="0E3470"/>
          <w:sz w:val="22"/>
          <w:szCs w:val="22"/>
        </w:rPr>
        <w:t xml:space="preserve">Intent.  </w:t>
      </w:r>
    </w:p>
    <w:p>
      <w:pPr>
        <w:spacing w:after="360" w:before="0"/>
        <w:jc w:val="left"/>
      </w:pPr>
      <w:r>
        <w:rPr>
          <w:rFonts w:ascii="Arial" w:cs="Arial" w:eastAsia="Arial" w:hAnsi="Arial"/>
          <w:b w:val="false"/>
          <w:bCs w:val="false"/>
          <w:i w:val="false"/>
          <w:iCs w:val="false"/>
          <w:color w:val="000000"/>
          <w:sz w:val="22"/>
          <w:szCs w:val="22"/>
        </w:rPr>
        <w:t xml:space="preserve">Verify clean title, identify lien encumbrances, and trace ownership chains. The legal back-office layer of every acquisition.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4160"/>
        <w:gridCol w:w="1440"/>
        <w:gridCol w:w="800"/>
        <w:gridCol w:w="880"/>
      </w:tblGrid>
      <w:tr>
        <w:trPr>
          <w:tblHeader/>
        </w:trPr>
        <w:tc>
          <w:tcPr>
            <w:tcW w:type="dxa" w:w="208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Tool / Vendor</w:t>
            </w:r>
          </w:p>
        </w:tc>
        <w:tc>
          <w:tcPr>
            <w:tcW w:type="dxa" w:w="416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What It Does (One-Liner)</w:t>
            </w:r>
          </w:p>
        </w:tc>
        <w:tc>
          <w:tcPr>
            <w:tcW w:type="dxa" w:w="144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Annual Cost</w:t>
            </w:r>
          </w:p>
        </w:tc>
        <w:tc>
          <w:tcPr>
            <w:tcW w:type="dxa" w:w="80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API</w:t>
            </w:r>
          </w:p>
        </w:tc>
        <w:tc>
          <w:tcPr>
            <w:tcW w:type="dxa" w:w="88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Tier</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Qualia Clear</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Agentic-AI title examination producing preliminary title exams in minutes. The leading next-generation title platform; partner with national title underwriters.</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Custom (per-search)</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First American DataTree</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Title-grade property record search with deed images, mortgage documents, lien histories, and ownership chains. The institutional title-research standard.</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$1.2K–$15K/yr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T1</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Stewart Online (Stewart Title)</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Stewart Title's online property-record search platform. Comparable to DataTree for Stewart-affiliated transactions.</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Custom</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Old Republic National Commercial Services (NCS)</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Old Republic's commercial title platform with multi-state research access. Used by major institutional CRE counsels.</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Custom</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Fidelity DataLink (Chicago Title)</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FNF's online title-record platform serving Chicago Title and Fidelity National. Comparable to DataTree for FNF-affiliated transactions.</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Custom</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TitlePoint (Stewart)</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Stewart's title-search and examination platform with multi-state coverage. Required for some Stewart-affiliated underwriters.</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Custom</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Resware (Qualia)</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Title-production software acquired by Qualia. Backend platform; tier-1 for title-company workflow not direct CRE buyer use.</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Custom</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CourthouseDirect.com</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Texas-focused recorded-document retrieval at $5–$25 per document. Useful for Texas verification when DataTree coverage is thin.</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Pay-per-doc</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ALTA Best Practices Database</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American Land Title Association resource library and best-practice references. Free for most public references.</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UCC Filing Online (Secretary of State)</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Each state's UCC-1 financing-statement database, free or low-cost. Required for any equipment-or-fixture lien check on commercial assets.</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Free–$25/search</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 (state-specific)</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bl>
    <w:p>
      <w:r>
        <w:br w:type="page"/>
      </w:r>
    </w:p>
    <w:p>
      <w:pPr>
        <w:pBdr>
          <w:bottom w:val="single" w:color="BC9C45" w:sz="12" w:space="4"/>
        </w:pBdr>
        <w:spacing w:after="60" w:before="0"/>
        <w:jc w:val="left"/>
      </w:pPr>
      <w:r>
        <w:rPr>
          <w:rFonts w:ascii="Arial" w:cs="Arial" w:eastAsia="Arial" w:hAnsi="Arial"/>
          <w:b/>
          <w:bCs/>
          <w:i w:val="false"/>
          <w:iCs w:val="false"/>
          <w:color w:val="BC9C45"/>
          <w:sz w:val="32"/>
          <w:szCs w:val="32"/>
        </w:rPr>
        <w:t xml:space="preserve">X.  </w:t>
      </w:r>
      <w:r>
        <w:rPr>
          <w:rFonts w:ascii="Arial" w:cs="Arial" w:eastAsia="Arial" w:hAnsi="Arial"/>
          <w:b/>
          <w:bCs/>
          <w:i w:val="false"/>
          <w:iCs w:val="false"/>
          <w:color w:val="0E3470"/>
          <w:sz w:val="32"/>
          <w:szCs w:val="32"/>
        </w:rPr>
        <w:t xml:space="preserve">PERMITS, CONSTRUCTION &amp; DEVELOPMENT INTELLIGENCE</w:t>
      </w:r>
    </w:p>
    <w:p>
      <w:pPr>
        <w:spacing w:after="240" w:before="60"/>
        <w:jc w:val="left"/>
      </w:pPr>
      <w:r>
        <w:rPr>
          <w:rFonts w:ascii="Arial" w:cs="Arial" w:eastAsia="Arial" w:hAnsi="Arial"/>
          <w:b w:val="false"/>
          <w:bCs w:val="false"/>
          <w:i/>
          <w:iCs/>
          <w:color w:val="6B6B6B"/>
          <w:sz w:val="18"/>
          <w:szCs w:val="18"/>
        </w:rPr>
        <w:t xml:space="preserve">8 tools</w:t>
      </w:r>
    </w:p>
    <w:p>
      <w:pPr>
        <w:spacing w:after="60" w:before="60"/>
        <w:jc w:val="left"/>
      </w:pPr>
      <w:r>
        <w:rPr>
          <w:rFonts w:ascii="Arial" w:cs="Arial" w:eastAsia="Arial" w:hAnsi="Arial"/>
          <w:b/>
          <w:bCs/>
          <w:i w:val="false"/>
          <w:iCs w:val="false"/>
          <w:color w:val="0E3470"/>
          <w:sz w:val="22"/>
          <w:szCs w:val="22"/>
        </w:rPr>
        <w:t xml:space="preserve">Intent.  </w:t>
      </w:r>
    </w:p>
    <w:p>
      <w:pPr>
        <w:spacing w:after="360" w:before="0"/>
        <w:jc w:val="left"/>
      </w:pPr>
      <w:r>
        <w:rPr>
          <w:rFonts w:ascii="Arial" w:cs="Arial" w:eastAsia="Arial" w:hAnsi="Arial"/>
          <w:b w:val="false"/>
          <w:bCs w:val="false"/>
          <w:i w:val="false"/>
          <w:iCs w:val="false"/>
          <w:color w:val="000000"/>
          <w:sz w:val="22"/>
          <w:szCs w:val="22"/>
        </w:rPr>
        <w:t xml:space="preserve">Track every building permit, infrastructure project, and entitlement decision. Permits precede property-value changes by 6–24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4160"/>
        <w:gridCol w:w="1440"/>
        <w:gridCol w:w="800"/>
        <w:gridCol w:w="880"/>
      </w:tblGrid>
      <w:tr>
        <w:trPr>
          <w:tblHeader/>
        </w:trPr>
        <w:tc>
          <w:tcPr>
            <w:tcW w:type="dxa" w:w="208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Tool / Vendor</w:t>
            </w:r>
          </w:p>
        </w:tc>
        <w:tc>
          <w:tcPr>
            <w:tcW w:type="dxa" w:w="416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What It Does (One-Liner)</w:t>
            </w:r>
          </w:p>
        </w:tc>
        <w:tc>
          <w:tcPr>
            <w:tcW w:type="dxa" w:w="144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Annual Cost</w:t>
            </w:r>
          </w:p>
        </w:tc>
        <w:tc>
          <w:tcPr>
            <w:tcW w:type="dxa" w:w="80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API</w:t>
            </w:r>
          </w:p>
        </w:tc>
        <w:tc>
          <w:tcPr>
            <w:tcW w:type="dxa" w:w="88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Tier</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Dodge Data &amp; Analytics</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Construction-project database covering planning, bidding, and active projects nationally. The institutional construction-intelligence standard.</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$5K–$50K+/yr</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ConstructConnect (BidClerk)</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Construction-project and bidding-opportunity database serving 800K+ contractor users. Comparable to Dodge with stronger contractor focus.</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$3K–$30K+/yr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BuildZoom</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Construction-permit data and contractor-licensing intelligence with strong U.S. coverage. Free consumer search; pro tier for builders/researchers.</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 / $300–$3,000/yr</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Construction Monitor</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Building-permit data with weekly delivery and email alerts. Stronger Sun Belt and Southwest coverage.</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$1.2K–$6K/yr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BuildingConnected (Autodesk)</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Bid-management platform owned by Autodesk with broad project visibility. Contractor-side tool useful for tracking competing developers.</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Custom</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Shovels.ai</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AI-driven building-permit and contractor-intelligence platform launched 2023. Modern UI on traditional permit data.</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$600–$5K/yr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PermitFlow</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Permit-tracking and submission-management platform for developers. Streamlines acquisition-to-entitlement workflow.</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Custom</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Local Building Department Open Data</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Major cities (NYC, LA, Chicago, Boston, SF) publish daily permit data via open-data portals. Free and authoritative for those markets.</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 (varies)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bl>
    <w:p>
      <w:r>
        <w:br w:type="page"/>
      </w:r>
    </w:p>
    <w:p>
      <w:pPr>
        <w:pBdr>
          <w:bottom w:val="single" w:color="BC9C45" w:sz="12" w:space="4"/>
        </w:pBdr>
        <w:spacing w:after="60" w:before="0"/>
        <w:jc w:val="left"/>
      </w:pPr>
      <w:r>
        <w:rPr>
          <w:rFonts w:ascii="Arial" w:cs="Arial" w:eastAsia="Arial" w:hAnsi="Arial"/>
          <w:b/>
          <w:bCs/>
          <w:i w:val="false"/>
          <w:iCs w:val="false"/>
          <w:color w:val="BC9C45"/>
          <w:sz w:val="32"/>
          <w:szCs w:val="32"/>
        </w:rPr>
        <w:t xml:space="preserve">Y.  </w:t>
      </w:r>
      <w:r>
        <w:rPr>
          <w:rFonts w:ascii="Arial" w:cs="Arial" w:eastAsia="Arial" w:hAnsi="Arial"/>
          <w:b/>
          <w:bCs/>
          <w:i w:val="false"/>
          <w:iCs w:val="false"/>
          <w:color w:val="0E3470"/>
          <w:sz w:val="32"/>
          <w:szCs w:val="32"/>
        </w:rPr>
        <w:t xml:space="preserve">CRIME, SAFETY &amp; NEIGHBORHOOD QUALITY</w:t>
      </w:r>
    </w:p>
    <w:p>
      <w:pPr>
        <w:spacing w:after="240" w:before="60"/>
        <w:jc w:val="left"/>
      </w:pPr>
      <w:r>
        <w:rPr>
          <w:rFonts w:ascii="Arial" w:cs="Arial" w:eastAsia="Arial" w:hAnsi="Arial"/>
          <w:b w:val="false"/>
          <w:bCs w:val="false"/>
          <w:i/>
          <w:iCs/>
          <w:color w:val="6B6B6B"/>
          <w:sz w:val="18"/>
          <w:szCs w:val="18"/>
        </w:rPr>
        <w:t xml:space="preserve">6 tools</w:t>
      </w:r>
    </w:p>
    <w:p>
      <w:pPr>
        <w:spacing w:after="60" w:before="60"/>
        <w:jc w:val="left"/>
      </w:pPr>
      <w:r>
        <w:rPr>
          <w:rFonts w:ascii="Arial" w:cs="Arial" w:eastAsia="Arial" w:hAnsi="Arial"/>
          <w:b/>
          <w:bCs/>
          <w:i w:val="false"/>
          <w:iCs w:val="false"/>
          <w:color w:val="0E3470"/>
          <w:sz w:val="22"/>
          <w:szCs w:val="22"/>
        </w:rPr>
        <w:t xml:space="preserve">Intent.  </w:t>
      </w:r>
    </w:p>
    <w:p>
      <w:pPr>
        <w:spacing w:after="360" w:before="0"/>
        <w:jc w:val="left"/>
      </w:pPr>
      <w:r>
        <w:rPr>
          <w:rFonts w:ascii="Arial" w:cs="Arial" w:eastAsia="Arial" w:hAnsi="Arial"/>
          <w:b w:val="false"/>
          <w:bCs w:val="false"/>
          <w:i w:val="false"/>
          <w:iCs w:val="false"/>
          <w:color w:val="000000"/>
          <w:sz w:val="22"/>
          <w:szCs w:val="22"/>
        </w:rPr>
        <w:t xml:space="preserve">Quantify crime, safety, and neighborhood vibrancy at the property level. Insurance-pricing input and tenant-attraction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4160"/>
        <w:gridCol w:w="1440"/>
        <w:gridCol w:w="800"/>
        <w:gridCol w:w="880"/>
      </w:tblGrid>
      <w:tr>
        <w:trPr>
          <w:tblHeader/>
        </w:trPr>
        <w:tc>
          <w:tcPr>
            <w:tcW w:type="dxa" w:w="208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Tool / Vendor</w:t>
            </w:r>
          </w:p>
        </w:tc>
        <w:tc>
          <w:tcPr>
            <w:tcW w:type="dxa" w:w="416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What It Does (One-Liner)</w:t>
            </w:r>
          </w:p>
        </w:tc>
        <w:tc>
          <w:tcPr>
            <w:tcW w:type="dxa" w:w="144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Annual Cost</w:t>
            </w:r>
          </w:p>
        </w:tc>
        <w:tc>
          <w:tcPr>
            <w:tcW w:type="dxa" w:w="80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API</w:t>
            </w:r>
          </w:p>
        </w:tc>
        <w:tc>
          <w:tcPr>
            <w:tcW w:type="dxa" w:w="88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Tier</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CrimeReports (Motorola Solutions)</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Crime-incident mapping with 1,000+ U.S. police-agency contributors. Free consumer search; aggregated data for commercial use.</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 / Custom</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SpotCrime</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Free crime-incident aggregator pulling from local agencies and police departments. Useful free baseline crime layer.</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AreaVibes</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Free neighborhood-quality scores including crime, schools, employment, and amenities. Consumer-grade but useful baseline.</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NeighborhoodScout</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Crime, school, real-estate, and demographic data at neighborhood level. Stronger predictive crime data than free alternatives.</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$300–$3,000/yr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ATTOM Neighborhood (within ATTOM API)</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ATTOM Data's neighborhood-quality layer with crime, school, and household data. Bundled with ATTOM's broader property data.</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Bundled w/ ATTOM</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FBI Uniform Crime Reporting (UCR/NIBRS)</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Free Federal Bureau of Investigation crime statistics at agency, county, and metro level. Authoritative baseline for crime trends.</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bl>
    <w:p>
      <w:r>
        <w:br w:type="page"/>
      </w:r>
    </w:p>
    <w:p>
      <w:pPr>
        <w:pBdr>
          <w:bottom w:val="single" w:color="BC9C45" w:sz="12" w:space="4"/>
        </w:pBdr>
        <w:spacing w:after="60" w:before="0"/>
        <w:jc w:val="left"/>
      </w:pPr>
      <w:r>
        <w:rPr>
          <w:rFonts w:ascii="Arial" w:cs="Arial" w:eastAsia="Arial" w:hAnsi="Arial"/>
          <w:b/>
          <w:bCs/>
          <w:i w:val="false"/>
          <w:iCs w:val="false"/>
          <w:color w:val="BC9C45"/>
          <w:sz w:val="32"/>
          <w:szCs w:val="32"/>
        </w:rPr>
        <w:t xml:space="preserve">Z1.  </w:t>
      </w:r>
      <w:r>
        <w:rPr>
          <w:rFonts w:ascii="Arial" w:cs="Arial" w:eastAsia="Arial" w:hAnsi="Arial"/>
          <w:b/>
          <w:bCs/>
          <w:i w:val="false"/>
          <w:iCs w:val="false"/>
          <w:color w:val="0E3470"/>
          <w:sz w:val="32"/>
          <w:szCs w:val="32"/>
        </w:rPr>
        <w:t xml:space="preserve">SPECIALTY: HOSPITALITY</w:t>
      </w:r>
    </w:p>
    <w:p>
      <w:pPr>
        <w:spacing w:after="240" w:before="60"/>
        <w:jc w:val="left"/>
      </w:pPr>
      <w:r>
        <w:rPr>
          <w:rFonts w:ascii="Arial" w:cs="Arial" w:eastAsia="Arial" w:hAnsi="Arial"/>
          <w:b w:val="false"/>
          <w:bCs w:val="false"/>
          <w:i/>
          <w:iCs/>
          <w:color w:val="6B6B6B"/>
          <w:sz w:val="18"/>
          <w:szCs w:val="18"/>
        </w:rPr>
        <w:t xml:space="preserve">9 tools</w:t>
      </w:r>
    </w:p>
    <w:p>
      <w:pPr>
        <w:spacing w:after="60" w:before="60"/>
        <w:jc w:val="left"/>
      </w:pPr>
      <w:r>
        <w:rPr>
          <w:rFonts w:ascii="Arial" w:cs="Arial" w:eastAsia="Arial" w:hAnsi="Arial"/>
          <w:b/>
          <w:bCs/>
          <w:i w:val="false"/>
          <w:iCs w:val="false"/>
          <w:color w:val="0E3470"/>
          <w:sz w:val="22"/>
          <w:szCs w:val="22"/>
        </w:rPr>
        <w:t xml:space="preserve">Intent.  </w:t>
      </w:r>
    </w:p>
    <w:p>
      <w:pPr>
        <w:spacing w:after="360" w:before="0"/>
        <w:jc w:val="left"/>
      </w:pPr>
      <w:r>
        <w:rPr>
          <w:rFonts w:ascii="Arial" w:cs="Arial" w:eastAsia="Arial" w:hAnsi="Arial"/>
          <w:b w:val="false"/>
          <w:bCs w:val="false"/>
          <w:i w:val="false"/>
          <w:iCs w:val="false"/>
          <w:color w:val="000000"/>
          <w:sz w:val="22"/>
          <w:szCs w:val="22"/>
        </w:rPr>
        <w:t xml:space="preserve">Hotel-specific revenue, occupancy, ADR, and competitive intelligence. STR is the institutional benchmark; Kalibri Labs and HotStats segment further.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4160"/>
        <w:gridCol w:w="1440"/>
        <w:gridCol w:w="800"/>
        <w:gridCol w:w="880"/>
      </w:tblGrid>
      <w:tr>
        <w:trPr>
          <w:tblHeader/>
        </w:trPr>
        <w:tc>
          <w:tcPr>
            <w:tcW w:type="dxa" w:w="208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Tool / Vendor</w:t>
            </w:r>
          </w:p>
        </w:tc>
        <w:tc>
          <w:tcPr>
            <w:tcW w:type="dxa" w:w="416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What It Does (One-Liner)</w:t>
            </w:r>
          </w:p>
        </w:tc>
        <w:tc>
          <w:tcPr>
            <w:tcW w:type="dxa" w:w="144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Annual Cost</w:t>
            </w:r>
          </w:p>
        </w:tc>
        <w:tc>
          <w:tcPr>
            <w:tcW w:type="dxa" w:w="80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API</w:t>
            </w:r>
          </w:p>
        </w:tc>
        <w:tc>
          <w:tcPr>
            <w:tcW w:type="dxa" w:w="88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Tier</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STR (CoStar)</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Smith Travel Research with 90,000+ hotels and 11.8M rooms tracked across 190+ countries. The institutional benchmark for ADR, RevPAR, and occupancy.</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$750–$15,000+/yr</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T1</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Kalibri Labs</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Hotel revenue and channel-cost intelligence focused on net rate (after distribution costs). Stronger profitability lens than gross-revenue STR.</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Custom</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HotStats</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Hotel profitability benchmarking with detailed P&amp;L data. The departmental-cost-and-margin benchmark that STR doesn't cover.</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Custom</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Lighthouse (formerly OTA Insight)</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Hospitality market and pricing intelligence covering OTA pricing parity and competitor rates. Strong revenue-management benchmarking.</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$2.4K–$15K/yr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AirDNA</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Vacation-rental intelligence covering 12M+ Airbnb and Vrbo properties across 120,000 markets. The STR-equivalent for the STR (short-term-rental) market.</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$15–$40/mo/market</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 (Enterprise)</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AllTheRooms Analytics</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Vacation-rental and short-term rental data tracking 12M+ listings across 200K+ markets. AirDNA's primary competitor.</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Custom</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Hotel Effectiveness</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Hotel labor and productivity benchmarking. Strong on labor-cost management and profitability.</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Custom</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CBRE Hotels</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CBRE's hospitality research division with Trends Report, valuation guidance, and capital-markets commentary. Free public quarterly reports.</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 / Custom</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JLL Hotels &amp; Hospitality</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JLL's hotel research division with global coverage. Free public market reports and stronger investment-sales perspective.</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 / Custom</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bl>
    <w:p>
      <w:r>
        <w:br w:type="page"/>
      </w:r>
    </w:p>
    <w:p>
      <w:pPr>
        <w:pBdr>
          <w:bottom w:val="single" w:color="BC9C45" w:sz="12" w:space="4"/>
        </w:pBdr>
        <w:spacing w:after="60" w:before="0"/>
        <w:jc w:val="left"/>
      </w:pPr>
      <w:r>
        <w:rPr>
          <w:rFonts w:ascii="Arial" w:cs="Arial" w:eastAsia="Arial" w:hAnsi="Arial"/>
          <w:b/>
          <w:bCs/>
          <w:i w:val="false"/>
          <w:iCs w:val="false"/>
          <w:color w:val="BC9C45"/>
          <w:sz w:val="32"/>
          <w:szCs w:val="32"/>
        </w:rPr>
        <w:t xml:space="preserve">Z2.  </w:t>
      </w:r>
      <w:r>
        <w:rPr>
          <w:rFonts w:ascii="Arial" w:cs="Arial" w:eastAsia="Arial" w:hAnsi="Arial"/>
          <w:b/>
          <w:bCs/>
          <w:i w:val="false"/>
          <w:iCs w:val="false"/>
          <w:color w:val="0E3470"/>
          <w:sz w:val="32"/>
          <w:szCs w:val="32"/>
        </w:rPr>
        <w:t xml:space="preserve">SPECIALTY: SELF-STORAGE</w:t>
      </w:r>
    </w:p>
    <w:p>
      <w:pPr>
        <w:spacing w:after="240" w:before="60"/>
        <w:jc w:val="left"/>
      </w:pPr>
      <w:r>
        <w:rPr>
          <w:rFonts w:ascii="Arial" w:cs="Arial" w:eastAsia="Arial" w:hAnsi="Arial"/>
          <w:b w:val="false"/>
          <w:bCs w:val="false"/>
          <w:i/>
          <w:iCs/>
          <w:color w:val="6B6B6B"/>
          <w:sz w:val="18"/>
          <w:szCs w:val="18"/>
        </w:rPr>
        <w:t xml:space="preserve">5 tools</w:t>
      </w:r>
    </w:p>
    <w:p>
      <w:pPr>
        <w:spacing w:after="60" w:before="60"/>
        <w:jc w:val="left"/>
      </w:pPr>
      <w:r>
        <w:rPr>
          <w:rFonts w:ascii="Arial" w:cs="Arial" w:eastAsia="Arial" w:hAnsi="Arial"/>
          <w:b/>
          <w:bCs/>
          <w:i w:val="false"/>
          <w:iCs w:val="false"/>
          <w:color w:val="0E3470"/>
          <w:sz w:val="22"/>
          <w:szCs w:val="22"/>
        </w:rPr>
        <w:t xml:space="preserve">Intent.  </w:t>
      </w:r>
    </w:p>
    <w:p>
      <w:pPr>
        <w:spacing w:after="360" w:before="0"/>
        <w:jc w:val="left"/>
      </w:pPr>
      <w:r>
        <w:rPr>
          <w:rFonts w:ascii="Arial" w:cs="Arial" w:eastAsia="Arial" w:hAnsi="Arial"/>
          <w:b w:val="false"/>
          <w:bCs w:val="false"/>
          <w:i w:val="false"/>
          <w:iCs w:val="false"/>
          <w:color w:val="000000"/>
          <w:sz w:val="22"/>
          <w:szCs w:val="22"/>
        </w:rPr>
        <w:t xml:space="preserve">Self-storage-specific demographic-driven supply, demand, and rental-rate data. The most underwriting-data-mature CRE niche outside multifamily.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4160"/>
        <w:gridCol w:w="1440"/>
        <w:gridCol w:w="800"/>
        <w:gridCol w:w="880"/>
      </w:tblGrid>
      <w:tr>
        <w:trPr>
          <w:tblHeader/>
        </w:trPr>
        <w:tc>
          <w:tcPr>
            <w:tcW w:type="dxa" w:w="208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Tool / Vendor</w:t>
            </w:r>
          </w:p>
        </w:tc>
        <w:tc>
          <w:tcPr>
            <w:tcW w:type="dxa" w:w="416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What It Does (One-Liner)</w:t>
            </w:r>
          </w:p>
        </w:tc>
        <w:tc>
          <w:tcPr>
            <w:tcW w:type="dxa" w:w="144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Annual Cost</w:t>
            </w:r>
          </w:p>
        </w:tc>
        <w:tc>
          <w:tcPr>
            <w:tcW w:type="dxa" w:w="80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API</w:t>
            </w:r>
          </w:p>
        </w:tc>
        <w:tc>
          <w:tcPr>
            <w:tcW w:type="dxa" w:w="88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Tier</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Radius+ (Storable)</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Self-storage market intelligence with property-level performance data and supply-demand analytics. The institutional self-storage benchmark.</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$3K–$25K/yr</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T1</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Yardi Matrix Self Storage</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Self-storage market analytics within Yardi Matrix covering supply pipeline, ownership, and rent trends. The Yardi-platform alternative to Radius+.</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Bundled with Matrix</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Inside Self-Storage / MSM (Mini-Storage Messenger)</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Trade-press and conference platform with annual industry data publication. Free public reports; deeper industry research within paid membership.</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Free–$1,200/yr</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SpareFoot</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Consumer self-storage marketplace with national listing data. Useful free signal for asking rates at the unit level.</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 (consumer)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Self-Storage Almanac (MSM)</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Annual self-storage industry data publication. Free PDF; the standard industry-statistics reference.</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 / $500</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bl>
    <w:p>
      <w:r>
        <w:br w:type="page"/>
      </w:r>
    </w:p>
    <w:p>
      <w:pPr>
        <w:pBdr>
          <w:bottom w:val="single" w:color="BC9C45" w:sz="12" w:space="4"/>
        </w:pBdr>
        <w:spacing w:after="60" w:before="0"/>
        <w:jc w:val="left"/>
      </w:pPr>
      <w:r>
        <w:rPr>
          <w:rFonts w:ascii="Arial" w:cs="Arial" w:eastAsia="Arial" w:hAnsi="Arial"/>
          <w:b/>
          <w:bCs/>
          <w:i w:val="false"/>
          <w:iCs w:val="false"/>
          <w:color w:val="BC9C45"/>
          <w:sz w:val="32"/>
          <w:szCs w:val="32"/>
        </w:rPr>
        <w:t xml:space="preserve">Z3.  </w:t>
      </w:r>
      <w:r>
        <w:rPr>
          <w:rFonts w:ascii="Arial" w:cs="Arial" w:eastAsia="Arial" w:hAnsi="Arial"/>
          <w:b/>
          <w:bCs/>
          <w:i w:val="false"/>
          <w:iCs w:val="false"/>
          <w:color w:val="0E3470"/>
          <w:sz w:val="32"/>
          <w:szCs w:val="32"/>
        </w:rPr>
        <w:t xml:space="preserve">SPECIALTY: SENIOR HOUSING &amp; HEALTHCARE</w:t>
      </w:r>
    </w:p>
    <w:p>
      <w:pPr>
        <w:spacing w:after="240" w:before="60"/>
        <w:jc w:val="left"/>
      </w:pPr>
      <w:r>
        <w:rPr>
          <w:rFonts w:ascii="Arial" w:cs="Arial" w:eastAsia="Arial" w:hAnsi="Arial"/>
          <w:b w:val="false"/>
          <w:bCs w:val="false"/>
          <w:i/>
          <w:iCs/>
          <w:color w:val="6B6B6B"/>
          <w:sz w:val="18"/>
          <w:szCs w:val="18"/>
        </w:rPr>
        <w:t xml:space="preserve">6 tools</w:t>
      </w:r>
    </w:p>
    <w:p>
      <w:pPr>
        <w:spacing w:after="60" w:before="60"/>
        <w:jc w:val="left"/>
      </w:pPr>
      <w:r>
        <w:rPr>
          <w:rFonts w:ascii="Arial" w:cs="Arial" w:eastAsia="Arial" w:hAnsi="Arial"/>
          <w:b/>
          <w:bCs/>
          <w:i w:val="false"/>
          <w:iCs w:val="false"/>
          <w:color w:val="0E3470"/>
          <w:sz w:val="22"/>
          <w:szCs w:val="22"/>
        </w:rPr>
        <w:t xml:space="preserve">Intent.  </w:t>
      </w:r>
    </w:p>
    <w:p>
      <w:pPr>
        <w:spacing w:after="360" w:before="0"/>
        <w:jc w:val="left"/>
      </w:pPr>
      <w:r>
        <w:rPr>
          <w:rFonts w:ascii="Arial" w:cs="Arial" w:eastAsia="Arial" w:hAnsi="Arial"/>
          <w:b w:val="false"/>
          <w:bCs w:val="false"/>
          <w:i w:val="false"/>
          <w:iCs w:val="false"/>
          <w:color w:val="000000"/>
          <w:sz w:val="22"/>
          <w:szCs w:val="22"/>
        </w:rPr>
        <w:t xml:space="preserve">Senior housing, skilled nursing, and medical-office-specific data. NIC MAP is the institutional standard; smaller niche players cover specialty subcategories.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4160"/>
        <w:gridCol w:w="1440"/>
        <w:gridCol w:w="800"/>
        <w:gridCol w:w="880"/>
      </w:tblGrid>
      <w:tr>
        <w:trPr>
          <w:tblHeader/>
        </w:trPr>
        <w:tc>
          <w:tcPr>
            <w:tcW w:type="dxa" w:w="208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Tool / Vendor</w:t>
            </w:r>
          </w:p>
        </w:tc>
        <w:tc>
          <w:tcPr>
            <w:tcW w:type="dxa" w:w="416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What It Does (One-Liner)</w:t>
            </w:r>
          </w:p>
        </w:tc>
        <w:tc>
          <w:tcPr>
            <w:tcW w:type="dxa" w:w="144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Annual Cost</w:t>
            </w:r>
          </w:p>
        </w:tc>
        <w:tc>
          <w:tcPr>
            <w:tcW w:type="dxa" w:w="80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API</w:t>
            </w:r>
          </w:p>
        </w:tc>
        <w:tc>
          <w:tcPr>
            <w:tcW w:type="dxa" w:w="88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Tier</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NIC MAP Vision</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National Investment Center for Seniors Housing &amp; Care with property-level data on 15,000+ senior-housing and care properties. The institutional senior-housing benchmark.</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$5K–$30K+/yr</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T1</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IRR Healthcare</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Integra Realty Resources Healthcare division with quarterly market data on medical-office, ambulatory surgery, and senior housing. Free quarterly reports.</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 / Custom</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Argentum Data</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Senior-living trade association with industry research and benchmark data. Free for members; subscription tier for non-members.</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$500–$3,000/yr</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LeadingAge</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Non-profit senior-living trade association with research and market data. Member-tier access; complementary to NIC MAP.</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$500–$3,000/yr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Marcus &amp; Millichap Healthcare Real Estate Group</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M&amp;M's healthcare-real-estate research division with quarterly market reports. Free public; useful complement to NIC MAP.</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Revista Med</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Medical-office building (MOB) database covering 80K+ healthcare properties with leasing and ownership data. The MOB-specialist benchmark.</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$3K–$20K/yr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bl>
    <w:p>
      <w:r>
        <w:br w:type="page"/>
      </w:r>
    </w:p>
    <w:p>
      <w:pPr>
        <w:pBdr>
          <w:bottom w:val="single" w:color="BC9C45" w:sz="12" w:space="4"/>
        </w:pBdr>
        <w:spacing w:after="60" w:before="0"/>
        <w:jc w:val="left"/>
      </w:pPr>
      <w:r>
        <w:rPr>
          <w:rFonts w:ascii="Arial" w:cs="Arial" w:eastAsia="Arial" w:hAnsi="Arial"/>
          <w:b/>
          <w:bCs/>
          <w:i w:val="false"/>
          <w:iCs w:val="false"/>
          <w:color w:val="BC9C45"/>
          <w:sz w:val="32"/>
          <w:szCs w:val="32"/>
        </w:rPr>
        <w:t xml:space="preserve">Z4.  </w:t>
      </w:r>
      <w:r>
        <w:rPr>
          <w:rFonts w:ascii="Arial" w:cs="Arial" w:eastAsia="Arial" w:hAnsi="Arial"/>
          <w:b/>
          <w:bCs/>
          <w:i w:val="false"/>
          <w:iCs w:val="false"/>
          <w:color w:val="0E3470"/>
          <w:sz w:val="32"/>
          <w:szCs w:val="32"/>
        </w:rPr>
        <w:t xml:space="preserve">SPECIALTY: INDUSTRIAL</w:t>
      </w:r>
    </w:p>
    <w:p>
      <w:pPr>
        <w:spacing w:after="240" w:before="60"/>
        <w:jc w:val="left"/>
      </w:pPr>
      <w:r>
        <w:rPr>
          <w:rFonts w:ascii="Arial" w:cs="Arial" w:eastAsia="Arial" w:hAnsi="Arial"/>
          <w:b w:val="false"/>
          <w:bCs w:val="false"/>
          <w:i/>
          <w:iCs/>
          <w:color w:val="6B6B6B"/>
          <w:sz w:val="18"/>
          <w:szCs w:val="18"/>
        </w:rPr>
        <w:t xml:space="preserve">8 tools</w:t>
      </w:r>
    </w:p>
    <w:p>
      <w:pPr>
        <w:spacing w:after="60" w:before="60"/>
        <w:jc w:val="left"/>
      </w:pPr>
      <w:r>
        <w:rPr>
          <w:rFonts w:ascii="Arial" w:cs="Arial" w:eastAsia="Arial" w:hAnsi="Arial"/>
          <w:b/>
          <w:bCs/>
          <w:i w:val="false"/>
          <w:iCs w:val="false"/>
          <w:color w:val="0E3470"/>
          <w:sz w:val="22"/>
          <w:szCs w:val="22"/>
        </w:rPr>
        <w:t xml:space="preserve">Intent.  </w:t>
      </w:r>
    </w:p>
    <w:p>
      <w:pPr>
        <w:spacing w:after="360" w:before="0"/>
        <w:jc w:val="left"/>
      </w:pPr>
      <w:r>
        <w:rPr>
          <w:rFonts w:ascii="Arial" w:cs="Arial" w:eastAsia="Arial" w:hAnsi="Arial"/>
          <w:b w:val="false"/>
          <w:bCs w:val="false"/>
          <w:i w:val="false"/>
          <w:iCs w:val="false"/>
          <w:color w:val="000000"/>
          <w:sz w:val="22"/>
          <w:szCs w:val="22"/>
        </w:rPr>
        <w:t xml:space="preserve">Industrial-specific market data — supply pipeline, big-box absorption, port and logistics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4160"/>
        <w:gridCol w:w="1440"/>
        <w:gridCol w:w="800"/>
        <w:gridCol w:w="880"/>
      </w:tblGrid>
      <w:tr>
        <w:trPr>
          <w:tblHeader/>
        </w:trPr>
        <w:tc>
          <w:tcPr>
            <w:tcW w:type="dxa" w:w="208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Tool / Vendor</w:t>
            </w:r>
          </w:p>
        </w:tc>
        <w:tc>
          <w:tcPr>
            <w:tcW w:type="dxa" w:w="416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What It Does (One-Liner)</w:t>
            </w:r>
          </w:p>
        </w:tc>
        <w:tc>
          <w:tcPr>
            <w:tcW w:type="dxa" w:w="144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Annual Cost</w:t>
            </w:r>
          </w:p>
        </w:tc>
        <w:tc>
          <w:tcPr>
            <w:tcW w:type="dxa" w:w="80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API</w:t>
            </w:r>
          </w:p>
        </w:tc>
        <w:tc>
          <w:tcPr>
            <w:tcW w:type="dxa" w:w="88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Tier</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CBRE Industrial Research</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Free quarterly industrial market reports with strong logistics and big-box coverage. Best-in-class industrial-market commentary.</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 / Custom</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JLL Industrial Research</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Free quarterly industrial reports with strong U.S. and global coverage. Stronger logistics and last-mile commentary.</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 / Custom</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Cushman &amp; Wakefield LogiSTatistics</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Industrial-and-logistics specialist research within Cushman. Free quarterly reports plus deeper subscription tier.</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 / Custom</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Newmark Industrial Research</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Newmark's industrial research division with quarterly market reports. Free public access; strong on capital-markets perspective.</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 / Custom</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Prologis Insights</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Public REIT research from the largest industrial REIT globally. Free thought-leadership on logistics, supply chain, and ports.</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Yardi Matrix Industrial</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Industrial market data within Yardi Matrix with property-level rent and ownership intelligence. Bundled with Matrix subscription.</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Bundled with Matrix</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American Association of Port Authorities (AAPA)</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Free port-volume and shipping data covering U.S. and global ports. Required for any logistics-and-distribution-property analysis.</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CBRE Port Watch</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CBRE's logistics-port research with quarterly TEU volume tracking. Free quarterly publication.</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bl>
    <w:p>
      <w:r>
        <w:br w:type="page"/>
      </w:r>
    </w:p>
    <w:p>
      <w:pPr>
        <w:pBdr>
          <w:bottom w:val="single" w:color="BC9C45" w:sz="12" w:space="4"/>
        </w:pBdr>
        <w:spacing w:after="60" w:before="0"/>
        <w:jc w:val="left"/>
      </w:pPr>
      <w:r>
        <w:rPr>
          <w:rFonts w:ascii="Arial" w:cs="Arial" w:eastAsia="Arial" w:hAnsi="Arial"/>
          <w:b/>
          <w:bCs/>
          <w:i w:val="false"/>
          <w:iCs w:val="false"/>
          <w:color w:val="BC9C45"/>
          <w:sz w:val="32"/>
          <w:szCs w:val="32"/>
        </w:rPr>
        <w:t xml:space="preserve">Z5.  </w:t>
      </w:r>
      <w:r>
        <w:rPr>
          <w:rFonts w:ascii="Arial" w:cs="Arial" w:eastAsia="Arial" w:hAnsi="Arial"/>
          <w:b/>
          <w:bCs/>
          <w:i w:val="false"/>
          <w:iCs w:val="false"/>
          <w:color w:val="0E3470"/>
          <w:sz w:val="32"/>
          <w:szCs w:val="32"/>
        </w:rPr>
        <w:t xml:space="preserve">SPECIALTY: MULTIFAMILY</w:t>
      </w:r>
    </w:p>
    <w:p>
      <w:pPr>
        <w:spacing w:after="240" w:before="60"/>
        <w:jc w:val="left"/>
      </w:pPr>
      <w:r>
        <w:rPr>
          <w:rFonts w:ascii="Arial" w:cs="Arial" w:eastAsia="Arial" w:hAnsi="Arial"/>
          <w:b w:val="false"/>
          <w:bCs w:val="false"/>
          <w:i/>
          <w:iCs/>
          <w:color w:val="6B6B6B"/>
          <w:sz w:val="18"/>
          <w:szCs w:val="18"/>
        </w:rPr>
        <w:t xml:space="preserve">10 tools</w:t>
      </w:r>
    </w:p>
    <w:p>
      <w:pPr>
        <w:spacing w:after="60" w:before="60"/>
        <w:jc w:val="left"/>
      </w:pPr>
      <w:r>
        <w:rPr>
          <w:rFonts w:ascii="Arial" w:cs="Arial" w:eastAsia="Arial" w:hAnsi="Arial"/>
          <w:b/>
          <w:bCs/>
          <w:i w:val="false"/>
          <w:iCs w:val="false"/>
          <w:color w:val="0E3470"/>
          <w:sz w:val="22"/>
          <w:szCs w:val="22"/>
        </w:rPr>
        <w:t xml:space="preserve">Intent.  </w:t>
      </w:r>
    </w:p>
    <w:p>
      <w:pPr>
        <w:spacing w:after="360" w:before="0"/>
        <w:jc w:val="left"/>
      </w:pPr>
      <w:r>
        <w:rPr>
          <w:rFonts w:ascii="Arial" w:cs="Arial" w:eastAsia="Arial" w:hAnsi="Arial"/>
          <w:b w:val="false"/>
          <w:bCs w:val="false"/>
          <w:i w:val="false"/>
          <w:iCs w:val="false"/>
          <w:color w:val="000000"/>
          <w:sz w:val="22"/>
          <w:szCs w:val="22"/>
        </w:rPr>
        <w:t xml:space="preserve">Multifamily-specific intelligence — RealPage, Yardi Matrix, ALN, and the apartment-listing ecosystem. Larger and more data-mature than any other CRE niche.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4160"/>
        <w:gridCol w:w="1440"/>
        <w:gridCol w:w="800"/>
        <w:gridCol w:w="880"/>
      </w:tblGrid>
      <w:tr>
        <w:trPr>
          <w:tblHeader/>
        </w:trPr>
        <w:tc>
          <w:tcPr>
            <w:tcW w:type="dxa" w:w="208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Tool / Vendor</w:t>
            </w:r>
          </w:p>
        </w:tc>
        <w:tc>
          <w:tcPr>
            <w:tcW w:type="dxa" w:w="416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What It Does (One-Liner)</w:t>
            </w:r>
          </w:p>
        </w:tc>
        <w:tc>
          <w:tcPr>
            <w:tcW w:type="dxa" w:w="144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Annual Cost</w:t>
            </w:r>
          </w:p>
        </w:tc>
        <w:tc>
          <w:tcPr>
            <w:tcW w:type="dxa" w:w="80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API</w:t>
            </w:r>
          </w:p>
        </w:tc>
        <w:tc>
          <w:tcPr>
            <w:tcW w:type="dxa" w:w="88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Tier</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RealPage MPF Research</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Multifamily market-rent surveys covering 15M+ U.S. units with monthly updates. The institutional multifamily benchmark.</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$5K–$25K/yr</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T1</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Yardi Matrix Multifamily</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Property-level multifamily data with rent, occupancy, ownership, and forecast layer. The strongest multifamily competitor to RealPage.</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Bundled w/ Matrix</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T1</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ALN Apartment Data</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Texas and Sun Belt multifamily with concession and rent data at property level. The Texas multifamily standard.</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$3K–$15K/yr</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Apartments.com (CoStar)</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CoStar's consumer multifamily marketplace with national listing data. Useful for asking-rent trends.</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 / Listing fees</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RentCafe (Yardi)</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Yardi's consumer multifamily listings site. Free signal for asking rents and concessions.</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ApartmentList</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Consumer multifamily marketplace with national rent reports. Free public reports; useful free signal layer.</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CoreLogic Multifamily Discovery</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CoreLogic's multifamily-specific data product with renter-screening and operational analytics. Smaller than RealPage/Yardi.</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Custom</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HelloData.ai</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AI-driven multifamily competitive-set rent analytics. Aggressive pricing newer entrant; good fit for sub-$10M assets.</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$1,200–$6,000/yr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Zumper</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Consumer multifamily marketplace with national-rent index. Free public reports complementing ApartmentList.</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RentSpree</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Tenant-screening and apartment-listing platform with rent-comp data. Useful for small-multifamily operators.</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Custom</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bl>
    <w:p>
      <w:r>
        <w:br w:type="page"/>
      </w:r>
    </w:p>
    <w:p>
      <w:pPr>
        <w:pBdr>
          <w:bottom w:val="single" w:color="BC9C45" w:sz="12" w:space="4"/>
        </w:pBdr>
        <w:spacing w:after="60" w:before="0"/>
        <w:jc w:val="left"/>
      </w:pPr>
      <w:r>
        <w:rPr>
          <w:rFonts w:ascii="Arial" w:cs="Arial" w:eastAsia="Arial" w:hAnsi="Arial"/>
          <w:b/>
          <w:bCs/>
          <w:i w:val="false"/>
          <w:iCs w:val="false"/>
          <w:color w:val="BC9C45"/>
          <w:sz w:val="32"/>
          <w:szCs w:val="32"/>
        </w:rPr>
        <w:t xml:space="preserve">Z6.  </w:t>
      </w:r>
      <w:r>
        <w:rPr>
          <w:rFonts w:ascii="Arial" w:cs="Arial" w:eastAsia="Arial" w:hAnsi="Arial"/>
          <w:b/>
          <w:bCs/>
          <w:i w:val="false"/>
          <w:iCs w:val="false"/>
          <w:color w:val="0E3470"/>
          <w:sz w:val="32"/>
          <w:szCs w:val="32"/>
        </w:rPr>
        <w:t xml:space="preserve">SPECIALTY: RETAIL</w:t>
      </w:r>
    </w:p>
    <w:p>
      <w:pPr>
        <w:spacing w:after="240" w:before="60"/>
        <w:jc w:val="left"/>
      </w:pPr>
      <w:r>
        <w:rPr>
          <w:rFonts w:ascii="Arial" w:cs="Arial" w:eastAsia="Arial" w:hAnsi="Arial"/>
          <w:b w:val="false"/>
          <w:bCs w:val="false"/>
          <w:i/>
          <w:iCs/>
          <w:color w:val="6B6B6B"/>
          <w:sz w:val="18"/>
          <w:szCs w:val="18"/>
        </w:rPr>
        <w:t xml:space="preserve">10 tools</w:t>
      </w:r>
    </w:p>
    <w:p>
      <w:pPr>
        <w:spacing w:after="60" w:before="60"/>
        <w:jc w:val="left"/>
      </w:pPr>
      <w:r>
        <w:rPr>
          <w:rFonts w:ascii="Arial" w:cs="Arial" w:eastAsia="Arial" w:hAnsi="Arial"/>
          <w:b/>
          <w:bCs/>
          <w:i w:val="false"/>
          <w:iCs w:val="false"/>
          <w:color w:val="0E3470"/>
          <w:sz w:val="22"/>
          <w:szCs w:val="22"/>
        </w:rPr>
        <w:t xml:space="preserve">Intent.  </w:t>
      </w:r>
    </w:p>
    <w:p>
      <w:pPr>
        <w:spacing w:after="360" w:before="0"/>
        <w:jc w:val="left"/>
      </w:pPr>
      <w:r>
        <w:rPr>
          <w:rFonts w:ascii="Arial" w:cs="Arial" w:eastAsia="Arial" w:hAnsi="Arial"/>
          <w:b w:val="false"/>
          <w:bCs w:val="false"/>
          <w:i w:val="false"/>
          <w:iCs w:val="false"/>
          <w:color w:val="000000"/>
          <w:sz w:val="22"/>
          <w:szCs w:val="22"/>
        </w:rPr>
        <w:t xml:space="preserve">Retail-tenant credit, foot traffic, store-closing tracking, and trade-area intelligence. The most data-rich CRE niche after multifamily.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4160"/>
        <w:gridCol w:w="1440"/>
        <w:gridCol w:w="800"/>
        <w:gridCol w:w="880"/>
      </w:tblGrid>
      <w:tr>
        <w:trPr>
          <w:tblHeader/>
        </w:trPr>
        <w:tc>
          <w:tcPr>
            <w:tcW w:type="dxa" w:w="208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Tool / Vendor</w:t>
            </w:r>
          </w:p>
        </w:tc>
        <w:tc>
          <w:tcPr>
            <w:tcW w:type="dxa" w:w="416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What It Does (One-Liner)</w:t>
            </w:r>
          </w:p>
        </w:tc>
        <w:tc>
          <w:tcPr>
            <w:tcW w:type="dxa" w:w="144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Annual Cost</w:t>
            </w:r>
          </w:p>
        </w:tc>
        <w:tc>
          <w:tcPr>
            <w:tcW w:type="dxa" w:w="80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API</w:t>
            </w:r>
          </w:p>
        </w:tc>
        <w:tc>
          <w:tcPr>
            <w:tcW w:type="dxa" w:w="88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Tier</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Placer.ai (Retail)</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Foot-traffic intelligence on every U.S. retail location with anchor-tenant tracking. The retail tenant-departure-detection standard.</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$5K–$15K/yr/seat</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T1</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Creditntell</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Retail-tenant-specialist credit research covering 1,500+ retailers. The retail equivalent of Moody's; essential for anchor underwriting.</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$5K–$25K/yr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BC9C45"/>
                <w:sz w:val="20"/>
                <w:szCs w:val="20"/>
              </w:rPr>
              <w:t xml:space="preserve">T1</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Coresight Research</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Retail and consumer market intelligence with store-closing tracking and bankruptcy watch. Strong forward-looking retail tenant signal.</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$5K–$30K/yr</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RetailNext</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In-store traffic and conversion analytics. Less relevant for CRE buyers; more relevant for retail tenants.</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Custom</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Tango Analytics</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Site-selection and lease-administration platform with predictive analytics. Heavy retail-tenant client base.</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Custom</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Buxton</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Consumer-analytics consultancy with retail and restaurant clients. Service-heavy delivery; not a software subscription.</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Custom</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Sitewise (Buxton)</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Buxton's retail site-selection software product. Bundled or standalone with consultancy.</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Custom</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eMarketer (now Insider Intelligence)</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Consumer e-commerce, advertising, and retail-trends research. Free public reports plus subscription tier.</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 / $5K+/yr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ICSC (International Council of Shopping Centers)</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Retail trade association with industry research and benchmark data. Member-tier access; the retail real-estate trade body.</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$700+/yr</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Axiometrics (RealPage Retail)</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Retail-property analytics within RealPage suite. Bundled or standalone with RealPage subscription.</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Custom</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bl>
    <w:p>
      <w:r>
        <w:br w:type="page"/>
      </w:r>
    </w:p>
    <w:p>
      <w:pPr>
        <w:pBdr>
          <w:bottom w:val="single" w:color="BC9C45" w:sz="12" w:space="4"/>
        </w:pBdr>
        <w:spacing w:after="60" w:before="0"/>
        <w:jc w:val="left"/>
      </w:pPr>
      <w:r>
        <w:rPr>
          <w:rFonts w:ascii="Arial" w:cs="Arial" w:eastAsia="Arial" w:hAnsi="Arial"/>
          <w:b/>
          <w:bCs/>
          <w:i w:val="false"/>
          <w:iCs w:val="false"/>
          <w:color w:val="BC9C45"/>
          <w:sz w:val="32"/>
          <w:szCs w:val="32"/>
        </w:rPr>
        <w:t xml:space="preserve">Z7.  </w:t>
      </w:r>
      <w:r>
        <w:rPr>
          <w:rFonts w:ascii="Arial" w:cs="Arial" w:eastAsia="Arial" w:hAnsi="Arial"/>
          <w:b/>
          <w:bCs/>
          <w:i w:val="false"/>
          <w:iCs w:val="false"/>
          <w:color w:val="0E3470"/>
          <w:sz w:val="32"/>
          <w:szCs w:val="32"/>
        </w:rPr>
        <w:t xml:space="preserve">SPECIALTY: OFFICE &amp; WORKPLACE</w:t>
      </w:r>
    </w:p>
    <w:p>
      <w:pPr>
        <w:spacing w:after="240" w:before="60"/>
        <w:jc w:val="left"/>
      </w:pPr>
      <w:r>
        <w:rPr>
          <w:rFonts w:ascii="Arial" w:cs="Arial" w:eastAsia="Arial" w:hAnsi="Arial"/>
          <w:b w:val="false"/>
          <w:bCs w:val="false"/>
          <w:i/>
          <w:iCs/>
          <w:color w:val="6B6B6B"/>
          <w:sz w:val="18"/>
          <w:szCs w:val="18"/>
        </w:rPr>
        <w:t xml:space="preserve">8 tools</w:t>
      </w:r>
    </w:p>
    <w:p>
      <w:pPr>
        <w:spacing w:after="60" w:before="60"/>
        <w:jc w:val="left"/>
      </w:pPr>
      <w:r>
        <w:rPr>
          <w:rFonts w:ascii="Arial" w:cs="Arial" w:eastAsia="Arial" w:hAnsi="Arial"/>
          <w:b/>
          <w:bCs/>
          <w:i w:val="false"/>
          <w:iCs w:val="false"/>
          <w:color w:val="0E3470"/>
          <w:sz w:val="22"/>
          <w:szCs w:val="22"/>
        </w:rPr>
        <w:t xml:space="preserve">Intent.  </w:t>
      </w:r>
    </w:p>
    <w:p>
      <w:pPr>
        <w:spacing w:after="360" w:before="0"/>
        <w:jc w:val="left"/>
      </w:pPr>
      <w:r>
        <w:rPr>
          <w:rFonts w:ascii="Arial" w:cs="Arial" w:eastAsia="Arial" w:hAnsi="Arial"/>
          <w:b w:val="false"/>
          <w:bCs w:val="false"/>
          <w:i w:val="false"/>
          <w:iCs w:val="false"/>
          <w:color w:val="000000"/>
          <w:sz w:val="22"/>
          <w:szCs w:val="22"/>
        </w:rPr>
        <w:t xml:space="preserve">Office-occupancy intelligence — Kastle's swipe-card data is the back-to-work benchmark; VTS captures leasing-pipeline activity at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4160"/>
        <w:gridCol w:w="1440"/>
        <w:gridCol w:w="800"/>
        <w:gridCol w:w="880"/>
      </w:tblGrid>
      <w:tr>
        <w:trPr>
          <w:tblHeader/>
        </w:trPr>
        <w:tc>
          <w:tcPr>
            <w:tcW w:type="dxa" w:w="208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Tool / Vendor</w:t>
            </w:r>
          </w:p>
        </w:tc>
        <w:tc>
          <w:tcPr>
            <w:tcW w:type="dxa" w:w="416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What It Does (One-Liner)</w:t>
            </w:r>
          </w:p>
        </w:tc>
        <w:tc>
          <w:tcPr>
            <w:tcW w:type="dxa" w:w="144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Annual Cost</w:t>
            </w:r>
          </w:p>
        </w:tc>
        <w:tc>
          <w:tcPr>
            <w:tcW w:type="dxa" w:w="80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API</w:t>
            </w:r>
          </w:p>
        </w:tc>
        <w:tc>
          <w:tcPr>
            <w:tcW w:type="dxa" w:w="88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Tier</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Kastle Systems Back-to-Work Barometer</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Free weekly office-occupancy data based on swipe-card access in 2,500+ buildings across 47 metros. The institutional back-to-work benchmark.</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VTS</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Office-leasing CRM and pipeline-management platform with VTS Activate market-intelligence layer. The office-leasing institutional standard.</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$10K–$100K+/yr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JLL Tetris (formerly OfficeRenew)</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JLL's workplace-and-tenant-experience services bundle. Service-heavy not data-heavy; free public reports.</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 reports / Custom</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Cushman PropTech Workplace Insights</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Cushman's workplace-and-occupancy research division. Free quarterly reports.</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WiredScore</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Office-building digital-connectivity certification and rating. Required for institutional Class-A office leasing in many markets.</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Cert fees + custom</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SmartBidNet (TruIQ)</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Tenant-improvement and broker-bid platform with project-cost data. Useful for buildout-cost benchmarking.</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Custom</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Density (occupancy sensors)</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People-counting sensor network with hardware-and-data subscription. Stronger for owner-operators than acquisition buyers.</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Custom hardware + SaaS</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Robin Powered (workplace utilization)</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Workplace-management platform with desk-and-meeting-room utilization analytics. Tenant-facing tool.</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$3+/seat/mo</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bl>
    <w:p>
      <w:r>
        <w:br w:type="page"/>
      </w:r>
    </w:p>
    <w:p>
      <w:pPr>
        <w:pBdr>
          <w:bottom w:val="single" w:color="BC9C45" w:sz="12" w:space="4"/>
        </w:pBdr>
        <w:spacing w:after="60" w:before="0"/>
        <w:jc w:val="left"/>
      </w:pPr>
      <w:r>
        <w:rPr>
          <w:rFonts w:ascii="Arial" w:cs="Arial" w:eastAsia="Arial" w:hAnsi="Arial"/>
          <w:b/>
          <w:bCs/>
          <w:i w:val="false"/>
          <w:iCs w:val="false"/>
          <w:color w:val="BC9C45"/>
          <w:sz w:val="32"/>
          <w:szCs w:val="32"/>
        </w:rPr>
        <w:t xml:space="preserve">Z8.  </w:t>
      </w:r>
      <w:r>
        <w:rPr>
          <w:rFonts w:ascii="Arial" w:cs="Arial" w:eastAsia="Arial" w:hAnsi="Arial"/>
          <w:b/>
          <w:bCs/>
          <w:i w:val="false"/>
          <w:iCs w:val="false"/>
          <w:color w:val="0E3470"/>
          <w:sz w:val="32"/>
          <w:szCs w:val="32"/>
        </w:rPr>
        <w:t xml:space="preserve">SPECIALTY: LAND &amp; DEVELOPMENT</w:t>
      </w:r>
    </w:p>
    <w:p>
      <w:pPr>
        <w:spacing w:after="240" w:before="60"/>
        <w:jc w:val="left"/>
      </w:pPr>
      <w:r>
        <w:rPr>
          <w:rFonts w:ascii="Arial" w:cs="Arial" w:eastAsia="Arial" w:hAnsi="Arial"/>
          <w:b w:val="false"/>
          <w:bCs w:val="false"/>
          <w:i/>
          <w:iCs/>
          <w:color w:val="6B6B6B"/>
          <w:sz w:val="18"/>
          <w:szCs w:val="18"/>
        </w:rPr>
        <w:t xml:space="preserve">7 tools</w:t>
      </w:r>
    </w:p>
    <w:p>
      <w:pPr>
        <w:spacing w:after="60" w:before="60"/>
        <w:jc w:val="left"/>
      </w:pPr>
      <w:r>
        <w:rPr>
          <w:rFonts w:ascii="Arial" w:cs="Arial" w:eastAsia="Arial" w:hAnsi="Arial"/>
          <w:b/>
          <w:bCs/>
          <w:i w:val="false"/>
          <w:iCs w:val="false"/>
          <w:color w:val="0E3470"/>
          <w:sz w:val="22"/>
          <w:szCs w:val="22"/>
        </w:rPr>
        <w:t xml:space="preserve">Intent.  </w:t>
      </w:r>
    </w:p>
    <w:p>
      <w:pPr>
        <w:spacing w:after="360" w:before="0"/>
        <w:jc w:val="left"/>
      </w:pPr>
      <w:r>
        <w:rPr>
          <w:rFonts w:ascii="Arial" w:cs="Arial" w:eastAsia="Arial" w:hAnsi="Arial"/>
          <w:b w:val="false"/>
          <w:bCs w:val="false"/>
          <w:i w:val="false"/>
          <w:iCs w:val="false"/>
          <w:color w:val="000000"/>
          <w:sz w:val="22"/>
          <w:szCs w:val="22"/>
        </w:rPr>
        <w:t xml:space="preserve">Raw-land sourcing, entitlement intelligence, and farmland data. Smaller universe but specialized and underwriting-relevant for development plays.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4160"/>
        <w:gridCol w:w="1440"/>
        <w:gridCol w:w="800"/>
        <w:gridCol w:w="880"/>
      </w:tblGrid>
      <w:tr>
        <w:trPr>
          <w:tblHeader/>
        </w:trPr>
        <w:tc>
          <w:tcPr>
            <w:tcW w:type="dxa" w:w="208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Tool / Vendor</w:t>
            </w:r>
          </w:p>
        </w:tc>
        <w:tc>
          <w:tcPr>
            <w:tcW w:type="dxa" w:w="416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What It Does (One-Liner)</w:t>
            </w:r>
          </w:p>
        </w:tc>
        <w:tc>
          <w:tcPr>
            <w:tcW w:type="dxa" w:w="144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Annual Cost</w:t>
            </w:r>
          </w:p>
        </w:tc>
        <w:tc>
          <w:tcPr>
            <w:tcW w:type="dxa" w:w="80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API</w:t>
            </w:r>
          </w:p>
        </w:tc>
        <w:tc>
          <w:tcPr>
            <w:tcW w:type="dxa" w:w="88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Tier</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LandsofAmerica / LandFlip</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Land-specific listings networks with ranch, timber, recreational, and development-land coverage. The land sub-MLS.</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 / $1,200/yr broker</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LandWatch</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Land-specific marketplace covering rural and recreational land. Comparable to LandsofAmerica.</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LoopNet Land</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CoStar/LoopNet's land-listing module. Bundled with LoopNet subscription.</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Bundled w/ LoopNet</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AcreValue (Granular)</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Farmland-focused parcel and ownership data with USDA soil-productivity overlays. The farmland Reonomy.</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$300–$3,000/yr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Tillable</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Farmland-rental and operating-data platform. Niche but strong for ag-investment underwriting.</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Custom</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AgWeb Land Values</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Free farmland-value tracking and farmer surveys from Farm Journal. Useful baseline for any ag-land assessment.</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USDA NASS (National Ag Statistics Service)</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Free USDA agricultural statistics including farm-real-estate values, cash rents, and commodity production. The free farmland data benchmark.</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bl>
    <w:p>
      <w:r>
        <w:br w:type="page"/>
      </w:r>
    </w:p>
    <w:p>
      <w:pPr>
        <w:pBdr>
          <w:bottom w:val="single" w:color="BC9C45" w:sz="12" w:space="4"/>
        </w:pBdr>
        <w:spacing w:after="60" w:before="0"/>
        <w:jc w:val="left"/>
      </w:pPr>
      <w:r>
        <w:rPr>
          <w:rFonts w:ascii="Arial" w:cs="Arial" w:eastAsia="Arial" w:hAnsi="Arial"/>
          <w:b/>
          <w:bCs/>
          <w:i w:val="false"/>
          <w:iCs w:val="false"/>
          <w:color w:val="BC9C45"/>
          <w:sz w:val="32"/>
          <w:szCs w:val="32"/>
        </w:rPr>
        <w:t xml:space="preserve">AA.  </w:t>
      </w:r>
      <w:r>
        <w:rPr>
          <w:rFonts w:ascii="Arial" w:cs="Arial" w:eastAsia="Arial" w:hAnsi="Arial"/>
          <w:b/>
          <w:bCs/>
          <w:i w:val="false"/>
          <w:iCs w:val="false"/>
          <w:color w:val="0E3470"/>
          <w:sz w:val="32"/>
          <w:szCs w:val="32"/>
        </w:rPr>
        <w:t xml:space="preserve">PRIVATE NOTE &amp; DEBT MARKETPLACES</w:t>
      </w:r>
    </w:p>
    <w:p>
      <w:pPr>
        <w:spacing w:after="240" w:before="60"/>
        <w:jc w:val="left"/>
      </w:pPr>
      <w:r>
        <w:rPr>
          <w:rFonts w:ascii="Arial" w:cs="Arial" w:eastAsia="Arial" w:hAnsi="Arial"/>
          <w:b w:val="false"/>
          <w:bCs w:val="false"/>
          <w:i/>
          <w:iCs/>
          <w:color w:val="6B6B6B"/>
          <w:sz w:val="18"/>
          <w:szCs w:val="18"/>
        </w:rPr>
        <w:t xml:space="preserve">9 tools</w:t>
      </w:r>
    </w:p>
    <w:p>
      <w:pPr>
        <w:spacing w:after="60" w:before="60"/>
        <w:jc w:val="left"/>
      </w:pPr>
      <w:r>
        <w:rPr>
          <w:rFonts w:ascii="Arial" w:cs="Arial" w:eastAsia="Arial" w:hAnsi="Arial"/>
          <w:b/>
          <w:bCs/>
          <w:i w:val="false"/>
          <w:iCs w:val="false"/>
          <w:color w:val="0E3470"/>
          <w:sz w:val="22"/>
          <w:szCs w:val="22"/>
        </w:rPr>
        <w:t xml:space="preserve">Intent.  </w:t>
      </w:r>
    </w:p>
    <w:p>
      <w:pPr>
        <w:spacing w:after="360" w:before="0"/>
        <w:jc w:val="left"/>
      </w:pPr>
      <w:r>
        <w:rPr>
          <w:rFonts w:ascii="Arial" w:cs="Arial" w:eastAsia="Arial" w:hAnsi="Arial"/>
          <w:b w:val="false"/>
          <w:bCs w:val="false"/>
          <w:i w:val="false"/>
          <w:iCs w:val="false"/>
          <w:color w:val="000000"/>
          <w:sz w:val="22"/>
          <w:szCs w:val="22"/>
        </w:rPr>
        <w:t xml:space="preserve">Where private mortgage notes trade between holders. Critical for the seller-financing wholesale strategy and secondary-note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4160"/>
        <w:gridCol w:w="1440"/>
        <w:gridCol w:w="800"/>
        <w:gridCol w:w="880"/>
      </w:tblGrid>
      <w:tr>
        <w:trPr>
          <w:tblHeader/>
        </w:trPr>
        <w:tc>
          <w:tcPr>
            <w:tcW w:type="dxa" w:w="208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Tool / Vendor</w:t>
            </w:r>
          </w:p>
        </w:tc>
        <w:tc>
          <w:tcPr>
            <w:tcW w:type="dxa" w:w="416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What It Does (One-Liner)</w:t>
            </w:r>
          </w:p>
        </w:tc>
        <w:tc>
          <w:tcPr>
            <w:tcW w:type="dxa" w:w="144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Annual Cost</w:t>
            </w:r>
          </w:p>
        </w:tc>
        <w:tc>
          <w:tcPr>
            <w:tcW w:type="dxa" w:w="80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API</w:t>
            </w:r>
          </w:p>
        </w:tc>
        <w:tc>
          <w:tcPr>
            <w:tcW w:type="dxa" w:w="88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Tier</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Paperstac</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Online marketplace for buying and selling performing and non-performing residential and small-CRE notes. The largest digital note marketplace.</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Listing fees + commission</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NotesDirect</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Note-buying platform with focus on bulk and individual note acquisitions. Smaller than Paperstac with different deal sourcing.</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Custom</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FCI Lender Services</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Note-servicing platform handling private mortgage notes including escrow, payment processing, and reporting. Required for institutional note holding.</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$15–$50/mo/note</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Watermark Capital Group</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Private note marketplace and consulting firm specializing in seller-financed note resale. Boutique deal flow.</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Custom</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Note Investor</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Note-investing education and marketplace community. Education-tier; useful for orientation.</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$300–$2,400/yr</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Granite Loan Solutions</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Note-servicing and management platform for private real estate notes. Comparable to FCI.</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$15–$50/mo/note</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Madison Management</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Private note servicer with strong commercial-note specialization. Smaller market share but commercial-focused.</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Custom</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MARS (Mortgage Asset Research Services)</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Note valuation and trade analytics for private mortgage market. Niche but useful for portfolio holders.</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Custom</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Madison Realty Capital</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Institutional private CRE debt fund — not a marketplace but a destination for whole-loan sales. Read-only signal.</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N/A (broker-direct)</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bl>
    <w:p>
      <w:r>
        <w:br w:type="page"/>
      </w:r>
    </w:p>
    <w:p>
      <w:pPr>
        <w:pBdr>
          <w:bottom w:val="single" w:color="BC9C45" w:sz="12" w:space="4"/>
        </w:pBdr>
        <w:spacing w:after="60" w:before="0"/>
        <w:jc w:val="left"/>
      </w:pPr>
      <w:r>
        <w:rPr>
          <w:rFonts w:ascii="Arial" w:cs="Arial" w:eastAsia="Arial" w:hAnsi="Arial"/>
          <w:b/>
          <w:bCs/>
          <w:i w:val="false"/>
          <w:iCs w:val="false"/>
          <w:color w:val="BC9C45"/>
          <w:sz w:val="32"/>
          <w:szCs w:val="32"/>
        </w:rPr>
        <w:t xml:space="preserve">BB.  </w:t>
      </w:r>
      <w:r>
        <w:rPr>
          <w:rFonts w:ascii="Arial" w:cs="Arial" w:eastAsia="Arial" w:hAnsi="Arial"/>
          <w:b/>
          <w:bCs/>
          <w:i w:val="false"/>
          <w:iCs w:val="false"/>
          <w:color w:val="0E3470"/>
          <w:sz w:val="32"/>
          <w:szCs w:val="32"/>
        </w:rPr>
        <w:t xml:space="preserve">PUBLIC FINANCIAL DATA, SEC &amp; CAPITAL MARKETS</w:t>
      </w:r>
    </w:p>
    <w:p>
      <w:pPr>
        <w:spacing w:after="240" w:before="60"/>
        <w:jc w:val="left"/>
      </w:pPr>
      <w:r>
        <w:rPr>
          <w:rFonts w:ascii="Arial" w:cs="Arial" w:eastAsia="Arial" w:hAnsi="Arial"/>
          <w:b w:val="false"/>
          <w:bCs w:val="false"/>
          <w:i/>
          <w:iCs/>
          <w:color w:val="6B6B6B"/>
          <w:sz w:val="18"/>
          <w:szCs w:val="18"/>
        </w:rPr>
        <w:t xml:space="preserve">11 tools</w:t>
      </w:r>
    </w:p>
    <w:p>
      <w:pPr>
        <w:spacing w:after="60" w:before="60"/>
        <w:jc w:val="left"/>
      </w:pPr>
      <w:r>
        <w:rPr>
          <w:rFonts w:ascii="Arial" w:cs="Arial" w:eastAsia="Arial" w:hAnsi="Arial"/>
          <w:b/>
          <w:bCs/>
          <w:i w:val="false"/>
          <w:iCs w:val="false"/>
          <w:color w:val="0E3470"/>
          <w:sz w:val="22"/>
          <w:szCs w:val="22"/>
        </w:rPr>
        <w:t xml:space="preserve">Intent.  </w:t>
      </w:r>
    </w:p>
    <w:p>
      <w:pPr>
        <w:spacing w:after="360" w:before="0"/>
        <w:jc w:val="left"/>
      </w:pPr>
      <w:r>
        <w:rPr>
          <w:rFonts w:ascii="Arial" w:cs="Arial" w:eastAsia="Arial" w:hAnsi="Arial"/>
          <w:b w:val="false"/>
          <w:bCs w:val="false"/>
          <w:i w:val="false"/>
          <w:iCs w:val="false"/>
          <w:color w:val="000000"/>
          <w:sz w:val="22"/>
          <w:szCs w:val="22"/>
        </w:rPr>
        <w:t xml:space="preserve">REIT, public sponsor, and capital-markets intelligence. Where institutional CRE counterparties' decisions are visible in real time through public filings.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4160"/>
        <w:gridCol w:w="1440"/>
        <w:gridCol w:w="800"/>
        <w:gridCol w:w="880"/>
      </w:tblGrid>
      <w:tr>
        <w:trPr>
          <w:tblHeader/>
        </w:trPr>
        <w:tc>
          <w:tcPr>
            <w:tcW w:type="dxa" w:w="208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Tool / Vendor</w:t>
            </w:r>
          </w:p>
        </w:tc>
        <w:tc>
          <w:tcPr>
            <w:tcW w:type="dxa" w:w="416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What It Does (One-Liner)</w:t>
            </w:r>
          </w:p>
        </w:tc>
        <w:tc>
          <w:tcPr>
            <w:tcW w:type="dxa" w:w="144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Annual Cost</w:t>
            </w:r>
          </w:p>
        </w:tc>
        <w:tc>
          <w:tcPr>
            <w:tcW w:type="dxa" w:w="80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API</w:t>
            </w:r>
          </w:p>
        </w:tc>
        <w:tc>
          <w:tcPr>
            <w:tcW w:type="dxa" w:w="88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Tier</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EDGAR (SEC)</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Free SEC filings system covering every public REIT, sponsor, and lender 10-K, 10-Q, 8-K, and proxy. The authoritative public-filing source.</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SEC Form ADV (IAPD)</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Free SEC Investment Adviser Public Disclosure with every registered investment adviser's filings. Critical for sponsor-and-fund DD.</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EDGAR Online (Donnelley)</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Premium EDGAR data parsing with structured filings extraction. Useful for high-volume EDGAR-data workflows.</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$1.2K–$10K/yr</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FactSet</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Public-company financials, ownership, and analyst-estimates data with strong U.S. and global coverage. Institutional standard.</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$15K–$75K+/yr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Refinitiv (LSEG Workspace)</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Successor to Thomson Reuters Eikon with strong news, financials, and ownership data. Institutional standard alternative to FactSet.</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$22K+/yr/seat</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S&amp;P Capital IQ</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Public/private financials, M&amp;A, and ownership data with strong CRE-related coverage. Institutional standard.</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$15K–$75K+/yr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PitchBook</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Private-market data on PE/VC ownership including CRE sponsors and operators. Critical for sponsor-DD and competitor mapping.</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$25K–$60K+/yr</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Crunchbase Pro</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Private company funding, leadership, and operational data. Cheaper alternative to PitchBook for early-stage prop-tech mapping.</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$1.2K–$6K/yr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CB Insights</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Tech-and-VC market intelligence including prop-tech and CRE-tech investment tracking. Useful for competitive landscape mapping.</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Custom</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NAREIT (T-Tracker)</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National Association of REITs data with monthly REIT performance, sector breakdowns, and capital-markets activity. Free public.</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 / Membership $5K+</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S&amp;P Global REIT Indices</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S&amp;P REIT-index methodologies and constituent data. Free public methodology; deeper data behind subscription.</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 / Custom</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bl>
    <w:p>
      <w:r>
        <w:br w:type="page"/>
      </w:r>
    </w:p>
    <w:p>
      <w:pPr>
        <w:pBdr>
          <w:bottom w:val="single" w:color="BC9C45" w:sz="12" w:space="4"/>
        </w:pBdr>
        <w:spacing w:after="60" w:before="0"/>
        <w:jc w:val="left"/>
      </w:pPr>
      <w:r>
        <w:rPr>
          <w:rFonts w:ascii="Arial" w:cs="Arial" w:eastAsia="Arial" w:hAnsi="Arial"/>
          <w:b/>
          <w:bCs/>
          <w:i w:val="false"/>
          <w:iCs w:val="false"/>
          <w:color w:val="BC9C45"/>
          <w:sz w:val="32"/>
          <w:szCs w:val="32"/>
        </w:rPr>
        <w:t xml:space="preserve">CC.  </w:t>
      </w:r>
      <w:r>
        <w:rPr>
          <w:rFonts w:ascii="Arial" w:cs="Arial" w:eastAsia="Arial" w:hAnsi="Arial"/>
          <w:b/>
          <w:bCs/>
          <w:i w:val="false"/>
          <w:iCs w:val="false"/>
          <w:color w:val="0E3470"/>
          <w:sz w:val="32"/>
          <w:szCs w:val="32"/>
        </w:rPr>
        <w:t xml:space="preserve">NICHE &amp; COURT-SOURCED ALT-DATA FEEDS</w:t>
      </w:r>
    </w:p>
    <w:p>
      <w:pPr>
        <w:spacing w:after="240" w:before="60"/>
        <w:jc w:val="left"/>
      </w:pPr>
      <w:r>
        <w:rPr>
          <w:rFonts w:ascii="Arial" w:cs="Arial" w:eastAsia="Arial" w:hAnsi="Arial"/>
          <w:b w:val="false"/>
          <w:bCs w:val="false"/>
          <w:i/>
          <w:iCs/>
          <w:color w:val="6B6B6B"/>
          <w:sz w:val="18"/>
          <w:szCs w:val="18"/>
        </w:rPr>
        <w:t xml:space="preserve">11 tools</w:t>
      </w:r>
    </w:p>
    <w:p>
      <w:pPr>
        <w:spacing w:after="60" w:before="60"/>
        <w:jc w:val="left"/>
      </w:pPr>
      <w:r>
        <w:rPr>
          <w:rFonts w:ascii="Arial" w:cs="Arial" w:eastAsia="Arial" w:hAnsi="Arial"/>
          <w:b/>
          <w:bCs/>
          <w:i w:val="false"/>
          <w:iCs w:val="false"/>
          <w:color w:val="0E3470"/>
          <w:sz w:val="22"/>
          <w:szCs w:val="22"/>
        </w:rPr>
        <w:t xml:space="preserve">Intent.  </w:t>
      </w:r>
    </w:p>
    <w:p>
      <w:pPr>
        <w:spacing w:after="360" w:before="0"/>
        <w:jc w:val="left"/>
      </w:pPr>
      <w:r>
        <w:rPr>
          <w:rFonts w:ascii="Arial" w:cs="Arial" w:eastAsia="Arial" w:hAnsi="Arial"/>
          <w:b w:val="false"/>
          <w:bCs w:val="false"/>
          <w:i w:val="false"/>
          <w:iCs w:val="false"/>
          <w:color w:val="000000"/>
          <w:sz w:val="22"/>
          <w:szCs w:val="22"/>
        </w:rPr>
        <w:t xml:space="preserve">Smaller, specialty data feeds that aren't on the main institutional radar but provide unique distress signals or sourcing edges.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4160"/>
        <w:gridCol w:w="1440"/>
        <w:gridCol w:w="800"/>
        <w:gridCol w:w="880"/>
      </w:tblGrid>
      <w:tr>
        <w:trPr>
          <w:tblHeader/>
        </w:trPr>
        <w:tc>
          <w:tcPr>
            <w:tcW w:type="dxa" w:w="208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Tool / Vendor</w:t>
            </w:r>
          </w:p>
        </w:tc>
        <w:tc>
          <w:tcPr>
            <w:tcW w:type="dxa" w:w="416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What It Does (One-Liner)</w:t>
            </w:r>
          </w:p>
        </w:tc>
        <w:tc>
          <w:tcPr>
            <w:tcW w:type="dxa" w:w="144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Annual Cost</w:t>
            </w:r>
          </w:p>
        </w:tc>
        <w:tc>
          <w:tcPr>
            <w:tcW w:type="dxa" w:w="80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API</w:t>
            </w:r>
          </w:p>
        </w:tc>
        <w:tc>
          <w:tcPr>
            <w:tcW w:type="dxa" w:w="880"/>
            <w:tcBorders>
              <w:top w:val="single" w:color="C8C8C8" w:sz="4"/>
              <w:left w:val="single" w:color="C8C8C8" w:sz="4"/>
              <w:bottom w:val="single" w:color="C8C8C8" w:sz="4"/>
              <w:right w:val="single" w:color="C8C8C8" w:sz="4"/>
            </w:tcBorders>
            <w:shd w:fill="0E3470"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FFFFFF"/>
                <w:sz w:val="18"/>
                <w:szCs w:val="18"/>
              </w:rPr>
              <w:t xml:space="preserve">Tier</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REbbons</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Daily court-document feed with judgment amounts and lien data parsed from PACER and state-court PDFs. Niche but unique for daily distress monitoring.</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$1.2K–$3.6K/yr</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DistressedRealEstate.net</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Smaller distressed-property aggregator with court-filing-based signal layer. Companion to REbbons.</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Custom</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ForeclosuresDaily.com</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50K+ daily records from 3,100+ counties; pre-probate, foreclosure, divorce. Territory-exclusive pricing.</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$2K–$15K/yr</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No</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CourtBolt / scraperapi (DIY)</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DIY court-document scraping using third-party scraping APIs. Lower cost but engineering-heavy; legal-risk review required.</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$100–$1,000/mo + dev</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Public Notice databases (state-by-state)</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Each state's required public-notice database (PublicNoticeColorado, etc.) listing foreclosure, probate, and tax-sale notices. Mostly free.</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Limited</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GovTribe</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Federal contracts and government-spending intelligence including federal-real-estate tenant relationships. Useful for federal-tenant credit DD.</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$1K–$10K/yr</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USASpending.gov</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Free federal contracts and spending database. Authoritative source for federal-tenant lease data.</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BidNet / FedBizOpps (SAM.gov)</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Federal government contract opportunities including real-estate leasing. Free public; required for federal-tenant strategy.</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9080"/>
                <w:sz w:val="20"/>
                <w:szCs w:val="20"/>
              </w:rPr>
              <w:t xml:space="preserve">FR</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OpenCorporates</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Open-data corporate registry covering 200M+ companies globally. Free tier for basic search; paid API for bulk data.</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Free / Custom API</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Sayari Graph</w:t>
            </w:r>
          </w:p>
        </w:tc>
        <w:tc>
          <w:tcPr>
            <w:tcW w:type="dxa" w:w="416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Counterparty-risk and corporate-network intelligence with strong international and sanctions data. Deep on entity-resolution.</w:t>
            </w:r>
          </w:p>
        </w:tc>
        <w:tc>
          <w:tcPr>
            <w:tcW w:type="dxa" w:w="144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Custom</w:t>
            </w:r>
          </w:p>
        </w:tc>
        <w:tc>
          <w:tcPr>
            <w:tcW w:type="dxa" w:w="80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4F4F4"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6B6B6B"/>
                <w:sz w:val="20"/>
                <w:szCs w:val="20"/>
              </w:rPr>
              <w:t xml:space="preserve">T3</w:t>
            </w:r>
          </w:p>
        </w:tc>
      </w:tr>
      <w:tr>
        <w:tc>
          <w:tcPr>
            <w:tcW w:type="dxa" w:w="20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E3470"/>
                <w:sz w:val="18"/>
                <w:szCs w:val="18"/>
              </w:rPr>
              <w:t xml:space="preserve">Kharon</w:t>
            </w:r>
          </w:p>
        </w:tc>
        <w:tc>
          <w:tcPr>
            <w:tcW w:type="dxa" w:w="416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18"/>
                <w:szCs w:val="18"/>
              </w:rPr>
              <w:t xml:space="preserve">Financial-crime and sanctions screening with strong international coverage. Required for any Israeli or Gulf institutional capital workflow.</w:t>
            </w:r>
          </w:p>
        </w:tc>
        <w:tc>
          <w:tcPr>
            <w:tcW w:type="dxa" w:w="144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00000"/>
                <w:sz w:val="18"/>
                <w:szCs w:val="18"/>
              </w:rPr>
              <w:t xml:space="preserve">Custom</w:t>
            </w:r>
          </w:p>
        </w:tc>
        <w:tc>
          <w:tcPr>
            <w:tcW w:type="dxa" w:w="80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i w:val="false"/>
                <w:iCs w:val="false"/>
                <w:color w:val="000000"/>
                <w:sz w:val="18"/>
                <w:szCs w:val="18"/>
              </w:rPr>
              <w:t xml:space="preserve">Yes</w:t>
            </w:r>
          </w:p>
        </w:tc>
        <w:tc>
          <w:tcPr>
            <w:tcW w:type="dxa" w:w="880"/>
            <w:tcBorders>
              <w:top w:val="single" w:color="C8C8C8" w:sz="4"/>
              <w:left w:val="single" w:color="C8C8C8" w:sz="4"/>
              <w:bottom w:val="single" w:color="C8C8C8" w:sz="4"/>
              <w:right w:val="single" w:color="C8C8C8" w:sz="4"/>
            </w:tcBorders>
            <w:shd w:fill="FFFFFF" w:val="clear"/>
            <w:tcMar>
              <w:top w:type="dxa" w:w="100"/>
              <w:left w:type="dxa" w:w="140"/>
              <w:bottom w:type="dxa" w:w="100"/>
              <w:right w:type="dxa" w:w="140"/>
            </w:tcMar>
            <w:vAlign w:val="top"/>
          </w:tcPr>
          <w:p>
            <w:pPr>
              <w:spacing w:after="60" w:before="60"/>
              <w:jc w:val="center"/>
            </w:pPr>
            <w:r>
              <w:rPr>
                <w:rFonts w:ascii="Arial" w:cs="Arial" w:eastAsia="Arial" w:hAnsi="Arial"/>
                <w:b/>
                <w:bCs/>
                <w:i w:val="false"/>
                <w:iCs w:val="false"/>
                <w:color w:val="0E3470"/>
                <w:sz w:val="20"/>
                <w:szCs w:val="20"/>
              </w:rPr>
              <w:t xml:space="preserve">T2</w:t>
            </w:r>
          </w:p>
        </w:tc>
      </w:tr>
    </w:tbl>
    <w:p>
      <w:r>
        <w:br w:type="page"/>
      </w:r>
    </w:p>
    <w:p>
      <w:pPr>
        <w:spacing w:after="240" w:before="4800"/>
        <w:jc w:val="center"/>
      </w:pPr>
      <w:r>
        <w:rPr>
          <w:rFonts w:ascii="Arial" w:cs="Arial" w:eastAsia="Arial" w:hAnsi="Arial"/>
          <w:b/>
          <w:bCs/>
          <w:i w:val="false"/>
          <w:iCs w:val="false"/>
          <w:color w:val="0E3470"/>
          <w:sz w:val="28"/>
          <w:szCs w:val="28"/>
        </w:rPr>
        <w:t xml:space="preserve">END OF DOCUMENT</w:t>
      </w:r>
    </w:p>
    <w:p>
      <w:pPr>
        <w:spacing w:after="120" w:before="0"/>
        <w:jc w:val="center"/>
      </w:pPr>
      <w:r>
        <w:rPr>
          <w:rFonts w:ascii="Arial" w:cs="Arial" w:eastAsia="Arial" w:hAnsi="Arial"/>
          <w:b/>
          <w:bCs/>
          <w:i w:val="false"/>
          <w:iCs w:val="false"/>
          <w:color w:val="BC9C45"/>
          <w:sz w:val="20"/>
          <w:szCs w:val="20"/>
        </w:rPr>
        <w:t xml:space="preserve">RePrime Terminal  ·  Master Tool Encyclopedia</w:t>
      </w:r>
    </w:p>
    <w:p>
      <w:pPr>
        <w:spacing w:after="0" w:before="0"/>
        <w:jc w:val="center"/>
      </w:pPr>
      <w:r>
        <w:rPr>
          <w:rFonts w:ascii="Arial" w:cs="Arial" w:eastAsia="Arial" w:hAnsi="Arial"/>
          <w:b w:val="false"/>
          <w:bCs w:val="false"/>
          <w:i/>
          <w:iCs/>
          <w:color w:val="6B6B6B"/>
          <w:sz w:val="16"/>
          <w:szCs w:val="16"/>
        </w:rPr>
        <w:t xml:space="preserve">Compiled April 2026  ·  Confidential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C9C45" w:sz="6" w:space="4"/>
      </w:pBdr>
      <w:tabs>
        <w:tab w:val="right" w:pos="9360"/>
      </w:tabs>
      <w:spacing w:after="0" w:before="0"/>
    </w:pPr>
    <w:r>
      <w:rPr>
        <w:rFonts w:ascii="Arial" w:cs="Arial" w:eastAsia="Arial" w:hAnsi="Arial"/>
        <w:color w:val="6B6B6B"/>
        <w:sz w:val="16"/>
        <w:szCs w:val="16"/>
      </w:rPr>
      <w:t xml:space="preserve">RePrime Terminal  ·  Master Tool Encyclopedia  ·  Confidential</w:t>
    </w:r>
    <w:r>
      <w:rPr>
        <w:rFonts w:ascii="Arial" w:cs="Arial" w:eastAsia="Arial" w:hAnsi="Arial"/>
        <w:sz w:val="16"/>
        <w:szCs w:val="16"/>
      </w:rPr>
      <w:t xml:space="preserve">	</w:t>
    </w:r>
    <w:r>
      <w:rPr>
        <w:rFonts w:ascii="Arial" w:cs="Arial" w:eastAsia="Arial" w:hAnsi="Arial"/>
        <w:color w:val="6B6B6B"/>
        <w:sz w:val="16"/>
        <w:szCs w:val="16"/>
      </w:rPr>
      <w:t xml:space="preserve">Page </w:t>
    </w:r>
    <w:r>
      <w:rPr>
        <w:rFonts w:ascii="Arial" w:cs="Arial" w:eastAsia="Arial" w:hAnsi="Arial"/>
        <w:color w:val="6B6B6B"/>
        <w:sz w:val="16"/>
        <w:szCs w:val="16"/>
      </w:rPr>
      <w:fldChar w:fldCharType="begin"/>
      <w:instrText xml:space="preserve">PAGE</w:instrText>
      <w:fldChar w:fldCharType="separate"/>
      <w:fldChar w:fldCharType="end"/>
    </w:r>
    <w:r>
      <w:rPr>
        <w:rFonts w:ascii="Arial" w:cs="Arial" w:eastAsia="Arial" w:hAnsi="Arial"/>
        <w:color w:val="6B6B6B"/>
        <w:sz w:val="16"/>
        <w:szCs w:val="16"/>
      </w:rPr>
      <w:t xml:space="preserve"> of </w:t>
    </w:r>
    <w:r>
      <w:rPr>
        <w:rFonts w:ascii="Arial" w:cs="Arial" w:eastAsia="Arial" w:hAnsi="Arial"/>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E3470"/>
      <w:sz w:val="36"/>
      <w:szCs w:val="36"/>
    </w:rPr>
  </w:style>
  <w:style w:type="paragraph" w:styleId="Heading2">
    <w:name w:val="Heading 2"/>
    <w:basedOn w:val="Normal"/>
    <w:next w:val="Normal"/>
    <w:qFormat/>
    <w:pPr>
      <w:spacing w:after="120" w:before="180"/>
      <w:outlineLvl w:val="1"/>
    </w:pPr>
    <w:rPr>
      <w:rFonts w:ascii="Arial" w:cs="Arial" w:eastAsia="Arial" w:hAnsi="Arial"/>
      <w:b/>
      <w:bCs/>
      <w:color w:val="0E347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RePrime Terminal — Master Tool Encyclopedia</dc:title>
  <dc:creator>RePrime Group</dc:creator>
  <dc:description>Commercial Intelligence Stack for the Bloomberg of CRE</dc:description>
  <cp:lastModifiedBy>Un-named</cp:lastModifiedBy>
  <cp:revision>1</cp:revision>
  <dcterms:created xsi:type="dcterms:W3CDTF">2026-04-27T04:09:06.196Z</dcterms:created>
  <dcterms:modified xsi:type="dcterms:W3CDTF">2026-04-27T04:09:06.197Z</dcterms:modified>
</cp:coreProperties>
</file>

<file path=docProps/custom.xml><?xml version="1.0" encoding="utf-8"?>
<Properties xmlns="http://schemas.openxmlformats.org/officeDocument/2006/custom-properties" xmlns:vt="http://schemas.openxmlformats.org/officeDocument/2006/docPropsVTypes"/>
</file>