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before="60" w:line="400" w:lineRule="exact"/>
        <w:ind w:firstLine="444" w:firstLineChars="200"/>
        <w:rPr>
          <w:rFonts w:ascii="Arial Narrow" w:hAnsi="Arial Narrow"/>
          <w:snapToGrid w:val="0"/>
          <w:spacing w:val="6"/>
          <w:kern w:val="0"/>
          <w:szCs w:val="21"/>
        </w:rPr>
      </w:pPr>
      <w:r>
        <w:rPr>
          <w:rFonts w:hint="eastAsia" w:ascii="Arial Narrow" w:hAnsi="Arial Narrow"/>
          <w:snapToGrid w:val="0"/>
          <w:spacing w:val="6"/>
          <w:kern w:val="0"/>
          <w:szCs w:val="21"/>
        </w:rPr>
        <w:t>振动状态评价主要依据</w:t>
      </w:r>
      <w:r>
        <w:rPr>
          <w:rFonts w:ascii="Arial Narrow" w:hAnsi="Arial Narrow"/>
          <w:snapToGrid w:val="0"/>
          <w:spacing w:val="6"/>
          <w:kern w:val="0"/>
          <w:szCs w:val="21"/>
        </w:rPr>
        <w:t>VDI3834</w:t>
      </w:r>
      <w:r>
        <w:rPr>
          <w:rFonts w:hint="eastAsia" w:ascii="Arial Narrow" w:hAnsi="Arial Narrow"/>
          <w:snapToGrid w:val="0"/>
          <w:spacing w:val="6"/>
          <w:kern w:val="0"/>
          <w:szCs w:val="21"/>
        </w:rPr>
        <w:t>《陆上带有齿轮箱的风力发电机组及其组件机械振动测量与评估》，该标准中将风电传动链设备的振动状态分成三个带：</w:t>
      </w:r>
    </w:p>
    <w:p>
      <w:pPr>
        <w:widowControl/>
        <w:spacing w:line="400" w:lineRule="exact"/>
        <w:ind w:firstLine="420" w:firstLineChars="200"/>
        <w:jc w:val="left"/>
        <w:rPr>
          <w:rFonts w:ascii="Arial Narrow" w:hAnsi="Arial Narrow"/>
          <w:szCs w:val="21"/>
        </w:rPr>
      </w:pPr>
      <w:r>
        <w:rPr>
          <w:rFonts w:hint="eastAsia" w:ascii="Arial Narrow" w:hAnsi="Arial Narrow"/>
          <w:szCs w:val="21"/>
        </w:rPr>
        <w:t>“带I”表示设备正常，可以长期运行，以色标</w:t>
      </w:r>
      <w:r>
        <w:rPr>
          <w:rFonts w:ascii="Arial Narrow" w:hAnsi="Arial Narrow"/>
          <w:szCs w:val="21"/>
        </w:rPr>
        <mc:AlternateContent>
          <mc:Choice Requires="wps">
            <w:drawing>
              <wp:inline distT="0" distB="0" distL="0" distR="0">
                <wp:extent cx="288290" cy="114935"/>
                <wp:effectExtent l="0" t="0" r="16510" b="18415"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290" cy="11493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254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9.05pt;width:22.7pt;v-text-anchor:middle;" fillcolor="#00B050" filled="t" stroked="f" coordsize="21600,21600" o:gfxdata="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CY20rvU&#10;AAAAAwEAAA8AAAAAAAAAAQAgAAAAIgAAAGRycy9kb3ducmV2LnhtbFBLAQIUABQAAAAIAIdO4kBU&#10;dU2BJAIAADgEAAAOAAAAAAAAAAEAIAAAACMBAABkcnMvZTJvRG9jLnhtbFBLBQYAAAAABgAGAFkB&#10;AAC5BQAAAAA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spacing w:line="400" w:lineRule="exact"/>
                        <w:jc w:val="center"/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ascii="Arial Narrow" w:hAnsi="Arial Narrow"/>
          <w:szCs w:val="21"/>
        </w:rPr>
        <w:t>标识；</w:t>
      </w:r>
    </w:p>
    <w:p>
      <w:pPr>
        <w:widowControl/>
        <w:spacing w:line="400" w:lineRule="exact"/>
        <w:ind w:firstLine="420" w:firstLineChars="200"/>
        <w:jc w:val="left"/>
        <w:rPr>
          <w:rFonts w:ascii="Arial Narrow" w:hAnsi="Arial Narrow"/>
          <w:szCs w:val="21"/>
        </w:rPr>
      </w:pPr>
      <w:r>
        <w:rPr>
          <w:rFonts w:hint="eastAsia" w:ascii="Arial Narrow" w:hAnsi="Arial Narrow"/>
          <w:szCs w:val="21"/>
        </w:rPr>
        <w:t>“带II”表示振动有些大，不适合长期运行，建议对振动源进行调查分析，以色标</w:t>
      </w:r>
      <w:r>
        <w:rPr>
          <w:rFonts w:ascii="Arial Narrow" w:hAnsi="Arial Narrow"/>
          <w:szCs w:val="21"/>
        </w:rPr>
        <mc:AlternateContent>
          <mc:Choice Requires="wps">
            <w:drawing>
              <wp:inline distT="0" distB="0" distL="0" distR="0">
                <wp:extent cx="288290" cy="114935"/>
                <wp:effectExtent l="0" t="0" r="16510" b="18415"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8290" cy="11493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76" w:lineRule="auto"/>
                              <w:jc w:val="center"/>
                              <w:rPr>
                                <w:shd w:val="clear" w:color="auto" w:fill="FFFF00"/>
                              </w:rPr>
                            </w:pPr>
                          </w:p>
                        </w:txbxContent>
                      </wps:txbx>
                      <wps:bodyPr rot="0" vert="horz" wrap="square" anchor="ctr" anchorCtr="0"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9.05pt;width:22.7pt;v-text-anchor:middle;" fillcolor="#FFFF00" filled="t" stroked="f" coordsize="21600,21600" o:gfxdata="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RGxVo0wAAAAMBAAAPAAAAAAAAAAEAIAAAACIAAABkcnMvZG93bnJldi54&#10;bWxQSwECFAAUAAAACACHTuJAH3y/Qf8BAADmAwAADgAAAAAAAAABACAAAAAiAQAAZHJzL2Uyb0Rv&#10;Yy54bWxQSwUGAAAAAAYABgBZAQAAk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76" w:lineRule="auto"/>
                        <w:jc w:val="center"/>
                        <w:rPr>
                          <w:shd w:val="clear" w:color="auto" w:fill="FFFF00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ascii="Arial Narrow" w:hAnsi="Arial Narrow"/>
          <w:szCs w:val="21"/>
        </w:rPr>
        <w:t>标识；</w:t>
      </w:r>
    </w:p>
    <w:p>
      <w:pPr>
        <w:widowControl/>
        <w:spacing w:line="400" w:lineRule="exact"/>
        <w:ind w:firstLine="420" w:firstLineChars="200"/>
        <w:jc w:val="left"/>
        <w:rPr>
          <w:rFonts w:ascii="Arial Narrow" w:hAnsi="Arial Narrow"/>
          <w:szCs w:val="21"/>
        </w:rPr>
      </w:pPr>
      <w:r>
        <w:rPr>
          <w:rFonts w:hint="eastAsia" w:ascii="Arial Narrow" w:hAnsi="Arial Narrow"/>
          <w:szCs w:val="21"/>
        </w:rPr>
        <w:t>“带III”表示振动处于危险状态，可能造成机组或部件的损坏，以色标</w:t>
      </w:r>
      <w:r>
        <w:rPr>
          <w:rFonts w:ascii="Arial Narrow" w:hAnsi="Arial Narrow"/>
          <w:szCs w:val="21"/>
        </w:rPr>
        <mc:AlternateContent>
          <mc:Choice Requires="wps">
            <w:drawing>
              <wp:inline distT="0" distB="0" distL="0" distR="0">
                <wp:extent cx="287020" cy="115570"/>
                <wp:effectExtent l="0" t="0" r="17780" b="1778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20" cy="11557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25400">
                          <a:noFill/>
                        </a:ln>
                      </wps:spPr>
                      <wps:bodyPr rot="0" spcFirstLastPara="0" vertOverflow="overflow" horzOverflow="overflow" vert="horz" wrap="square" numCol="1" spcCol="0" rtlCol="0" fromWordArt="0" anchor="ctr" anchorCtr="0" forceAA="0" compatLnSpc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9.1pt;width:22.6pt;v-text-anchor:middle;" fillcolor="#FF0000" filled="t" stroked="f" coordsize="21600,21600" o:gfxdata="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Ht2oBHQAAAAAwEAAA8A&#10;AAAAAAAAAQAgAAAAIgAAAGRycy9kb3ducmV2LnhtbFBLAQIUABQAAAAIAIdO4kAQqFpiHwIAAC0E&#10;AAAOAAAAAAAAAAEAIAAAAB8BAABkcnMvZTJvRG9jLnhtbFBLBQYAAAAABgAGAFkBAACwBQAAAAA=&#10;">
                <v:fill on="t" focussize="0,0"/>
                <v:stroke on="f" weight="2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  <w:r>
        <w:rPr>
          <w:rFonts w:hint="eastAsia" w:ascii="Arial Narrow" w:hAnsi="Arial Narrow"/>
          <w:szCs w:val="21"/>
        </w:rPr>
        <w:t>标识。</w:t>
      </w:r>
    </w:p>
    <w:p>
      <w:pPr>
        <w:widowControl/>
        <w:spacing w:line="400" w:lineRule="exact"/>
        <w:ind w:firstLine="420" w:firstLineChars="200"/>
        <w:jc w:val="left"/>
        <w:rPr>
          <w:rFonts w:ascii="Arial Narrow" w:hAnsi="Arial Narrow"/>
          <w:szCs w:val="21"/>
        </w:rPr>
      </w:pPr>
      <w:r>
        <w:rPr>
          <w:rFonts w:hint="eastAsia" w:ascii="Arial Narrow" w:hAnsi="Arial Narrow"/>
          <w:szCs w:val="21"/>
        </w:rPr>
        <w:t>下表2列出三个带之间的界限值，其中I/II可以用作预警参考值，II/III可以用作报警参考值。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xNTRhYzI4YmE0OGZlMjhjZDUxM2M2ODdhNmY4MzEifQ=="/>
  </w:docVars>
  <w:rsids>
    <w:rsidRoot w:val="00000000"/>
    <w:rsid w:val="6AE8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2023-02-17T03:04:48Z</dcterms:created>
  <dc:creator>windit</dc:creator>
  <cp:lastModifiedBy>windit</cp:lastModifiedBy>
  <dcterms:modified xsi:type="dcterms:W3CDTF">2023-02-17T03:05:20Z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CBA88CBBA8FF47B0A49394DCDA722E5F</vt:lpwstr>
  </property>
</Properties>
</file>