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三创赛项目计划书（国奖冲刺版）</w:t>
      </w:r>
    </w:p>
    <w:p>
      <w:pPr>
        <w:jc w:val="center"/>
      </w:pPr>
      <w:r>
        <w:rPr>
          <w:rFonts w:ascii="宋体" w:hAnsi="宋体" w:eastAsia="宋体"/>
          <w:sz w:val="30"/>
        </w:rPr>
        <w:t>墨韵心调——AI驱动的国画多模态情感疗愈平台</w:t>
      </w:r>
    </w:p>
    <w:p/>
    <w:p>
      <w:pPr>
        <w:jc w:val="center"/>
      </w:pPr>
      <w:r>
        <w:t>版本说明：创新-验证-可复制导向结构</w:t>
      </w:r>
    </w:p>
    <w:p>
      <w:pPr>
        <w:jc w:val="center"/>
      </w:pPr>
      <w:r>
        <w:t>适用场景：三创赛国奖评审答辩</w:t>
      </w:r>
    </w:p>
    <w:p>
      <w:pPr>
        <w:jc w:val="center"/>
      </w:pPr>
      <w:r>
        <w:t>日期：2026年3月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第一章：执行摘要</w:t>
      </w:r>
    </w:p>
    <w:p>
      <w:r>
        <w:t>第二章：项目背景与问题定义</w:t>
      </w:r>
    </w:p>
    <w:p>
      <w:r>
        <w:t>第三章：市场需求与用户证据</w:t>
      </w:r>
    </w:p>
    <w:p>
      <w:r>
        <w:t>第四章：竞争格局与机会窗口</w:t>
      </w:r>
    </w:p>
    <w:p>
      <w:r>
        <w:t>第五章：产品与服务方案</w:t>
      </w:r>
    </w:p>
    <w:p>
      <w:r>
        <w:t>第六章：技术架构与实现路径</w:t>
      </w:r>
    </w:p>
    <w:p>
      <w:r>
        <w:t>第七章：创新点与知识产权布局（前置）</w:t>
      </w:r>
    </w:p>
    <w:p>
      <w:r>
        <w:t>第八章：实证验证与阶段成果（重点）</w:t>
      </w:r>
    </w:p>
    <w:p>
      <w:r>
        <w:t>第九章：运营模式与推广策略</w:t>
      </w:r>
    </w:p>
    <w:p>
      <w:r>
        <w:t>第十章：组织架构与实施计划</w:t>
      </w:r>
    </w:p>
    <w:p>
      <w:r>
        <w:t>第十一章：风险、伦理与合规治理（前置）</w:t>
      </w:r>
    </w:p>
    <w:p>
      <w:r>
        <w:t>第十二章：财务预测与分析</w:t>
      </w:r>
    </w:p>
    <w:p>
      <w:r>
        <w:t>第十三章：综合回报分析（经济+社会+教育）</w:t>
      </w:r>
    </w:p>
    <w:p>
      <w:r>
        <w:t>第十四章：发展规划与战略部署</w:t>
      </w:r>
    </w:p>
    <w:p>
      <w:r>
        <w:t>第十五章：结论与合作诉求</w:t>
      </w:r>
    </w:p>
    <w:p>
      <w:r>
        <w:t>附录A：市场调研详细数据</w:t>
      </w:r>
    </w:p>
    <w:p>
      <w:r>
        <w:t>附录B：技术方案详细文档</w:t>
      </w:r>
    </w:p>
    <w:p>
      <w:r>
        <w:br w:type="page"/>
      </w:r>
    </w:p>
    <w:p>
      <w:pPr>
        <w:pStyle w:val="Heading1"/>
      </w:pPr>
      <w:r>
        <w:t>第一章：执行摘要</w:t>
      </w:r>
    </w:p>
    <w:p>
      <w:pPr>
        <w:jc w:val="both"/>
      </w:pPr>
      <w:r>
        <w:t>本项目聚焦青年群体情绪压力管理与关系沟通支持，提出以国画为文化核心、以多智能体为技术底座、以动态追踪为评估机制的多模态情感疗愈方案。项目目标是构建可进入、可持续、可验证的数字心理支持路径，并形成可复制的校园示范模式。</w:t>
      </w:r>
    </w:p>
    <w:p>
      <w:pPr>
        <w:jc w:val="both"/>
      </w:pPr>
      <w:r>
        <w:t>阶段性成果显示，项目已完成方案构建、数据脚本、可视化看板和路演材料，并形成需求调研（n=180）与试用评估（n=60）数据基础，具备进一步扩大样本验证和场景试点的条件。</w:t>
      </w:r>
    </w:p>
    <w:p>
      <w:pPr>
        <w:pStyle w:val="Heading1"/>
      </w:pPr>
      <w:r>
        <w:t>第二章：项目背景与问题定义</w:t>
      </w:r>
    </w:p>
    <w:p>
      <w:pPr>
        <w:jc w:val="both"/>
      </w:pPr>
      <w:r>
        <w:t>在政策与行业双重驱动下，心理健康服务数字化与传统文化创造性转化呈现融合趋势。当前青年群体对于低门槛、强隐私、可持续的情绪支持工具需求显著增长。</w:t>
      </w:r>
    </w:p>
    <w:p>
      <w:pPr>
        <w:jc w:val="both"/>
      </w:pPr>
      <w:r>
        <w:t>现有方案存在三类不足：一是专业服务触达频率有限；二是通用情绪工具文化适配度不足；三是AI内容工具缺乏干预闭环与效果评估。项目据此提出系统性解决路径。</w:t>
      </w:r>
    </w:p>
    <w:p>
      <w:pPr>
        <w:jc w:val="center"/>
      </w:pPr>
      <w:r>
        <w:rPr>
          <w:rFonts w:ascii="宋体" w:hAnsi="宋体" w:eastAsia="宋体"/>
          <w:sz w:val="21"/>
        </w:rPr>
        <w:t>图2-1 问题定义与价值目标映射图（占位，待插入）</w:t>
      </w:r>
    </w:p>
    <w:p>
      <w:pPr>
        <w:pStyle w:val="Heading1"/>
      </w:pPr>
      <w:r>
        <w:t>第三章：市场需求与用户证据</w:t>
      </w:r>
    </w:p>
    <w:p>
      <w:pPr>
        <w:jc w:val="both"/>
      </w:pPr>
      <w:r>
        <w:t>基于调研数据，近1个月压力较高及以上占比为67.2%，显示目标用户群体存在明显的日常调节需求。愿意尝试匿名线上心理支持占比77.2%，愿意参加艺术化情绪调节活动占比81.7%，说明项目路径具有较高用户接受度。</w:t>
      </w:r>
    </w:p>
    <w:p>
      <w:pPr>
        <w:jc w:val="both"/>
      </w:pPr>
      <w:r>
        <w:t>需求侧证据支持项目优先建设三类能力：个性化干预能力、趋势追踪能力、关系场景沟通能力。</w:t>
      </w:r>
    </w:p>
    <w:p>
      <w:pPr>
        <w:jc w:val="center"/>
      </w:pPr>
      <w:r>
        <w:rPr>
          <w:rFonts w:ascii="宋体" w:hAnsi="宋体" w:eastAsia="宋体"/>
          <w:sz w:val="21"/>
        </w:rPr>
        <w:t>表3-1 样本结构与核心指标汇总（占位，待插入）</w:t>
      </w:r>
    </w:p>
    <w:p>
      <w:pPr>
        <w:jc w:val="center"/>
      </w:pPr>
      <w:r>
        <w:rPr>
          <w:rFonts w:ascii="宋体" w:hAnsi="宋体" w:eastAsia="宋体"/>
          <w:sz w:val="21"/>
        </w:rPr>
        <w:t>图3-1 需求证据可视化图（占位，待插入）</w:t>
      </w:r>
    </w:p>
    <w:p>
      <w:pPr>
        <w:pStyle w:val="Heading1"/>
      </w:pPr>
      <w:r>
        <w:t>第四章：竞争格局与机会窗口</w:t>
      </w:r>
    </w:p>
    <w:p>
      <w:pPr>
        <w:jc w:val="both"/>
      </w:pPr>
      <w:r>
        <w:t>竞品格局可分为冥想类应用、心理咨询平台与AI生成工具。前两者分别在轻量化与专业化上具有优势，但在“文化疗愈+动态追踪+关系场景”方面尚未形成完整闭环；后者具备生成能力，但缺乏干预机制与评估体系。</w:t>
      </w:r>
    </w:p>
    <w:p>
      <w:pPr>
        <w:jc w:val="both"/>
      </w:pPr>
      <w:r>
        <w:t>本项目通过组合式能力构建实现差异化定位，在产品体验、验证机制与场景延展性方面形成竞争优势。</w:t>
      </w:r>
    </w:p>
    <w:p>
      <w:pPr>
        <w:jc w:val="center"/>
      </w:pPr>
      <w:r>
        <w:rPr>
          <w:rFonts w:ascii="宋体" w:hAnsi="宋体" w:eastAsia="宋体"/>
          <w:sz w:val="21"/>
        </w:rPr>
        <w:t>图4-1 竞品定位矩阵（占位，待插入）</w:t>
      </w:r>
    </w:p>
    <w:p>
      <w:pPr>
        <w:pStyle w:val="Heading1"/>
      </w:pPr>
      <w:r>
        <w:t>第五章：产品与服务方案</w:t>
      </w:r>
    </w:p>
    <w:p>
      <w:pPr>
        <w:jc w:val="both"/>
      </w:pPr>
      <w:r>
        <w:t>产品方案由“个人疗愈服务”与“关系疗愈服务”构成。个人疗愈服务覆盖情绪识别、国画生成、音乐匹配和情绪看板；关系疗愈服务通过双人共绘与关系温度报告支持沟通优化。</w:t>
      </w:r>
    </w:p>
    <w:p>
      <w:pPr>
        <w:jc w:val="both"/>
      </w:pPr>
      <w:r>
        <w:t>服务设计强调“低认知负担、可持续复访、结果可解释”，通过过程记录与反馈机制提升用户长期使用价值。</w:t>
      </w:r>
    </w:p>
    <w:p>
      <w:pPr>
        <w:jc w:val="center"/>
      </w:pPr>
      <w:r>
        <w:rPr>
          <w:rFonts w:ascii="宋体" w:hAnsi="宋体" w:eastAsia="宋体"/>
          <w:sz w:val="21"/>
        </w:rPr>
        <w:t>图5-1 产品服务全景图（占位，待插入）</w:t>
      </w:r>
    </w:p>
    <w:p>
      <w:pPr>
        <w:pStyle w:val="Heading1"/>
      </w:pPr>
      <w:r>
        <w:t>第六章：技术架构与实现路径</w:t>
      </w:r>
    </w:p>
    <w:p>
      <w:pPr>
        <w:jc w:val="both"/>
      </w:pPr>
      <w:r>
        <w:t>系统采用“用户层—协调层—智能体层—数据层”四层架构。协调层负责任务编排、状态管理与反馈优化，保障多模块协同效率与一致性。</w:t>
      </w:r>
    </w:p>
    <w:p>
      <w:pPr>
        <w:jc w:val="both"/>
      </w:pPr>
      <w:r>
        <w:t>实现路径采取分阶段推进：先完成数据与展示链路，再推进核心模块联调，最后进入试点验证与迭代优化。</w:t>
      </w:r>
    </w:p>
    <w:p>
      <w:pPr>
        <w:jc w:val="center"/>
      </w:pPr>
      <w:r>
        <w:rPr>
          <w:rFonts w:ascii="宋体" w:hAnsi="宋体" w:eastAsia="宋体"/>
          <w:sz w:val="21"/>
        </w:rPr>
        <w:t>图6-1 系统架构图（占位，待插入）</w:t>
      </w:r>
    </w:p>
    <w:p>
      <w:pPr>
        <w:jc w:val="center"/>
      </w:pPr>
      <w:r>
        <w:rPr>
          <w:rFonts w:ascii="宋体" w:hAnsi="宋体" w:eastAsia="宋体"/>
          <w:sz w:val="21"/>
        </w:rPr>
        <w:t>图6-2 关键流程时序图（占位，待插入）</w:t>
      </w:r>
    </w:p>
    <w:p>
      <w:pPr>
        <w:pStyle w:val="Heading1"/>
      </w:pPr>
      <w:r>
        <w:t>第七章：创新点与知识产权布局（前置）</w:t>
      </w:r>
    </w:p>
    <w:p>
      <w:pPr>
        <w:jc w:val="both"/>
      </w:pPr>
      <w:r>
        <w:t>创新点一：多智能体协同机制，提升任务拆解与内容联动能力；创新点二：国画情感量化机制，提升干预内容可解释性；创新点三：动态情绪追踪机制，形成长期反馈闭环；创新点四：双人共绘关系分析机制，拓展关系疗愈应用边界。</w:t>
      </w:r>
    </w:p>
    <w:p>
      <w:pPr>
        <w:jc w:val="both"/>
      </w:pPr>
      <w:r>
        <w:t>知识产权布局建议围绕软件著作权、流程方法文档、关键模块专有实现与品牌标识开展，形成技术与品牌双重保护。</w:t>
      </w:r>
    </w:p>
    <w:p>
      <w:pPr>
        <w:jc w:val="center"/>
      </w:pPr>
      <w:r>
        <w:rPr>
          <w:rFonts w:ascii="宋体" w:hAnsi="宋体" w:eastAsia="宋体"/>
          <w:sz w:val="21"/>
        </w:rPr>
        <w:t>表7-1 创新点-壁垒-知识产权对应表（占位，待插入）</w:t>
      </w:r>
    </w:p>
    <w:p>
      <w:pPr>
        <w:pStyle w:val="Heading1"/>
      </w:pPr>
      <w:r>
        <w:t>第八章：实证验证与阶段成果（重点）</w:t>
      </w:r>
    </w:p>
    <w:p>
      <w:pPr>
        <w:jc w:val="both"/>
      </w:pPr>
      <w:r>
        <w:t>本章为评审重点章节。项目采用前后测与体验评估结合的方法，围绕DASS-21、主观平静感、情绪可控感及可用性指标开展验证。</w:t>
      </w:r>
    </w:p>
    <w:p>
      <w:pPr>
        <w:jc w:val="both"/>
      </w:pPr>
      <w:r>
        <w:t>阶段性结果显示，压力、焦虑、抑郁指标呈下降趋势，平静感与可控感提升，SUS处于良好区间。上述结果初步验证了方案可行性与应用潜力。</w:t>
      </w:r>
    </w:p>
    <w:p>
      <w:pPr>
        <w:jc w:val="both"/>
      </w:pPr>
      <w:r>
        <w:t>同时，本项目形成了可复核的阶段成果清单，包括问卷数据脚本、可视化看板、竞品证据页与路演材料，为后续规模化试点提供支撑。</w:t>
      </w:r>
    </w:p>
    <w:p>
      <w:pPr>
        <w:jc w:val="center"/>
      </w:pPr>
      <w:r>
        <w:rPr>
          <w:rFonts w:ascii="宋体" w:hAnsi="宋体" w:eastAsia="宋体"/>
          <w:sz w:val="21"/>
        </w:rPr>
        <w:t>表8-1 验证指标体系（占位，待插入）</w:t>
      </w:r>
    </w:p>
    <w:p>
      <w:pPr>
        <w:jc w:val="center"/>
      </w:pPr>
      <w:r>
        <w:rPr>
          <w:rFonts w:ascii="宋体" w:hAnsi="宋体" w:eastAsia="宋体"/>
          <w:sz w:val="21"/>
        </w:rPr>
        <w:t>图8-1 DASS前后测结果图（占位，待插入）</w:t>
      </w:r>
    </w:p>
    <w:p>
      <w:pPr>
        <w:jc w:val="center"/>
      </w:pPr>
      <w:r>
        <w:rPr>
          <w:rFonts w:ascii="宋体" w:hAnsi="宋体" w:eastAsia="宋体"/>
          <w:sz w:val="21"/>
        </w:rPr>
        <w:t>图8-2 可用性评估结果图（占位，待插入）</w:t>
      </w:r>
    </w:p>
    <w:p>
      <w:pPr>
        <w:pStyle w:val="Heading1"/>
      </w:pPr>
      <w:r>
        <w:t>第九章：运营模式与推广策略</w:t>
      </w:r>
    </w:p>
    <w:p>
      <w:pPr>
        <w:jc w:val="both"/>
      </w:pPr>
      <w:r>
        <w:t>运营策略采用“校内试点—跨校复制—机构协作”分层推进模式。前期聚焦场景验证与用户口碑，中期强化标准化实施包建设，后期推动多场景协同扩展。</w:t>
      </w:r>
    </w:p>
    <w:p>
      <w:pPr>
        <w:jc w:val="both"/>
      </w:pPr>
      <w:r>
        <w:t>推广策略强调“证据传播+场景体验+合作背书”三位一体，提高项目可信度与转化效率。</w:t>
      </w:r>
    </w:p>
    <w:p>
      <w:pPr>
        <w:jc w:val="center"/>
      </w:pPr>
      <w:r>
        <w:rPr>
          <w:rFonts w:ascii="宋体" w:hAnsi="宋体" w:eastAsia="宋体"/>
          <w:sz w:val="21"/>
        </w:rPr>
        <w:t>图9-1 运营与推广路径图（占位，待插入）</w:t>
      </w:r>
    </w:p>
    <w:p>
      <w:pPr>
        <w:pStyle w:val="Heading1"/>
      </w:pPr>
      <w:r>
        <w:t>第十章：组织架构与实施计划</w:t>
      </w:r>
    </w:p>
    <w:p>
      <w:pPr>
        <w:jc w:val="both"/>
      </w:pPr>
      <w:r>
        <w:t>团队由技术、产品、心理、艺术与运营方向组成，具备跨学科协同能力。实施计划按照阶段里程碑推进，设置可量化交付项与过程复盘机制。</w:t>
      </w:r>
    </w:p>
    <w:p>
      <w:pPr>
        <w:jc w:val="both"/>
      </w:pPr>
      <w:r>
        <w:t>项目管理采用周度执行跟踪与月度目标评估结合模式，保障计划执行质量与风险前置识别能力。</w:t>
      </w:r>
    </w:p>
    <w:p>
      <w:pPr>
        <w:jc w:val="center"/>
      </w:pPr>
      <w:r>
        <w:rPr>
          <w:rFonts w:ascii="宋体" w:hAnsi="宋体" w:eastAsia="宋体"/>
          <w:sz w:val="21"/>
        </w:rPr>
        <w:t>图10-1 团队组织结构图（占位，待插入）</w:t>
      </w:r>
    </w:p>
    <w:p>
      <w:pPr>
        <w:jc w:val="center"/>
      </w:pPr>
      <w:r>
        <w:rPr>
          <w:rFonts w:ascii="宋体" w:hAnsi="宋体" w:eastAsia="宋体"/>
          <w:sz w:val="21"/>
        </w:rPr>
        <w:t>表10-1 里程碑与交付项清单（占位，待插入）</w:t>
      </w:r>
    </w:p>
    <w:p>
      <w:pPr>
        <w:pStyle w:val="Heading1"/>
      </w:pPr>
      <w:r>
        <w:t>第十一章：风险、伦理与合规治理（前置）</w:t>
      </w:r>
    </w:p>
    <w:p>
      <w:pPr>
        <w:jc w:val="both"/>
      </w:pPr>
      <w:r>
        <w:t>针对心理+AI场景特征，本项目建立了“隐私保护—内容安全—边界管理—转介机制”四位一体治理框架。</w:t>
      </w:r>
    </w:p>
    <w:p>
      <w:pPr>
        <w:jc w:val="both"/>
      </w:pPr>
      <w:r>
        <w:t>隐私层面采用最小化采集、匿名化处理与访问审计；内容层面引入风险识别与人工复核；边界层面明确项目非医疗诊断定位；高风险场景下提供人工转介建议。</w:t>
      </w:r>
    </w:p>
    <w:p>
      <w:pPr>
        <w:jc w:val="center"/>
      </w:pPr>
      <w:r>
        <w:rPr>
          <w:rFonts w:ascii="宋体" w:hAnsi="宋体" w:eastAsia="宋体"/>
          <w:sz w:val="21"/>
        </w:rPr>
        <w:t>表11-1 风险与合规治理矩阵（占位，待插入）</w:t>
      </w:r>
    </w:p>
    <w:p>
      <w:pPr>
        <w:pStyle w:val="Heading1"/>
      </w:pPr>
      <w:r>
        <w:t>第十二章：财务预测与分析</w:t>
      </w:r>
    </w:p>
    <w:p>
      <w:pPr>
        <w:jc w:val="both"/>
      </w:pPr>
      <w:r>
        <w:t>财务预测建议采用保守、中性、积极三情景模型，重点评估研发投入、运维成本、推广成本与收入结构变化。</w:t>
      </w:r>
    </w:p>
    <w:p>
      <w:pPr>
        <w:jc w:val="both"/>
      </w:pPr>
      <w:r>
        <w:t>通过分阶段预算管理和滚动复盘机制，确保资源配置与阶段目标保持一致。</w:t>
      </w:r>
    </w:p>
    <w:p>
      <w:pPr>
        <w:jc w:val="center"/>
      </w:pPr>
      <w:r>
        <w:rPr>
          <w:rFonts w:ascii="宋体" w:hAnsi="宋体" w:eastAsia="宋体"/>
          <w:sz w:val="21"/>
        </w:rPr>
        <w:t>表12-1 财务预测参数与情景假设（占位，待插入）</w:t>
      </w:r>
    </w:p>
    <w:p>
      <w:pPr>
        <w:pStyle w:val="Heading1"/>
      </w:pPr>
      <w:r>
        <w:t>第十三章：综合回报分析（经济+社会+教育）</w:t>
      </w:r>
    </w:p>
    <w:p>
      <w:pPr>
        <w:jc w:val="both"/>
      </w:pPr>
      <w:r>
        <w:t>国奖评审强调综合价值。本项目回报分析包含经济回报、社会效益、教育效益与文化传承效益四维度。</w:t>
      </w:r>
    </w:p>
    <w:p>
      <w:pPr>
        <w:jc w:val="both"/>
      </w:pPr>
      <w:r>
        <w:t>经济回报体现在服务转化与合作拓展；社会效益体现在心理健康支持可及性提升；教育效益体现在校园心理服务工具升级；文化效益体现在国画疗愈路径的数字化传播。</w:t>
      </w:r>
    </w:p>
    <w:p>
      <w:pPr>
        <w:jc w:val="center"/>
      </w:pPr>
      <w:r>
        <w:rPr>
          <w:rFonts w:ascii="宋体" w:hAnsi="宋体" w:eastAsia="宋体"/>
          <w:sz w:val="21"/>
        </w:rPr>
        <w:t>表13-1 综合回报评估框架（占位，待插入）</w:t>
      </w:r>
    </w:p>
    <w:p>
      <w:pPr>
        <w:pStyle w:val="Heading1"/>
      </w:pPr>
      <w:r>
        <w:t>第十四章：发展规划与战略部署</w:t>
      </w:r>
    </w:p>
    <w:p>
      <w:pPr>
        <w:jc w:val="both"/>
      </w:pPr>
      <w:r>
        <w:t>发展规划分为近期、中期、远期三阶段：近期完成样本扩展与产品稳定，中期形成跨校复制能力，远期推进平台化与生态协同。</w:t>
      </w:r>
    </w:p>
    <w:p>
      <w:pPr>
        <w:jc w:val="both"/>
      </w:pPr>
      <w:r>
        <w:t>战略部署遵循“创新机制沉淀—标准流程输出—合作网络拓展”的路径，提升项目长期竞争力。</w:t>
      </w:r>
    </w:p>
    <w:p>
      <w:pPr>
        <w:jc w:val="center"/>
      </w:pPr>
      <w:r>
        <w:rPr>
          <w:rFonts w:ascii="宋体" w:hAnsi="宋体" w:eastAsia="宋体"/>
          <w:sz w:val="21"/>
        </w:rPr>
        <w:t>图14-1 三阶段战略部署图（占位，待插入）</w:t>
      </w:r>
    </w:p>
    <w:p>
      <w:pPr>
        <w:pStyle w:val="Heading1"/>
      </w:pPr>
      <w:r>
        <w:t>第十五章：结论与合作诉求</w:t>
      </w:r>
    </w:p>
    <w:p>
      <w:pPr>
        <w:jc w:val="both"/>
      </w:pPr>
      <w:r>
        <w:t>综上，本项目已形成明确问题导向、可验证技术路径与可扩展应用场景，具备国奖评审所关注的创新性、实证性与可复制性。</w:t>
      </w:r>
    </w:p>
    <w:p>
      <w:pPr>
        <w:jc w:val="both"/>
      </w:pPr>
      <w:r>
        <w:t>后续希望在试点学校资源、专家评估支持、跨学科协同机制等方面获得进一步合作，共同推动项目高质量落地与持续迭代。</w:t>
      </w:r>
    </w:p>
    <w:p>
      <w:pPr>
        <w:pStyle w:val="Heading1"/>
      </w:pPr>
      <w:r>
        <w:t>附录A：市场调研详细数据</w:t>
      </w:r>
    </w:p>
    <w:p>
      <w:pPr>
        <w:jc w:val="both"/>
      </w:pPr>
      <w:r>
        <w:t>建议附上问卷题项、样本结构、统计口径说明、关键图表及原始表格，确保结论可复核、可追溯。</w:t>
      </w:r>
    </w:p>
    <w:p>
      <w:pPr>
        <w:pStyle w:val="Heading1"/>
      </w:pPr>
      <w:r>
        <w:t>附录B：技术方案详细文档</w:t>
      </w:r>
    </w:p>
    <w:p>
      <w:pPr>
        <w:jc w:val="both"/>
      </w:pPr>
      <w:r>
        <w:t>建议附上系统架构图、模块流程图、数据流设计、接口说明、关键算法说明与版本记录，提升评审对技术可行性的判断效率。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</w:r>
    <w:r>
      <w:rPr>
        <w:rFonts w:ascii="宋体" w:hAnsi="宋体" w:eastAsia="宋体"/>
        <w:sz w:val="21"/>
      </w:rPr>
      <w:fldChar w:fldCharType="begin"/>
      <w:instrText>PAGE</w:instrTex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21"/>
      </w:rPr>
      <w:t>三创赛国奖冲刺版计划书（墨韵心调）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