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120"/>
      </w:pPr>
      <w:r>
        <w:rPr>
          <w:rFonts w:ascii="宋体" w:hAnsi="宋体" w:eastAsia="宋体"/>
          <w:b/>
          <w:sz w:val="32"/>
        </w:rPr>
        <w:t>《墨韵心调》项目书整合稿（原立项书 + 现有计划书）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使用说明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本文档用于将原立项书的学术深度、技术细节与现有计划书的商业化框架进行融合。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建议作为“国奖冲刺版”主文档底稿，后续可直接扩写为正式申报书。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写作策略：每章都按“问题-方案-证据-结果-壁垒”表达，避免只讲概念。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第一章 项目摘要与核心价值（整合版）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“墨韵心调”面向青年群体与亚健康人群情绪调节场景，构建了以国画为核心媒介的多模态情绪干预系统。项目将情感识别大模型、视觉生成模型与音乐生成模型串联为闭环，形成“识别-生成-干预-评估-迭代”的智能疗愈流程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与单一聊天陪伴或单一音乐疗愈产品相比，本项目以东方美学语义和国画情绪映射为特色，兼顾技术创新、文化创新与应用创新，具备较强的社会效益与产业化潜力。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图1-1 第一章 项目摘要与核心价值核心逻辑图（占位）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图1-2 第一章 项目摘要与核心价值流程示意图（占位）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表1-1 第一章 项目摘要与核心价值关键数据汇总表（占位）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表1-2 第一章 项目摘要与核心价值评估指标与结果表（占位）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第二章 政策背景与问题定义（来自原立项书，建议直接沿用并润色）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2.1 政策与时代背景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结合“健康中国2030”等政策，强调心理健康服务数字化、普惠化的现实需求。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明确高校、职场青年在焦虑、压力管理、情绪波动等方面的持续痛点。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2.2 问题定义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传统心理支持资源供给不足、触达效率低、服务成本高。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现有数字产品普遍缺乏文化适配与个体化干预能力。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缺少“可量化验证”的情绪干预闭环与长期追踪机制。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图2-1 第二章 政策背景与问题定义核心逻辑图（占位）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图2-2 第二章 政策背景与问题定义流程示意图（占位）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表2-1 第二章 政策背景与问题定义关键数据汇总表（占位）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表2-2 第二章 政策背景与问题定义评估指标与结果表（占位）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第三章 市场分析与用户洞察（以现有计划书为主，补原立项调研口径）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3.1 目标用户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高校学生：学习压力、人际关系、升学就业焦虑。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初入职场青年：绩效压力、节奏失衡、情绪耗竭。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心理亚健康群体：有调节需求但不愿接受强医疗化介入。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3.2 需求洞察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低门槛、非病理化、可日常使用的情绪调节服务。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兼顾隐私、安全和陪伴感的数字化干预体验。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具有“文化认同感”的疗愈内容（国画+音乐+文本）。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3.3 市场机会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心理健康与数字疗愈市场持续增长，细分赛道仍缺国风特色高质量产品。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高校和企业EAP场景可形成稳定B端合作入口。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图3-1 第三章 市场分析与用户洞察核心逻辑图（占位）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图3-2 第三章 市场分析与用户洞察流程示意图（占位）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表3-1 第三章 市场分析与用户洞察关键数据汇总表（占位）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表3-2 第三章 市场分析与用户洞察评估指标与结果表（占位）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第四章 竞品分析与差异化结论（现有计划书结构 + 原立项技术优势）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4.1 竞品对照维度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干预方式：文本陪伴/冥想/音乐疗愈/综合干预。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技术能力：情绪识别精度、个性化策略、反馈闭环能力。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文化属性：是否具备本土文化内容与审美表达。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4.2 差异化结论框（建议在最终Word中做成醒目文本框）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本项目核心差异化：**东方美学情绪表达 + 多模态闭环干预 + 可评估可迭代机制**。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竞争壁垒来源：自建“国画-情绪”数据集、专属标注体系、工作流智能体协同框架。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图4-1 第四章 竞品分析与差异化结论核心逻辑图（占位）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图4-2 第四章 竞品分析与差异化结论流程示意图（占位）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表4-1 第四章 竞品分析与差异化结论关键数据汇总表（占位）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表4-2 第四章 竞品分析与差异化结论评估指标与结果表（占位）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第五章 产品与服务设计（两版融合）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5.1 产品形态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C端：小程序/网页端情绪陪伴与调节入口。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B端：校园心理中心、企业EAP、社区心理服务协同平台。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5.2 核心功能模块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情绪识别与对话评估。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国画生成与情绪匹配推荐。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音乐生成与多模态协同输出。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干预记录、量表评估、效果追踪。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5.3 服务流程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用户输入 -&gt; 情绪识别 -&gt; 生成个性化国画与音乐 -&gt; 引导式调节 -&gt; 反馈采集 -&gt; 模型优化。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图5-1 第五章 产品与服务设计核心逻辑图（占位）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图5-2 第五章 产品与服务设计流程示意图（占位）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表5-1 第五章 产品与服务设计关键数据汇总表（占位）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表5-2 第五章 产品与服务设计评估指标与结果表（占位）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第六章 技术架构与实现方案（重点继承原立项书）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6.1 技术架构总览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前端交互层：文本/语音输入与反馈可视化。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智能中台层：情绪理解、策略生成、任务编排。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内容生成层：视觉模型（国画）、音乐模型（音频）。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评估与数据层：量表数据、行为数据、效果追踪与迭代训练。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6.2 关键技术（可直接沿用原立项书并升级表达）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EmoLLM：负责情绪识别与干预建议生成。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视觉模型（通义万相思路）：负责符合情绪语义的国画生成。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音乐模型（豆包音乐思路）：负责匹配情绪状态的音乐生成。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多模态协同引擎：统一调度文本、图像、音乐输出。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6.3 技术闭环（建议保留为图）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识别 -&gt; 生成 -&gt; 干预 -&gt; 评估 -&gt; 再训练，形成可持续优化机制。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图6-1 第六章 技术架构与实现方案核心逻辑图（占位）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图6-2 第六章 技术架构与实现方案流程示意图（占位）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表6-1 第六章 技术架构与实现方案关键数据汇总表（占位）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表6-2 第六章 技术架构与实现方案评估指标与结果表（占位）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第七章 创新点与知识产权布局（原立项“创新点”直接升级）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7.1 创新点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理论创新：国画美学与情绪计算融合。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方法创新：构建“国画-情绪”多维映射与标签体系。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工程创新：多模型智能体协同的干预流水线。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应用创新：面向高校/职场的低门槛情绪干预方案。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7.2 知识产权规划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软件著作权：平台系统、算法流程。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专利方向：情绪映射方法、多模态协同干预方法。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数据资产：标注规范、样本库、评估基准集。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图7-1 第七章 创新点与知识产权布局核心逻辑图（占位）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图7-2 第七章 创新点与知识产权布局流程示意图（占位）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表7-1 第七章 创新点与知识产权布局关键数据汇总表（占位）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表7-2 第七章 创新点与知识产权布局评估指标与结果表（占位）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第八章 实证验证与疗效评估（国奖加分核心，需重点扩写）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8.1 实验设计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采用前后测或A/B组设计，设置基线组与干预组。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纳入量表指标（如焦虑、压力、情绪稳定度）与行为指标（留存、互动深度）。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8.2 关键评估指标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有效率、改善幅度、用户满意度、7日/30日留存。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统计显著性检验，确保结论可复现、可解释。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8.3 结果表达建议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使用“图8-1 干预前后指标变化”“表8-2 对照组与实验组对比”。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给出失败样本分析与改进策略，体现科研严谨性。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图8-1 第八章 实证验证与疗效评估核心逻辑图（占位）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图8-2 第八章 实证验证与疗效评估流程示意图（占位）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表8-1 第八章 实证验证与疗效评估关键数据汇总表（占位）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表8-2 第八章 实证验证与疗效评估评估指标与结果表（占位）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第九章 商业模式与运营路径（以现有计划书为主）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9.1 收益模式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B2B2C：校园与企业采购服务，覆盖终端用户。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C端增值：会员、主题疗愈包、个性化长期计划。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联合合作：内容共创、课程合作、品牌联动。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9.2 增长策略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校园场景试点 -&gt; 区域复制 -&gt; 行业拓展。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通过课程、社群、活动形成持续触达与口碑传播。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图9-1 第九章 商业模式与运营路径核心逻辑图（占位）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图9-2 第九章 商业模式与运营路径流程示意图（占位）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表9-1 第九章 商业模式与运营路径关键数据汇总表（占位）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表9-2 第九章 商业模式与运营路径评估指标与结果表（占位）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第十章 组织架构与团队优势（原立项团队内容可直接迁移）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10.1 团队分工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技术组：模型开发、系统架构、工程实现。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产品组：用户研究、流程设计、体验优化。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运营组：场景落地、合作拓展、数据反馈。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10.2 导师与外部支持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强调导师在相关领域研究积累与项目指导能力。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明确校内外资源协同机制（实验场景、数据支持、推广渠道）。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图10-1 第十章 组织架构与团队优势核心逻辑图（占位）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图10-2 第十章 组织架构与团队优势流程示意图（占位）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表10-1 第十章 组织架构与团队优势关键数据汇总表（占位）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表10-2 第十章 组织架构与团队优势评估指标与结果表（占位）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第十一章 财务分析与综合回报（沿用现有计划书，重写表达）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11.1 财务测算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成本结构：研发、人力、算力、运营、市场。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收入结构：服务费、订阅费、合作分成等。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关键财务指标：盈亏平衡点、现金流、ROI。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11.2 综合回报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经济回报：可持续商业化能力。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社会回报：心理健康服务普惠、青年群体福祉提升。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教育回报：在高校心理教育与美育融合中的示范价值。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图11-1 第十一章 财务分析与综合回报核心逻辑图（占位）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图11-2 第十一章 财务分析与综合回报流程示意图（占位）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表11-1 第十一章 财务分析与综合回报关键数据汇总表（占位）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表11-2 第十一章 财务分析与综合回报评估指标与结果表（占位）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第十二章 风险、伦理与合规（国奖答辩高频问题）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12.1 主要风险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模型输出偏差与误判风险。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数据安全与隐私风险。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商业化推进节奏与资源风险。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12.2 应对策略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建立人工复核与高风险触发机制。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实施数据脱敏、分级授权与日志审计。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设置阶段目标与预警机制，确保项目稳态推进。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图12-1 第十二章 风险、伦理与合规核心逻辑图（占位）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图12-2 第十二章 风险、伦理与合规流程示意图（占位）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表12-1 第十二章 风险、伦理与合规关键数据汇总表（占位）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表12-2 第十二章 风险、伦理与合规评估指标与结果表（占位）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第十三章 里程碑与实施计划（原立项“实施路线+进度安排”迁移）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13.1 阶段安排（示例）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阶段1：需求定义与样本采集。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阶段2：核心模型训练与联调。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阶段3：小范围试点与评估。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阶段4：规模化推广与持续优化。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13.2 交付物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阶段原型、测试报告、评估报告、合作协议、知识产权材料。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4"/>
        </w:rPr>
        <w:t>图表占位（答辩版）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图13-1 第十三章 里程碑与实施计划核心逻辑图（占位）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图13-2 第十三章 里程碑与实施计划流程示意图（占位）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表13-1 第十三章 里程碑与实施计划关键数据汇总表（占位）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表13-2 第十三章 里程碑与实施计划评估指标与结果表（占位）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附录建议（原立项书内容重点放这里）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附录A：国内外文献综述与参考文献。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附录B：技术路线图与流程图。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附录C：调研问卷、访谈提纲、用户画像样本。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附录D：经费预算明细与测算依据。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附录E：数据字典与标注规范（国画-情绪映射标准）。</w:t>
      </w:r>
    </w:p>
    <w:p>
      <w:pPr>
        <w:spacing w:line="360" w:lineRule="auto" w:before="120" w:after="120"/>
      </w:pPr>
      <w:r>
        <w:rPr>
          <w:rFonts w:ascii="宋体" w:hAnsi="宋体" w:eastAsia="宋体"/>
          <w:b/>
          <w:sz w:val="28"/>
        </w:rPr>
        <w:t>一键替换清单（你后续只需补数据）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把原立项书中的“可行性分析”补进第六章与第八章作为证据链。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把原立项书中的“创新点与拟解决问题”补进第七章并对应专利/软著计划。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把现有计划书中的“市场、运营、财务”补进第三、九、十一章并补充真实数据。</w:t>
      </w:r>
    </w:p>
    <w:p>
      <w:pPr>
        <w:spacing w:line="360" w:lineRule="auto" w:before="0" w:after="0"/>
        <w:ind w:left="420"/>
        <w:jc w:val="both"/>
      </w:pPr>
      <w:r>
        <w:rPr>
          <w:rFonts w:ascii="宋体" w:hAnsi="宋体" w:eastAsia="宋体"/>
          <w:b w:val="0"/>
          <w:sz w:val="24"/>
        </w:rPr>
        <w:t>• 把原立项书中的“实施路线、进度、预算”补进第十三章和附录D。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4"/>
        </w:rPr>
        <w:t>建议下一步：将本整合稿转成Word后统一学校格式（标题层级、页眉页脚、图表编号），再进入“答辩版PPT同构整理”。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t>页码：提交前在 Word 中插入自动页码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sz w:val="21"/>
      </w:rPr>
      <w:t>三创赛项目计划书（国奖冲刺版）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