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CF2B92" w:rsidR="00CF2B92" w:rsidP="00CF2B92" w:rsidRDefault="00CF2B92" w14:paraId="7946800E" w14:textId="0D4F5AB1">
      <w:pPr>
        <w:rPr>
          <w:rFonts w:ascii="Cambria" w:hAnsi="Cambria"/>
          <w:b/>
          <w:bCs/>
          <w:sz w:val="28"/>
          <w:szCs w:val="28"/>
        </w:rPr>
      </w:pPr>
      <w:r w:rsidRPr="00CF2B92">
        <w:rPr>
          <w:rFonts w:ascii="Cambria" w:hAnsi="Cambria"/>
          <w:b/>
          <w:bCs/>
          <w:sz w:val="28"/>
          <w:szCs w:val="28"/>
        </w:rPr>
        <w:t xml:space="preserve">Verdict Hub System (VHS) - </w:t>
      </w:r>
      <w:r w:rsidRPr="00CF2B92">
        <w:rPr>
          <w:rFonts w:ascii="Cambria" w:hAnsi="Cambria"/>
          <w:b/>
          <w:bCs/>
          <w:i/>
          <w:iCs/>
          <w:sz w:val="28"/>
          <w:szCs w:val="28"/>
        </w:rPr>
        <w:t>Your Case Co-Pilot from Filing to Verdict </w:t>
      </w:r>
    </w:p>
    <w:p w:rsidRPr="00CF2B92" w:rsidR="00CF2B92" w:rsidP="00CF2B92" w:rsidRDefault="00CF2B92" w14:paraId="20AB8CB4" w14:textId="3622FA21">
      <w:pPr>
        <w:rPr>
          <w:rFonts w:ascii="Cambria" w:hAnsi="Cambria"/>
          <w:b/>
          <w:bCs/>
          <w:i/>
          <w:iCs/>
          <w:u w:val="single"/>
        </w:rPr>
      </w:pPr>
      <w:r w:rsidRPr="00CF2B92">
        <w:rPr>
          <w:rFonts w:ascii="Cambria" w:hAnsi="Cambria"/>
          <w:b/>
          <w:bCs/>
          <w:i/>
          <w:iCs/>
          <w:u w:val="single"/>
        </w:rPr>
        <w:t>Frequently Asked Questions:</w:t>
      </w:r>
    </w:p>
    <w:p w:rsidRPr="00CF2B92" w:rsidR="00CF2B92" w:rsidP="00CF2B92" w:rsidRDefault="00CF2B92" w14:paraId="7041935B" w14:textId="77777777">
      <w:pPr>
        <w:rPr>
          <w:rFonts w:ascii="Cambria" w:hAnsi="Cambria"/>
          <w:b/>
          <w:bCs/>
        </w:rPr>
      </w:pPr>
      <w:r w:rsidRPr="00CF2B92">
        <w:rPr>
          <w:rFonts w:ascii="Cambria" w:hAnsi="Cambria"/>
          <w:b/>
          <w:bCs/>
        </w:rPr>
        <w:t>1. What is VHS, and how is it different from traditional jury research?</w:t>
      </w:r>
    </w:p>
    <w:p w:rsidRPr="00CF2B92" w:rsidR="00CF2B92" w:rsidP="00CF2B92" w:rsidRDefault="00CF2B92" w14:paraId="1EBEEC38" w14:textId="77777777">
      <w:pPr>
        <w:rPr>
          <w:rFonts w:ascii="Cambria" w:hAnsi="Cambria"/>
        </w:rPr>
      </w:pPr>
      <w:r w:rsidRPr="00CF2B92">
        <w:rPr>
          <w:rFonts w:ascii="Cambria" w:hAnsi="Cambria"/>
        </w:rPr>
        <w:t xml:space="preserve">VHS—short for </w:t>
      </w:r>
      <w:r w:rsidRPr="00CF2B92">
        <w:rPr>
          <w:rFonts w:ascii="Cambria" w:hAnsi="Cambria"/>
          <w:b/>
          <w:bCs/>
        </w:rPr>
        <w:t>Verdict Hub System</w:t>
      </w:r>
      <w:r w:rsidRPr="00CF2B92">
        <w:rPr>
          <w:rFonts w:ascii="Cambria" w:hAnsi="Cambria"/>
        </w:rPr>
        <w:t>—is your AI-powered case co-pilot. It helps you simulate how real jurors from your venue might perceive liability, evidence, and damages—using jurisdiction-specific digital juror personas grounded in behavioral realism.</w:t>
      </w:r>
    </w:p>
    <w:p w:rsidRPr="00CF2B92" w:rsidR="00CF2B92" w:rsidP="00CF2B92" w:rsidRDefault="00CF2B92" w14:paraId="1D78D206" w14:textId="04119913">
      <w:pPr>
        <w:rPr>
          <w:rFonts w:ascii="Cambria" w:hAnsi="Cambria"/>
        </w:rPr>
      </w:pPr>
      <w:r w:rsidRPr="00CF2B92">
        <w:rPr>
          <w:rFonts w:ascii="Cambria" w:hAnsi="Cambria"/>
        </w:rPr>
        <w:t xml:space="preserve">Unlike traditional jury research such as focus groups, or mock trials, which are expensive, static, and limited to one or two time points, VHS is </w:t>
      </w:r>
      <w:r w:rsidRPr="00CF2B92">
        <w:rPr>
          <w:rFonts w:ascii="Cambria" w:hAnsi="Cambria"/>
          <w:b/>
          <w:bCs/>
        </w:rPr>
        <w:t>agile</w:t>
      </w:r>
      <w:r w:rsidR="00C954D7">
        <w:rPr>
          <w:rFonts w:ascii="Cambria" w:hAnsi="Cambria"/>
        </w:rPr>
        <w:t xml:space="preserve"> and</w:t>
      </w:r>
      <w:r w:rsidRPr="00CF2B92">
        <w:rPr>
          <w:rFonts w:ascii="Cambria" w:hAnsi="Cambria"/>
        </w:rPr>
        <w:t xml:space="preserve"> </w:t>
      </w:r>
      <w:r w:rsidRPr="00CF2B92">
        <w:rPr>
          <w:rFonts w:ascii="Cambria" w:hAnsi="Cambria"/>
          <w:b/>
          <w:bCs/>
        </w:rPr>
        <w:t>scalable</w:t>
      </w:r>
      <w:r w:rsidRPr="00CF2B92">
        <w:rPr>
          <w:rFonts w:ascii="Cambria" w:hAnsi="Cambria"/>
        </w:rPr>
        <w:t xml:space="preserve">. You can VHS your case early, midstream, or right before trial—each time generating targeted insights to inform your strategy. It’s become so integrated into our clients' workflows that they now say things like </w:t>
      </w:r>
      <w:r w:rsidRPr="00CF2B92">
        <w:rPr>
          <w:rFonts w:ascii="Cambria" w:hAnsi="Cambria"/>
          <w:i/>
          <w:iCs/>
        </w:rPr>
        <w:t>"I need to VHS this before mediation."</w:t>
      </w:r>
    </w:p>
    <w:p w:rsidRPr="00CF2B92" w:rsidR="00CF2B92" w:rsidP="00CF2B92" w:rsidRDefault="00CF2B92" w14:paraId="3F1DF411" w14:textId="77777777">
      <w:pPr>
        <w:rPr>
          <w:rFonts w:ascii="Cambria" w:hAnsi="Cambria"/>
          <w:b/>
          <w:bCs/>
        </w:rPr>
      </w:pPr>
      <w:r w:rsidRPr="00CF2B92">
        <w:rPr>
          <w:rFonts w:ascii="Cambria" w:hAnsi="Cambria"/>
          <w:b/>
          <w:bCs/>
        </w:rPr>
        <w:lastRenderedPageBreak/>
        <w:t>2. What do I need to give you to get started?</w:t>
      </w:r>
    </w:p>
    <w:p w:rsidRPr="00CF2B92" w:rsidR="00CF2B92" w:rsidP="00CF2B92" w:rsidRDefault="00CF2B92" w14:paraId="7B28F961" w14:textId="77777777">
      <w:pPr>
        <w:rPr>
          <w:rFonts w:ascii="Cambria" w:hAnsi="Cambria"/>
        </w:rPr>
      </w:pPr>
      <w:r w:rsidRPr="00CF2B92">
        <w:rPr>
          <w:rFonts w:ascii="Cambria" w:hAnsi="Cambria"/>
        </w:rPr>
        <w:t>Starting with VHS is remarkably simple. We need just two things:</w:t>
      </w:r>
    </w:p>
    <w:p w:rsidRPr="00CF2B92" w:rsidR="00CF2B92" w:rsidP="00CF2B92" w:rsidRDefault="00CF2B92" w14:paraId="6DF3E9D5" w14:textId="083BCD84">
      <w:pPr>
        <w:numPr>
          <w:ilvl w:val="0"/>
          <w:numId w:val="1"/>
        </w:numPr>
        <w:spacing w:line="240" w:lineRule="auto"/>
        <w:rPr>
          <w:rFonts w:ascii="Cambria" w:hAnsi="Cambria"/>
        </w:rPr>
      </w:pPr>
      <w:r w:rsidRPr="00CF2B92">
        <w:rPr>
          <w:rFonts w:ascii="Cambria" w:hAnsi="Cambria"/>
          <w:b/>
          <w:bCs/>
        </w:rPr>
        <w:t>Case materials</w:t>
      </w:r>
      <w:r w:rsidRPr="00CF2B92">
        <w:rPr>
          <w:rFonts w:ascii="Cambria" w:hAnsi="Cambria"/>
        </w:rPr>
        <w:t xml:space="preserve">: Complaint, </w:t>
      </w:r>
      <w:r w:rsidR="00507B27">
        <w:rPr>
          <w:rFonts w:ascii="Cambria" w:hAnsi="Cambria"/>
        </w:rPr>
        <w:t xml:space="preserve">fact intense </w:t>
      </w:r>
      <w:r w:rsidRPr="00CF2B92">
        <w:rPr>
          <w:rFonts w:ascii="Cambria" w:hAnsi="Cambria"/>
        </w:rPr>
        <w:t>motions, depo excerpts, case summaries—whatever context you want VHS to work from.</w:t>
      </w:r>
    </w:p>
    <w:p w:rsidRPr="00CF2B92" w:rsidR="00CF2B92" w:rsidP="00CF2B92" w:rsidRDefault="00CF2B92" w14:paraId="415E8A4A" w14:textId="3E853C12">
      <w:pPr>
        <w:numPr>
          <w:ilvl w:val="0"/>
          <w:numId w:val="1"/>
        </w:numPr>
        <w:spacing w:line="240" w:lineRule="auto"/>
        <w:rPr>
          <w:rFonts w:ascii="Cambria" w:hAnsi="Cambria"/>
        </w:rPr>
      </w:pPr>
      <w:r w:rsidRPr="00CF2B92">
        <w:rPr>
          <w:rFonts w:ascii="Cambria" w:hAnsi="Cambria"/>
          <w:b/>
          <w:bCs/>
        </w:rPr>
        <w:t>Trial jurisdiction</w:t>
      </w:r>
      <w:r w:rsidRPr="00CF2B92">
        <w:rPr>
          <w:rFonts w:ascii="Cambria" w:hAnsi="Cambria"/>
        </w:rPr>
        <w:t xml:space="preserve">: We align all juror personas and reasoning styles to the demographics and behavioral patterns of that specific </w:t>
      </w:r>
      <w:r w:rsidR="002834EC">
        <w:rPr>
          <w:rFonts w:ascii="Cambria" w:hAnsi="Cambria"/>
        </w:rPr>
        <w:t>venue</w:t>
      </w:r>
      <w:r w:rsidRPr="00CF2B92">
        <w:rPr>
          <w:rFonts w:ascii="Cambria" w:hAnsi="Cambria"/>
        </w:rPr>
        <w:t>.</w:t>
      </w:r>
    </w:p>
    <w:p w:rsidRPr="00CF2B92" w:rsidR="00CF2B92" w:rsidP="00CF2B92" w:rsidRDefault="00CF2B92" w14:paraId="62EC00BD" w14:textId="77777777">
      <w:pPr>
        <w:rPr>
          <w:rFonts w:ascii="Cambria" w:hAnsi="Cambria"/>
        </w:rPr>
      </w:pPr>
      <w:r w:rsidRPr="00CF2B92">
        <w:rPr>
          <w:rFonts w:ascii="Cambria" w:hAnsi="Cambria"/>
        </w:rPr>
        <w:t>From there, the VHS system takes over.</w:t>
      </w:r>
    </w:p>
    <w:p w:rsidRPr="00CF2B92" w:rsidR="00CF2B92" w:rsidP="00CF2B92" w:rsidRDefault="00CF2B92" w14:paraId="12E533EC" w14:textId="77777777">
      <w:pPr>
        <w:rPr>
          <w:rFonts w:ascii="Cambria" w:hAnsi="Cambria"/>
          <w:b/>
          <w:bCs/>
        </w:rPr>
      </w:pPr>
      <w:r w:rsidRPr="00CF2B92">
        <w:rPr>
          <w:rFonts w:ascii="Cambria" w:hAnsi="Cambria"/>
          <w:b/>
          <w:bCs/>
        </w:rPr>
        <w:t>3. How does VHS “understand” the case?</w:t>
      </w:r>
    </w:p>
    <w:p w:rsidRPr="00CF2B92" w:rsidR="00CF2B92" w:rsidP="00CF2B92" w:rsidRDefault="00CF2B92" w14:paraId="3659F08D" w14:textId="4E18BEF6">
      <w:pPr>
        <w:rPr>
          <w:rFonts w:ascii="Cambria" w:hAnsi="Cambria"/>
        </w:rPr>
      </w:pPr>
      <w:r w:rsidRPr="00CF2B92">
        <w:rPr>
          <w:rFonts w:ascii="Cambria" w:hAnsi="Cambria"/>
        </w:rPr>
        <w:t>We use AI large language models (LLMs) trained on trillions of datasets—including legal documents, human behavior, and decision-making logic. VHS processes your case materials to extract key facts, claims, defenses, and disputes—while staying grounded in your actual documents.</w:t>
      </w:r>
      <w:r w:rsidR="00564EBE">
        <w:rPr>
          <w:rFonts w:ascii="Cambria" w:hAnsi="Cambria"/>
        </w:rPr>
        <w:t xml:space="preserve"> </w:t>
      </w:r>
      <w:r w:rsidRPr="00CF2B92">
        <w:rPr>
          <w:rFonts w:ascii="Cambria" w:hAnsi="Cambria"/>
        </w:rPr>
        <w:t>We maintain strict confidentiality and ensure your data is secure. </w:t>
      </w:r>
    </w:p>
    <w:p w:rsidRPr="00CF2B92" w:rsidR="00CF2B92" w:rsidP="00CF2B92" w:rsidRDefault="00CF2B92" w14:paraId="336E1E2D" w14:textId="77777777">
      <w:pPr>
        <w:rPr>
          <w:rFonts w:ascii="Cambria" w:hAnsi="Cambria"/>
          <w:b/>
          <w:bCs/>
        </w:rPr>
      </w:pPr>
      <w:r w:rsidRPr="00CF2B92">
        <w:rPr>
          <w:rFonts w:ascii="Cambria" w:hAnsi="Cambria"/>
          <w:b/>
          <w:bCs/>
        </w:rPr>
        <w:t>4. Who are these “digital jurors” and how are they created?</w:t>
      </w:r>
    </w:p>
    <w:p w:rsidRPr="00CF2B92" w:rsidR="00CF2B92" w:rsidP="00CF2B92" w:rsidRDefault="001406C7" w14:paraId="6FE2B009" w14:textId="6945130C">
      <w:pPr>
        <w:rPr>
          <w:rFonts w:ascii="Cambria" w:hAnsi="Cambria"/>
        </w:rPr>
      </w:pPr>
      <w:r>
        <w:rPr>
          <w:rFonts w:ascii="Cambria" w:hAnsi="Cambria"/>
        </w:rPr>
        <w:t xml:space="preserve">Our proprietary patent pending technology allows us </w:t>
      </w:r>
      <w:r w:rsidR="00CD1B83">
        <w:rPr>
          <w:rFonts w:ascii="Cambria" w:hAnsi="Cambria"/>
        </w:rPr>
        <w:t xml:space="preserve">to build </w:t>
      </w:r>
      <w:r w:rsidR="00B36FF6">
        <w:rPr>
          <w:rFonts w:ascii="Cambria" w:hAnsi="Cambria"/>
        </w:rPr>
        <w:t xml:space="preserve">Agentic AI based </w:t>
      </w:r>
      <w:r w:rsidR="00CD1B83">
        <w:rPr>
          <w:rFonts w:ascii="Cambria" w:hAnsi="Cambria"/>
        </w:rPr>
        <w:t xml:space="preserve">personas that </w:t>
      </w:r>
      <w:r w:rsidRPr="00CF2B92" w:rsidR="00CF2B92">
        <w:rPr>
          <w:rFonts w:ascii="Cambria" w:hAnsi="Cambria"/>
        </w:rPr>
        <w:t xml:space="preserve">reflect the </w:t>
      </w:r>
      <w:r w:rsidRPr="00CF2B92" w:rsidR="00CF2B92">
        <w:rPr>
          <w:rFonts w:ascii="Cambria" w:hAnsi="Cambria"/>
          <w:b/>
          <w:bCs/>
        </w:rPr>
        <w:t>actual demographic makeup</w:t>
      </w:r>
      <w:r w:rsidRPr="00CF2B92" w:rsidR="00CF2B92">
        <w:rPr>
          <w:rFonts w:ascii="Cambria" w:hAnsi="Cambria"/>
        </w:rPr>
        <w:t xml:space="preserve"> of your trial venue.</w:t>
      </w:r>
      <w:r w:rsidR="00306E3E">
        <w:rPr>
          <w:rFonts w:ascii="Cambria" w:hAnsi="Cambria"/>
        </w:rPr>
        <w:t xml:space="preserve"> </w:t>
      </w:r>
      <w:r w:rsidR="00CD1B83">
        <w:rPr>
          <w:rFonts w:ascii="Cambria" w:hAnsi="Cambria"/>
        </w:rPr>
        <w:t>We then</w:t>
      </w:r>
      <w:r w:rsidRPr="00CF2B92" w:rsidR="00CF2B92">
        <w:rPr>
          <w:rFonts w:ascii="Cambria" w:hAnsi="Cambria"/>
        </w:rPr>
        <w:t xml:space="preserve"> generate juror </w:t>
      </w:r>
      <w:r w:rsidRPr="00CF2B92" w:rsidR="00CF2B92">
        <w:rPr>
          <w:rFonts w:ascii="Cambria" w:hAnsi="Cambria"/>
        </w:rPr>
        <w:lastRenderedPageBreak/>
        <w:t xml:space="preserve">responses that are dynamic, grounded, and behaviorally rich—more like how people actually think, not just how we </w:t>
      </w:r>
      <w:r w:rsidRPr="00CF2B92" w:rsidR="00CF2B92">
        <w:rPr>
          <w:rFonts w:ascii="Cambria" w:hAnsi="Cambria"/>
          <w:i/>
          <w:iCs/>
        </w:rPr>
        <w:t>hope</w:t>
      </w:r>
      <w:r w:rsidRPr="00CF2B92" w:rsidR="00CF2B92">
        <w:rPr>
          <w:rFonts w:ascii="Cambria" w:hAnsi="Cambria"/>
        </w:rPr>
        <w:t xml:space="preserve"> they think and reason.</w:t>
      </w:r>
    </w:p>
    <w:p w:rsidRPr="00CF2B92" w:rsidR="00CF2B92" w:rsidP="00CF2B92" w:rsidRDefault="00CF2B92" w14:paraId="6688334B" w14:textId="77777777">
      <w:pPr>
        <w:rPr>
          <w:rFonts w:ascii="Cambria" w:hAnsi="Cambria"/>
          <w:b/>
          <w:bCs/>
        </w:rPr>
      </w:pPr>
      <w:r w:rsidRPr="00CF2B92">
        <w:rPr>
          <w:rFonts w:ascii="Cambria" w:hAnsi="Cambria"/>
          <w:b/>
          <w:bCs/>
        </w:rPr>
        <w:t>5. What happens once juror profiles are built?</w:t>
      </w:r>
    </w:p>
    <w:p w:rsidRPr="00CF2B92" w:rsidR="00CF2B92" w:rsidP="00CF2B92" w:rsidRDefault="00CF2B92" w14:paraId="12249EFD" w14:textId="77777777">
      <w:pPr>
        <w:spacing w:line="240" w:lineRule="auto"/>
        <w:rPr>
          <w:rFonts w:ascii="Cambria" w:hAnsi="Cambria"/>
        </w:rPr>
      </w:pPr>
      <w:r w:rsidRPr="00CF2B92">
        <w:rPr>
          <w:rFonts w:ascii="Cambria" w:hAnsi="Cambria"/>
        </w:rPr>
        <w:t xml:space="preserve">We generate a </w:t>
      </w:r>
      <w:r w:rsidRPr="00CF2B92">
        <w:rPr>
          <w:rFonts w:ascii="Cambria" w:hAnsi="Cambria"/>
          <w:b/>
          <w:bCs/>
        </w:rPr>
        <w:t>custom survey instrument</w:t>
      </w:r>
      <w:r w:rsidRPr="00CF2B92">
        <w:rPr>
          <w:rFonts w:ascii="Cambria" w:hAnsi="Cambria"/>
        </w:rPr>
        <w:t>, tailored to your case. This includes:</w:t>
      </w:r>
    </w:p>
    <w:p w:rsidRPr="00CF2B92" w:rsidR="00CF2B92" w:rsidP="00CF2B92" w:rsidRDefault="00CF2B92" w14:paraId="21F4021D" w14:textId="77777777">
      <w:pPr>
        <w:numPr>
          <w:ilvl w:val="0"/>
          <w:numId w:val="2"/>
        </w:numPr>
        <w:spacing w:line="240" w:lineRule="auto"/>
        <w:rPr>
          <w:rFonts w:ascii="Cambria" w:hAnsi="Cambria"/>
        </w:rPr>
      </w:pPr>
      <w:r w:rsidRPr="00CF2B92">
        <w:rPr>
          <w:rFonts w:ascii="Cambria" w:hAnsi="Cambria"/>
        </w:rPr>
        <w:t>Legal standards (e.g., negligence, proximate cause)</w:t>
      </w:r>
    </w:p>
    <w:p w:rsidRPr="00CF2B92" w:rsidR="00CF2B92" w:rsidP="00CF2B92" w:rsidRDefault="00CF2B92" w14:paraId="2901E0D6" w14:textId="77777777">
      <w:pPr>
        <w:numPr>
          <w:ilvl w:val="0"/>
          <w:numId w:val="2"/>
        </w:numPr>
        <w:spacing w:line="240" w:lineRule="auto"/>
        <w:rPr>
          <w:rFonts w:ascii="Cambria" w:hAnsi="Cambria"/>
        </w:rPr>
      </w:pPr>
      <w:r w:rsidRPr="00CF2B92">
        <w:rPr>
          <w:rFonts w:ascii="Cambria" w:hAnsi="Cambria"/>
        </w:rPr>
        <w:t>Fact-specific hypotheticals</w:t>
      </w:r>
    </w:p>
    <w:p w:rsidRPr="00CF2B92" w:rsidR="00CF2B92" w:rsidP="00CF2B92" w:rsidRDefault="00CF2B92" w14:paraId="481B4476" w14:textId="77777777">
      <w:pPr>
        <w:numPr>
          <w:ilvl w:val="0"/>
          <w:numId w:val="2"/>
        </w:numPr>
        <w:spacing w:line="240" w:lineRule="auto"/>
        <w:rPr>
          <w:rFonts w:ascii="Cambria" w:hAnsi="Cambria"/>
        </w:rPr>
      </w:pPr>
      <w:r w:rsidRPr="00CF2B92">
        <w:rPr>
          <w:rFonts w:ascii="Cambria" w:hAnsi="Cambria"/>
        </w:rPr>
        <w:t>Open-ended reasoning prompts</w:t>
      </w:r>
    </w:p>
    <w:p w:rsidRPr="00CF2B92" w:rsidR="00CF2B92" w:rsidP="00CF2B92" w:rsidRDefault="00CF2B92" w14:paraId="591E5116" w14:textId="77777777">
      <w:pPr>
        <w:numPr>
          <w:ilvl w:val="0"/>
          <w:numId w:val="2"/>
        </w:numPr>
        <w:spacing w:line="240" w:lineRule="auto"/>
        <w:rPr>
          <w:rFonts w:ascii="Cambria" w:hAnsi="Cambria"/>
        </w:rPr>
      </w:pPr>
      <w:r w:rsidRPr="00CF2B92">
        <w:rPr>
          <w:rFonts w:ascii="Cambria" w:hAnsi="Cambria"/>
        </w:rPr>
        <w:t>Fault allocations and damage modeling</w:t>
      </w:r>
    </w:p>
    <w:p w:rsidR="00CF2B92" w:rsidP="00CF2B92" w:rsidRDefault="00CF2B92" w14:paraId="08DE744D" w14:textId="77777777">
      <w:pPr>
        <w:numPr>
          <w:ilvl w:val="0"/>
          <w:numId w:val="2"/>
        </w:numPr>
        <w:spacing w:line="240" w:lineRule="auto"/>
        <w:rPr>
          <w:rFonts w:ascii="Cambria" w:hAnsi="Cambria"/>
        </w:rPr>
      </w:pPr>
      <w:r w:rsidRPr="00CF2B92">
        <w:rPr>
          <w:rFonts w:ascii="Cambria" w:hAnsi="Cambria"/>
        </w:rPr>
        <w:t>Evidence ranking, witness preferences, and juror confidence measures</w:t>
      </w:r>
    </w:p>
    <w:p w:rsidRPr="00CF2B92" w:rsidR="00CF2B92" w:rsidP="00CF2B92" w:rsidRDefault="004B1651" w14:paraId="203F5A40" w14:textId="43DD2836">
      <w:pPr>
        <w:rPr>
          <w:rFonts w:ascii="Cambria" w:hAnsi="Cambria"/>
        </w:rPr>
      </w:pPr>
      <w:r>
        <w:rPr>
          <w:rFonts w:ascii="Cambria" w:hAnsi="Cambria"/>
        </w:rPr>
        <w:t>Our AI Agents</w:t>
      </w:r>
      <w:r w:rsidRPr="00CF2B92" w:rsidR="00CF2B92">
        <w:rPr>
          <w:rFonts w:ascii="Cambria" w:hAnsi="Cambria"/>
        </w:rPr>
        <w:t xml:space="preserve"> simulat</w:t>
      </w:r>
      <w:r>
        <w:rPr>
          <w:rFonts w:ascii="Cambria" w:hAnsi="Cambria"/>
        </w:rPr>
        <w:t>es</w:t>
      </w:r>
      <w:r w:rsidRPr="00CF2B92" w:rsidR="00CF2B92">
        <w:rPr>
          <w:rFonts w:ascii="Cambria" w:hAnsi="Cambria"/>
        </w:rPr>
        <w:t xml:space="preserve"> how real jurors reason—then we analyze the results at both the individual and population level.</w:t>
      </w:r>
    </w:p>
    <w:p w:rsidRPr="00CF2B92" w:rsidR="00CF2B92" w:rsidP="00CF2B92" w:rsidRDefault="00CF2B92" w14:paraId="39760A5D" w14:textId="77777777">
      <w:pPr>
        <w:rPr>
          <w:rFonts w:ascii="Cambria" w:hAnsi="Cambria"/>
          <w:b/>
          <w:bCs/>
        </w:rPr>
      </w:pPr>
      <w:r w:rsidRPr="00CF2B92">
        <w:rPr>
          <w:rFonts w:ascii="Cambria" w:hAnsi="Cambria"/>
          <w:b/>
          <w:bCs/>
        </w:rPr>
        <w:t>6. What kind of insights do I get back—and how do I know they’re reliable?</w:t>
      </w:r>
    </w:p>
    <w:p w:rsidRPr="00CF2B92" w:rsidR="00CF2B92" w:rsidP="00CF2B92" w:rsidRDefault="00CF2B92" w14:paraId="007865B6" w14:textId="77777777">
      <w:pPr>
        <w:rPr>
          <w:rFonts w:ascii="Cambria" w:hAnsi="Cambria"/>
        </w:rPr>
      </w:pPr>
      <w:r w:rsidRPr="00CF2B92">
        <w:rPr>
          <w:rFonts w:ascii="Cambria" w:hAnsi="Cambria"/>
        </w:rPr>
        <w:lastRenderedPageBreak/>
        <w:t>You receive a structured insight report showing:</w:t>
      </w:r>
    </w:p>
    <w:p w:rsidRPr="00CF2B92" w:rsidR="00CF2B92" w:rsidP="00CF2B92" w:rsidRDefault="00CF2B92" w14:paraId="25E29504" w14:textId="77777777">
      <w:pPr>
        <w:numPr>
          <w:ilvl w:val="0"/>
          <w:numId w:val="3"/>
        </w:numPr>
        <w:spacing w:line="240" w:lineRule="auto"/>
        <w:rPr>
          <w:rFonts w:ascii="Cambria" w:hAnsi="Cambria"/>
        </w:rPr>
      </w:pPr>
      <w:r w:rsidRPr="00CF2B92">
        <w:rPr>
          <w:rFonts w:ascii="Cambria" w:hAnsi="Cambria"/>
        </w:rPr>
        <w:t>Who jurors believe, and why</w:t>
      </w:r>
    </w:p>
    <w:p w:rsidRPr="00CF2B92" w:rsidR="00CF2B92" w:rsidP="00CF2B92" w:rsidRDefault="00CF2B92" w14:paraId="007B8024" w14:textId="77777777">
      <w:pPr>
        <w:numPr>
          <w:ilvl w:val="0"/>
          <w:numId w:val="3"/>
        </w:numPr>
        <w:spacing w:line="240" w:lineRule="auto"/>
        <w:rPr>
          <w:rFonts w:ascii="Cambria" w:hAnsi="Cambria"/>
        </w:rPr>
      </w:pPr>
      <w:r w:rsidRPr="00CF2B92">
        <w:rPr>
          <w:rFonts w:ascii="Cambria" w:hAnsi="Cambria"/>
        </w:rPr>
        <w:t>Which arguments resonate or fall flat</w:t>
      </w:r>
    </w:p>
    <w:p w:rsidR="00481F58" w:rsidP="0080765B" w:rsidRDefault="00CF2B92" w14:paraId="416017F7" w14:textId="77777777">
      <w:pPr>
        <w:numPr>
          <w:ilvl w:val="0"/>
          <w:numId w:val="3"/>
        </w:numPr>
        <w:spacing w:line="240" w:lineRule="auto"/>
        <w:rPr>
          <w:rFonts w:ascii="Cambria" w:hAnsi="Cambria"/>
        </w:rPr>
      </w:pPr>
      <w:r w:rsidRPr="007249E2">
        <w:rPr>
          <w:rFonts w:ascii="Cambria" w:hAnsi="Cambria"/>
        </w:rPr>
        <w:t>Where jurors are divided—and on what basis</w:t>
      </w:r>
    </w:p>
    <w:p w:rsidRPr="007249E2" w:rsidR="00CF2B92" w:rsidP="0080765B" w:rsidRDefault="00CF2B92" w14:paraId="30085253" w14:textId="3B4AD87D">
      <w:pPr>
        <w:numPr>
          <w:ilvl w:val="0"/>
          <w:numId w:val="3"/>
        </w:numPr>
        <w:spacing w:line="240" w:lineRule="auto"/>
        <w:rPr>
          <w:rFonts w:ascii="Cambria" w:hAnsi="Cambria"/>
        </w:rPr>
      </w:pPr>
      <w:r w:rsidRPr="007249E2">
        <w:rPr>
          <w:rFonts w:ascii="Cambria" w:hAnsi="Cambria"/>
        </w:rPr>
        <w:t>Demographic patterns in blame and award thresholds</w:t>
      </w:r>
    </w:p>
    <w:p w:rsidRPr="00CF2B92" w:rsidR="00CF2B92" w:rsidP="00E75698" w:rsidRDefault="00CF2B92" w14:paraId="4A4AFC3D" w14:textId="2E9CA9BB">
      <w:pPr>
        <w:numPr>
          <w:ilvl w:val="0"/>
          <w:numId w:val="3"/>
        </w:numPr>
        <w:spacing w:after="0" w:line="240" w:lineRule="auto"/>
        <w:rPr>
          <w:rFonts w:ascii="Cambria" w:hAnsi="Cambria"/>
        </w:rPr>
      </w:pPr>
      <w:r w:rsidRPr="00CF2B92">
        <w:rPr>
          <w:rFonts w:ascii="Cambria" w:hAnsi="Cambria"/>
        </w:rPr>
        <w:t>Favorable juror profiles for plaintiff</w:t>
      </w:r>
      <w:r w:rsidRPr="00CF2B92">
        <w:rPr>
          <w:rFonts w:ascii="Cambria" w:hAnsi="Cambria"/>
        </w:rPr>
        <w:br/>
      </w:r>
    </w:p>
    <w:p w:rsidRPr="00026A93" w:rsidR="00CF2B92" w:rsidP="00CF2B92" w:rsidRDefault="00DF205B" w14:paraId="6BDAA5F6" w14:textId="4F8D2229">
      <w:pPr>
        <w:rPr>
          <w:rFonts w:ascii="Cambria" w:hAnsi="Cambria"/>
        </w:rPr>
      </w:pPr>
      <w:r>
        <w:rPr>
          <w:rFonts w:ascii="Cambria" w:hAnsi="Cambria"/>
          <w:b/>
          <w:bCs/>
          <w:u w:val="single"/>
        </w:rPr>
        <w:t xml:space="preserve">Behind the scene, </w:t>
      </w:r>
      <w:r w:rsidRPr="00CF2B92" w:rsidR="00CF2B92">
        <w:rPr>
          <w:rFonts w:ascii="Cambria" w:hAnsi="Cambria"/>
          <w:b/>
          <w:bCs/>
          <w:u w:val="single"/>
        </w:rPr>
        <w:t>VHS i</w:t>
      </w:r>
      <w:r>
        <w:rPr>
          <w:rFonts w:ascii="Cambria" w:hAnsi="Cambria"/>
          <w:b/>
          <w:bCs/>
          <w:u w:val="single"/>
        </w:rPr>
        <w:t>s using</w:t>
      </w:r>
      <w:r w:rsidRPr="00CF2B92" w:rsidR="00CF2B92">
        <w:rPr>
          <w:rFonts w:ascii="Cambria" w:hAnsi="Cambria"/>
          <w:b/>
          <w:bCs/>
          <w:u w:val="single"/>
        </w:rPr>
        <w:t xml:space="preserve"> a completely new</w:t>
      </w:r>
      <w:r>
        <w:rPr>
          <w:rFonts w:ascii="Cambria" w:hAnsi="Cambria"/>
          <w:b/>
          <w:bCs/>
          <w:u w:val="single"/>
        </w:rPr>
        <w:t xml:space="preserve"> patent pending</w:t>
      </w:r>
      <w:r w:rsidRPr="00CF2B92" w:rsidR="00CF2B92">
        <w:rPr>
          <w:rFonts w:ascii="Cambria" w:hAnsi="Cambria"/>
          <w:b/>
          <w:bCs/>
          <w:u w:val="single"/>
        </w:rPr>
        <w:t xml:space="preserve"> paradigm</w:t>
      </w:r>
      <w:r w:rsidR="00026A93">
        <w:rPr>
          <w:rFonts w:ascii="Cambria" w:hAnsi="Cambria"/>
        </w:rPr>
        <w:t xml:space="preserve"> and we do not use traditional statistical methods</w:t>
      </w:r>
      <w:r>
        <w:rPr>
          <w:rFonts w:ascii="Cambria" w:hAnsi="Cambria"/>
        </w:rPr>
        <w:t xml:space="preserve"> for our research.</w:t>
      </w:r>
    </w:p>
    <w:p w:rsidRPr="00CF2B92" w:rsidR="00CF2B92" w:rsidP="00CF2B92" w:rsidRDefault="006D3F55" w14:paraId="3DF0D4FA" w14:textId="75380255">
      <w:pPr>
        <w:spacing w:line="240" w:lineRule="auto"/>
        <w:rPr>
          <w:rFonts w:ascii="Cambria" w:hAnsi="Cambria"/>
        </w:rPr>
      </w:pPr>
      <w:r>
        <w:rPr>
          <w:rFonts w:ascii="Cambria" w:hAnsi="Cambria"/>
        </w:rPr>
        <w:t>We</w:t>
      </w:r>
      <w:r w:rsidRPr="00CF2B92" w:rsidR="00CF2B92">
        <w:rPr>
          <w:rFonts w:ascii="Cambria" w:hAnsi="Cambria"/>
        </w:rPr>
        <w:t xml:space="preserve"> consistently see strong real-world alignment in:</w:t>
      </w:r>
    </w:p>
    <w:p w:rsidRPr="00CF2B92" w:rsidR="00CF2B92" w:rsidP="00CF2B92" w:rsidRDefault="00CF2B92" w14:paraId="5B2762D2" w14:textId="77777777">
      <w:pPr>
        <w:numPr>
          <w:ilvl w:val="0"/>
          <w:numId w:val="4"/>
        </w:numPr>
        <w:spacing w:line="240" w:lineRule="auto"/>
        <w:rPr>
          <w:rFonts w:ascii="Cambria" w:hAnsi="Cambria"/>
        </w:rPr>
      </w:pPr>
      <w:r w:rsidRPr="00CF2B92">
        <w:rPr>
          <w:rFonts w:ascii="Cambria" w:hAnsi="Cambria"/>
        </w:rPr>
        <w:t>Juror reasoning patterns</w:t>
      </w:r>
    </w:p>
    <w:p w:rsidRPr="00CF2B92" w:rsidR="00CF2B92" w:rsidP="00CF2B92" w:rsidRDefault="00CF2B92" w14:paraId="1106F0A1" w14:textId="77777777">
      <w:pPr>
        <w:numPr>
          <w:ilvl w:val="0"/>
          <w:numId w:val="4"/>
        </w:numPr>
        <w:spacing w:line="240" w:lineRule="auto"/>
        <w:rPr>
          <w:rFonts w:ascii="Cambria" w:hAnsi="Cambria"/>
        </w:rPr>
      </w:pPr>
      <w:r w:rsidRPr="00CF2B92">
        <w:rPr>
          <w:rFonts w:ascii="Cambria" w:hAnsi="Cambria"/>
        </w:rPr>
        <w:t>Skepticism around certain damages</w:t>
      </w:r>
    </w:p>
    <w:p w:rsidRPr="00CF2B92" w:rsidR="00CF2B92" w:rsidP="00CF2B92" w:rsidRDefault="00CF2B92" w14:paraId="5249F7E6" w14:textId="77777777">
      <w:pPr>
        <w:numPr>
          <w:ilvl w:val="0"/>
          <w:numId w:val="4"/>
        </w:numPr>
        <w:spacing w:line="240" w:lineRule="auto"/>
        <w:rPr>
          <w:rFonts w:ascii="Cambria" w:hAnsi="Cambria"/>
        </w:rPr>
      </w:pPr>
      <w:r w:rsidRPr="00CF2B92">
        <w:rPr>
          <w:rFonts w:ascii="Cambria" w:hAnsi="Cambria"/>
        </w:rPr>
        <w:t>Political and demographic lean impacts</w:t>
      </w:r>
    </w:p>
    <w:p w:rsidRPr="00CF2B92" w:rsidR="00CF2B92" w:rsidP="00CF2B92" w:rsidRDefault="00CF2B92" w14:paraId="7AB82138" w14:textId="77777777">
      <w:pPr>
        <w:numPr>
          <w:ilvl w:val="0"/>
          <w:numId w:val="4"/>
        </w:numPr>
        <w:spacing w:line="240" w:lineRule="auto"/>
        <w:rPr>
          <w:rFonts w:ascii="Cambria" w:hAnsi="Cambria"/>
        </w:rPr>
      </w:pPr>
      <w:r w:rsidRPr="00CF2B92">
        <w:rPr>
          <w:rFonts w:ascii="Cambria" w:hAnsi="Cambria"/>
        </w:rPr>
        <w:t>Evidentiary priorities and confusion points</w:t>
      </w:r>
    </w:p>
    <w:p w:rsidRPr="00CF2B92" w:rsidR="00CF2B92" w:rsidP="00CF2B92" w:rsidRDefault="00CF2B92" w14:paraId="04DF6C6A" w14:textId="7FDF796D">
      <w:pPr>
        <w:rPr>
          <w:rFonts w:ascii="Cambria" w:hAnsi="Cambria"/>
        </w:rPr>
      </w:pPr>
      <w:r w:rsidRPr="00CF2B92">
        <w:rPr>
          <w:rFonts w:ascii="Cambria" w:hAnsi="Cambria"/>
        </w:rPr>
        <w:t xml:space="preserve">VHS isn’t trying to predict your verdict with a probability curve—it’s helping you </w:t>
      </w:r>
      <w:r w:rsidRPr="00CF2B92">
        <w:rPr>
          <w:rFonts w:ascii="Cambria" w:hAnsi="Cambria"/>
          <w:i/>
          <w:iCs/>
        </w:rPr>
        <w:t>understand how people like your jurors think</w:t>
      </w:r>
      <w:r w:rsidRPr="00CF2B92">
        <w:rPr>
          <w:rFonts w:ascii="Cambria" w:hAnsi="Cambria"/>
        </w:rPr>
        <w:t xml:space="preserve">, and how that should shape your strategy. </w:t>
      </w:r>
      <w:r w:rsidRPr="00CF2B92">
        <w:rPr>
          <w:rFonts w:ascii="Cambria" w:hAnsi="Cambria"/>
          <w:i/>
          <w:iCs/>
        </w:rPr>
        <w:t>It’s like running a focus group or mock jury—over and over—at lightning speed.</w:t>
      </w:r>
    </w:p>
    <w:p w:rsidRPr="00CF2B92" w:rsidR="00CF2B92" w:rsidP="00CF2B92" w:rsidRDefault="00CF2B92" w14:paraId="0A4ED6C8" w14:textId="77777777">
      <w:pPr>
        <w:rPr>
          <w:rFonts w:ascii="Cambria" w:hAnsi="Cambria"/>
          <w:b/>
          <w:bCs/>
        </w:rPr>
      </w:pPr>
      <w:r w:rsidRPr="00CF2B92">
        <w:rPr>
          <w:rFonts w:ascii="Cambria" w:hAnsi="Cambria"/>
          <w:b/>
          <w:bCs/>
        </w:rPr>
        <w:t>7. Can I use VHS more than once in the same case?</w:t>
      </w:r>
    </w:p>
    <w:p w:rsidRPr="00CF2B92" w:rsidR="00CF2B92" w:rsidP="001C17CC" w:rsidRDefault="00CF2B92" w14:paraId="0D9279F2" w14:textId="3DF28F95">
      <w:pPr>
        <w:spacing w:line="240" w:lineRule="auto"/>
        <w:rPr>
          <w:rFonts w:ascii="Cambria" w:hAnsi="Cambria"/>
        </w:rPr>
      </w:pPr>
      <w:r w:rsidRPr="00CF2B92">
        <w:rPr>
          <w:rFonts w:ascii="Cambria" w:hAnsi="Cambria"/>
        </w:rPr>
        <w:t xml:space="preserve">Yes—and that’s what makes VHS a true </w:t>
      </w:r>
      <w:r w:rsidRPr="00CF2B92">
        <w:rPr>
          <w:rFonts w:ascii="Cambria" w:hAnsi="Cambria"/>
          <w:b/>
          <w:bCs/>
        </w:rPr>
        <w:t>case co-pilot</w:t>
      </w:r>
      <w:r w:rsidRPr="00CF2B92">
        <w:rPr>
          <w:rFonts w:ascii="Cambria" w:hAnsi="Cambria"/>
        </w:rPr>
        <w:t>, not just a one-time tool. You can VHS your case</w:t>
      </w:r>
      <w:r w:rsidR="00A61F0C">
        <w:rPr>
          <w:rFonts w:ascii="Cambria" w:hAnsi="Cambria"/>
        </w:rPr>
        <w:t xml:space="preserve"> </w:t>
      </w:r>
      <w:r w:rsidRPr="007F4D2B" w:rsidR="00A61F0C">
        <w:rPr>
          <w:rFonts w:ascii="Cambria" w:hAnsi="Cambria"/>
          <w:b/>
          <w:bCs/>
        </w:rPr>
        <w:t>(at no</w:t>
      </w:r>
      <w:r w:rsidRPr="007F4D2B" w:rsidR="007F4D2B">
        <w:rPr>
          <w:rFonts w:ascii="Cambria" w:hAnsi="Cambria"/>
          <w:b/>
          <w:bCs/>
        </w:rPr>
        <w:t xml:space="preserve"> </w:t>
      </w:r>
      <w:r w:rsidRPr="007F4D2B" w:rsidR="00A61F0C">
        <w:rPr>
          <w:rFonts w:ascii="Cambria" w:hAnsi="Cambria"/>
          <w:b/>
          <w:bCs/>
        </w:rPr>
        <w:t>additional cost</w:t>
      </w:r>
      <w:r w:rsidRPr="007F4D2B" w:rsidR="007F4D2B">
        <w:rPr>
          <w:rFonts w:ascii="Cambria" w:hAnsi="Cambria"/>
          <w:b/>
          <w:bCs/>
        </w:rPr>
        <w:t>)</w:t>
      </w:r>
      <w:r w:rsidRPr="007F4D2B">
        <w:rPr>
          <w:rFonts w:ascii="Cambria" w:hAnsi="Cambria"/>
          <w:b/>
          <w:bCs/>
        </w:rPr>
        <w:t>:</w:t>
      </w:r>
    </w:p>
    <w:p w:rsidRPr="00CF2B92" w:rsidR="00CF2B92" w:rsidP="001C17CC" w:rsidRDefault="00CF2B92" w14:paraId="475CF0BC" w14:textId="77777777">
      <w:pPr>
        <w:numPr>
          <w:ilvl w:val="0"/>
          <w:numId w:val="5"/>
        </w:numPr>
        <w:spacing w:line="240" w:lineRule="auto"/>
        <w:rPr>
          <w:rFonts w:ascii="Cambria" w:hAnsi="Cambria"/>
        </w:rPr>
      </w:pPr>
      <w:r w:rsidRPr="00CF2B92">
        <w:rPr>
          <w:rFonts w:ascii="Cambria" w:hAnsi="Cambria"/>
        </w:rPr>
        <w:lastRenderedPageBreak/>
        <w:t>Early on to pressure-test facts and framing</w:t>
      </w:r>
    </w:p>
    <w:p w:rsidRPr="00CF2B92" w:rsidR="00CF2B92" w:rsidP="001C17CC" w:rsidRDefault="00CF2B92" w14:paraId="538C4280" w14:textId="77777777">
      <w:pPr>
        <w:numPr>
          <w:ilvl w:val="0"/>
          <w:numId w:val="5"/>
        </w:numPr>
        <w:spacing w:line="240" w:lineRule="auto"/>
        <w:rPr>
          <w:rFonts w:ascii="Cambria" w:hAnsi="Cambria"/>
        </w:rPr>
      </w:pPr>
      <w:r w:rsidRPr="00CF2B92">
        <w:rPr>
          <w:rFonts w:ascii="Cambria" w:hAnsi="Cambria"/>
        </w:rPr>
        <w:t>Post-discovery to assess risk before mediation</w:t>
      </w:r>
    </w:p>
    <w:p w:rsidRPr="00CF2B92" w:rsidR="00CF2B92" w:rsidP="001C17CC" w:rsidRDefault="00CF2B92" w14:paraId="46DFF90C" w14:textId="77777777">
      <w:pPr>
        <w:numPr>
          <w:ilvl w:val="0"/>
          <w:numId w:val="5"/>
        </w:numPr>
        <w:spacing w:line="240" w:lineRule="auto"/>
        <w:rPr>
          <w:rFonts w:ascii="Cambria" w:hAnsi="Cambria"/>
        </w:rPr>
      </w:pPr>
      <w:r w:rsidRPr="00CF2B92">
        <w:rPr>
          <w:rFonts w:ascii="Cambria" w:hAnsi="Cambria"/>
        </w:rPr>
        <w:t>After depositions to evaluate witness impact</w:t>
      </w:r>
    </w:p>
    <w:p w:rsidRPr="00CF2B92" w:rsidR="00CF2B92" w:rsidP="001C17CC" w:rsidRDefault="00CF2B92" w14:paraId="19622551" w14:textId="008AE432">
      <w:pPr>
        <w:numPr>
          <w:ilvl w:val="0"/>
          <w:numId w:val="5"/>
        </w:numPr>
        <w:spacing w:after="120" w:line="240" w:lineRule="auto"/>
        <w:rPr>
          <w:rFonts w:ascii="Cambria" w:hAnsi="Cambria"/>
        </w:rPr>
      </w:pPr>
      <w:r w:rsidRPr="00CF2B92">
        <w:rPr>
          <w:rFonts w:ascii="Cambria" w:hAnsi="Cambria"/>
        </w:rPr>
        <w:t>Pre-trial to refine themes and arguments</w:t>
      </w:r>
      <w:r w:rsidRPr="00CF2B92">
        <w:rPr>
          <w:rFonts w:ascii="Cambria" w:hAnsi="Cambria"/>
        </w:rPr>
        <w:br/>
      </w:r>
    </w:p>
    <w:p w:rsidRPr="00CF2B92" w:rsidR="00CF2B92" w:rsidP="001C17CC" w:rsidRDefault="00CF2B92" w14:paraId="653E53BD" w14:textId="5747124B">
      <w:pPr>
        <w:spacing w:after="120" w:line="240" w:lineRule="auto"/>
        <w:rPr>
          <w:rFonts w:ascii="Cambria" w:hAnsi="Cambria"/>
        </w:rPr>
      </w:pPr>
      <w:r w:rsidRPr="00CF2B92">
        <w:rPr>
          <w:rFonts w:ascii="Cambria" w:hAnsi="Cambria"/>
        </w:rPr>
        <w:t>Each pass adapts to new inputs. The more your case evolves, the more VHS keeps pace—bringing you fresh and targeted intelligence every time you need it.</w:t>
      </w:r>
      <w:r w:rsidR="00AA08BA">
        <w:rPr>
          <w:rFonts w:ascii="Cambria" w:hAnsi="Cambria"/>
        </w:rPr>
        <w:t xml:space="preserve"> </w:t>
      </w:r>
    </w:p>
    <w:p w:rsidRPr="00CF2B92" w:rsidR="00CF2B92" w:rsidP="00CF2B92" w:rsidRDefault="00CF2B92" w14:paraId="231F6629" w14:textId="77777777">
      <w:pPr>
        <w:rPr>
          <w:rFonts w:ascii="Cambria" w:hAnsi="Cambria"/>
          <w:b/>
          <w:bCs/>
        </w:rPr>
      </w:pPr>
      <w:r w:rsidRPr="00CF2B92">
        <w:rPr>
          <w:rFonts w:ascii="Cambria" w:hAnsi="Cambria"/>
          <w:b/>
          <w:bCs/>
        </w:rPr>
        <w:t>8. What does VHS tell me that traditional jury research might miss?</w:t>
      </w:r>
    </w:p>
    <w:p w:rsidRPr="00CF2B92" w:rsidR="00CF2B92" w:rsidP="00CF2B92" w:rsidRDefault="00CF2B92" w14:paraId="069EE6F9" w14:textId="77777777">
      <w:pPr>
        <w:rPr>
          <w:rFonts w:ascii="Cambria" w:hAnsi="Cambria"/>
        </w:rPr>
      </w:pPr>
      <w:r w:rsidRPr="00CF2B92">
        <w:rPr>
          <w:rFonts w:ascii="Cambria" w:hAnsi="Cambria"/>
        </w:rPr>
        <w:t>VHS doesn’t just give you verdict predictions or surface-level reactions. It reveals:</w:t>
      </w:r>
    </w:p>
    <w:p w:rsidRPr="00CF2B92" w:rsidR="00CF2B92" w:rsidP="00776261" w:rsidRDefault="00CF2B92" w14:paraId="190F9B27" w14:textId="77777777">
      <w:pPr>
        <w:numPr>
          <w:ilvl w:val="0"/>
          <w:numId w:val="6"/>
        </w:numPr>
        <w:spacing w:line="240" w:lineRule="auto"/>
        <w:rPr>
          <w:rFonts w:ascii="Cambria" w:hAnsi="Cambria"/>
        </w:rPr>
      </w:pPr>
      <w:r w:rsidRPr="00CF2B92">
        <w:rPr>
          <w:rFonts w:ascii="Cambria" w:hAnsi="Cambria"/>
        </w:rPr>
        <w:t>How jurors from your venue would explain their reasoning to others</w:t>
      </w:r>
    </w:p>
    <w:p w:rsidRPr="00CF2B92" w:rsidR="00CF2B92" w:rsidP="00776261" w:rsidRDefault="00CF2B92" w14:paraId="06BFDF98" w14:textId="77777777">
      <w:pPr>
        <w:numPr>
          <w:ilvl w:val="0"/>
          <w:numId w:val="6"/>
        </w:numPr>
        <w:spacing w:line="240" w:lineRule="auto"/>
        <w:rPr>
          <w:rFonts w:ascii="Cambria" w:hAnsi="Cambria"/>
        </w:rPr>
      </w:pPr>
      <w:r w:rsidRPr="00CF2B92">
        <w:rPr>
          <w:rFonts w:ascii="Cambria" w:hAnsi="Cambria"/>
        </w:rPr>
        <w:t>Where your case is vulnerable to confusion or blame-shifting</w:t>
      </w:r>
    </w:p>
    <w:p w:rsidRPr="00CF2B92" w:rsidR="00CF2B92" w:rsidP="00776261" w:rsidRDefault="00CF2B92" w14:paraId="0F255636" w14:textId="77777777">
      <w:pPr>
        <w:numPr>
          <w:ilvl w:val="0"/>
          <w:numId w:val="6"/>
        </w:numPr>
        <w:spacing w:line="240" w:lineRule="auto"/>
        <w:rPr>
          <w:rFonts w:ascii="Cambria" w:hAnsi="Cambria"/>
        </w:rPr>
      </w:pPr>
      <w:r w:rsidRPr="00CF2B92">
        <w:rPr>
          <w:rFonts w:ascii="Cambria" w:hAnsi="Cambria"/>
        </w:rPr>
        <w:t>How sympathetic narratives land with specific demographic profiles</w:t>
      </w:r>
    </w:p>
    <w:p w:rsidRPr="00CF2B92" w:rsidR="00CF2B92" w:rsidP="00CF2B92" w:rsidRDefault="00CF2B92" w14:paraId="26691635" w14:textId="77777777">
      <w:pPr>
        <w:rPr>
          <w:rFonts w:ascii="Cambria" w:hAnsi="Cambria"/>
        </w:rPr>
      </w:pPr>
      <w:r w:rsidRPr="00CF2B92">
        <w:rPr>
          <w:rFonts w:ascii="Cambria" w:hAnsi="Cambria"/>
        </w:rPr>
        <w:lastRenderedPageBreak/>
        <w:t xml:space="preserve">You’re not just seeing </w:t>
      </w:r>
      <w:r w:rsidRPr="00CF2B92">
        <w:rPr>
          <w:rFonts w:ascii="Cambria" w:hAnsi="Cambria"/>
          <w:i/>
          <w:iCs/>
        </w:rPr>
        <w:t>what</w:t>
      </w:r>
      <w:r w:rsidRPr="00CF2B92">
        <w:rPr>
          <w:rFonts w:ascii="Cambria" w:hAnsi="Cambria"/>
        </w:rPr>
        <w:t xml:space="preserve"> jurors decide—you’re seeing </w:t>
      </w:r>
      <w:r w:rsidRPr="00CF2B92">
        <w:rPr>
          <w:rFonts w:ascii="Cambria" w:hAnsi="Cambria"/>
          <w:i/>
          <w:iCs/>
        </w:rPr>
        <w:t>how they got there</w:t>
      </w:r>
      <w:r w:rsidRPr="00CF2B92">
        <w:rPr>
          <w:rFonts w:ascii="Cambria" w:hAnsi="Cambria"/>
        </w:rPr>
        <w:t>. And as your case evolves, each VHS run brings you new insights into what matters to the jury. That gives you strategic control before you walk into court. </w:t>
      </w:r>
    </w:p>
    <w:p w:rsidRPr="00CF2B92" w:rsidR="00CF2B92" w:rsidP="00CF2B92" w:rsidRDefault="00CF2B92" w14:paraId="2885B8C3" w14:textId="77777777">
      <w:pPr>
        <w:rPr>
          <w:rFonts w:ascii="Cambria" w:hAnsi="Cambria"/>
          <w:b/>
          <w:bCs/>
        </w:rPr>
      </w:pPr>
      <w:r w:rsidRPr="00CF2B92">
        <w:rPr>
          <w:rFonts w:ascii="Cambria" w:hAnsi="Cambria"/>
          <w:b/>
          <w:bCs/>
        </w:rPr>
        <w:t>9. How long does it take to VHS a case?</w:t>
      </w:r>
    </w:p>
    <w:p w:rsidRPr="00CF2B92" w:rsidR="00CF2B92" w:rsidP="00CF2B92" w:rsidRDefault="00CF2B92" w14:paraId="2D0DCB96" w14:textId="77777777">
      <w:pPr>
        <w:rPr>
          <w:rFonts w:ascii="Cambria" w:hAnsi="Cambria"/>
        </w:rPr>
      </w:pPr>
      <w:r w:rsidRPr="00CF2B92">
        <w:rPr>
          <w:rFonts w:ascii="Cambria" w:hAnsi="Cambria"/>
        </w:rPr>
        <w:t xml:space="preserve">Typical turnaround is </w:t>
      </w:r>
      <w:r w:rsidRPr="00CF2B92">
        <w:rPr>
          <w:rFonts w:ascii="Cambria" w:hAnsi="Cambria"/>
          <w:b/>
          <w:bCs/>
        </w:rPr>
        <w:t>3–5 business days</w:t>
      </w:r>
      <w:r w:rsidRPr="00CF2B92">
        <w:rPr>
          <w:rFonts w:ascii="Cambria" w:hAnsi="Cambria"/>
        </w:rPr>
        <w:t>, depending on document volume and complexity. For quicker iterations (e.g., theme tests, depo-based runs), we can turn around targeted modules even faster.</w:t>
      </w:r>
    </w:p>
    <w:p w:rsidRPr="00CF2B92" w:rsidR="00CF2B92" w:rsidP="00CF2B92" w:rsidRDefault="00CF2B92" w14:paraId="0547FC8F" w14:textId="77777777">
      <w:pPr>
        <w:rPr>
          <w:rFonts w:ascii="Cambria" w:hAnsi="Cambria"/>
          <w:b/>
          <w:bCs/>
        </w:rPr>
      </w:pPr>
      <w:r w:rsidRPr="00CF2B92">
        <w:rPr>
          <w:rFonts w:ascii="Cambria" w:hAnsi="Cambria"/>
          <w:b/>
          <w:bCs/>
        </w:rPr>
        <w:t>10. What makes VHS different from just using ChatGPT or another LLM?</w:t>
      </w:r>
    </w:p>
    <w:p w:rsidRPr="00CF2B92" w:rsidR="00CF2B92" w:rsidP="00CF2B92" w:rsidRDefault="004A643D" w14:paraId="2874D68C" w14:textId="1281F09D">
      <w:pPr>
        <w:rPr>
          <w:rFonts w:ascii="Cambria" w:hAnsi="Cambria"/>
        </w:rPr>
      </w:pPr>
      <w:r w:rsidRPr="004A643D">
        <w:rPr>
          <w:rFonts w:ascii="Cambria" w:hAnsi="Cambria"/>
        </w:rPr>
        <w:t xml:space="preserve">VHS goes far beyond basic AI prompting. We've developed a sophisticated system that simulates realistic juror reasoning from your specific venue, grounded in your actual case materials. Unlike generic AI tools, VHS creates jurisdiction-specific juror profiles that think and reason like real people from your trial venue. The result is strategic case intelligence you simply cannot get from </w:t>
      </w:r>
      <w:r w:rsidR="00045B97">
        <w:rPr>
          <w:rFonts w:ascii="Cambria" w:hAnsi="Cambria"/>
        </w:rPr>
        <w:t>DIY</w:t>
      </w:r>
      <w:r w:rsidRPr="004A643D">
        <w:rPr>
          <w:rFonts w:ascii="Cambria" w:hAnsi="Cambria"/>
        </w:rPr>
        <w:t xml:space="preserve"> AI</w:t>
      </w:r>
      <w:r w:rsidR="00045B97">
        <w:rPr>
          <w:rFonts w:ascii="Cambria" w:hAnsi="Cambria"/>
        </w:rPr>
        <w:t xml:space="preserve"> tools such as ChatGPT</w:t>
      </w:r>
      <w:r w:rsidRPr="004A643D">
        <w:rPr>
          <w:rFonts w:ascii="Cambria" w:hAnsi="Cambria"/>
        </w:rPr>
        <w:t>—no matter how cleverly prompted</w:t>
      </w:r>
      <w:r w:rsidRPr="00776261" w:rsidR="00776261">
        <w:rPr>
          <w:rFonts w:ascii="Cambria" w:hAnsi="Cambria"/>
        </w:rPr>
        <w:t>.</w:t>
      </w:r>
    </w:p>
    <w:p w:rsidRPr="00CF2B92" w:rsidR="00CF2B92" w:rsidP="00CF2B92" w:rsidRDefault="00CF2B92" w14:paraId="2557860A" w14:textId="77777777">
      <w:pPr>
        <w:rPr>
          <w:rFonts w:ascii="Cambria" w:hAnsi="Cambria"/>
          <w:b/>
          <w:bCs/>
        </w:rPr>
      </w:pPr>
      <w:r w:rsidRPr="00CF2B92">
        <w:rPr>
          <w:rFonts w:ascii="Cambria" w:hAnsi="Cambria"/>
          <w:b/>
          <w:bCs/>
        </w:rPr>
        <w:t>11. Does VHS replace live mock juries or trial consultants?</w:t>
      </w:r>
    </w:p>
    <w:p w:rsidRPr="00CF2B92" w:rsidR="00CF2B92" w:rsidP="00CF2B92" w:rsidRDefault="00646950" w14:paraId="29BDE48F" w14:textId="2F209B65">
      <w:pPr>
        <w:rPr>
          <w:rFonts w:ascii="Cambria" w:hAnsi="Cambria"/>
        </w:rPr>
      </w:pPr>
      <w:r w:rsidRPr="00646950">
        <w:rPr>
          <w:rFonts w:ascii="Cambria" w:hAnsi="Cambria"/>
          <w:b/>
          <w:bCs/>
          <w:u w:val="single"/>
        </w:rPr>
        <w:lastRenderedPageBreak/>
        <w:t>ABSOLUTELY NOT</w:t>
      </w:r>
      <w:r w:rsidRPr="00CF2B92" w:rsidR="00CF2B92">
        <w:rPr>
          <w:rFonts w:ascii="Cambria" w:hAnsi="Cambria"/>
        </w:rPr>
        <w:t>. VHS complements them beautifully. Our partner in this venture is Robert Hirschhorn from Cathy E. Bennett &amp; Associates, and he and his team at CEB also use VHS to stress-test themes. Trial teams use it to pre-wire their narratives. Live research is still invaluable—and VHS makes it more refined as you start the live research with CEB or any other litigation consulting firm. Think of this like omni-channel shopping. You research and find inspiration online, and then confirm and pick it up in store.</w:t>
      </w:r>
    </w:p>
    <w:p w:rsidRPr="00CF2B92" w:rsidR="00CF2B92" w:rsidP="00CF2B92" w:rsidRDefault="00CF2B92" w14:paraId="74F5FAE4" w14:textId="77777777">
      <w:pPr>
        <w:rPr>
          <w:rFonts w:ascii="Cambria" w:hAnsi="Cambria"/>
          <w:b/>
          <w:bCs/>
        </w:rPr>
      </w:pPr>
      <w:r w:rsidRPr="00CF2B92">
        <w:rPr>
          <w:rFonts w:ascii="Cambria" w:hAnsi="Cambria"/>
          <w:b/>
          <w:bCs/>
        </w:rPr>
        <w:t>12. How do you define success for VHS—and how do I know it works?</w:t>
      </w:r>
    </w:p>
    <w:p w:rsidRPr="00CF2B92" w:rsidR="00CF2B92" w:rsidP="00CF2B92" w:rsidRDefault="00CF2B92" w14:paraId="1BA6FED5" w14:textId="77777777">
      <w:pPr>
        <w:rPr>
          <w:rFonts w:ascii="Cambria" w:hAnsi="Cambria"/>
        </w:rPr>
      </w:pPr>
      <w:r w:rsidRPr="00CF2B92">
        <w:rPr>
          <w:rFonts w:ascii="Cambria" w:hAnsi="Cambria"/>
        </w:rPr>
        <w:t>Great question—and one we’re continuously refining alongside our clients.</w:t>
      </w:r>
    </w:p>
    <w:p w:rsidRPr="00CF2B92" w:rsidR="00CF2B92" w:rsidP="00CF2B92" w:rsidRDefault="00CF2B92" w14:paraId="708AEA8C" w14:textId="77777777">
      <w:pPr>
        <w:rPr>
          <w:rFonts w:ascii="Cambria" w:hAnsi="Cambria"/>
        </w:rPr>
      </w:pPr>
      <w:r w:rsidRPr="00CF2B92">
        <w:rPr>
          <w:rFonts w:ascii="Cambria" w:hAnsi="Cambria"/>
        </w:rPr>
        <w:t>In the early stages of VHS, we conducted blind testing against traditional jury research surveys. We simulated juror reasoning on fault and damages using our AI-driven personas, and compared those simulations to:</w:t>
      </w:r>
    </w:p>
    <w:p w:rsidRPr="00CF2B92" w:rsidR="00CF2B92" w:rsidP="00154DAE" w:rsidRDefault="00CF2B92" w14:paraId="1C54ED67" w14:textId="77777777">
      <w:pPr>
        <w:numPr>
          <w:ilvl w:val="0"/>
          <w:numId w:val="8"/>
        </w:numPr>
        <w:spacing w:line="240" w:lineRule="auto"/>
        <w:rPr>
          <w:rFonts w:ascii="Cambria" w:hAnsi="Cambria"/>
        </w:rPr>
      </w:pPr>
      <w:r w:rsidRPr="00CF2B92">
        <w:rPr>
          <w:rFonts w:ascii="Cambria" w:hAnsi="Cambria"/>
        </w:rPr>
        <w:t>Results from in-person or online jury research</w:t>
      </w:r>
    </w:p>
    <w:p w:rsidRPr="00CF2B92" w:rsidR="00CF2B92" w:rsidP="00154DAE" w:rsidRDefault="00CF2B92" w14:paraId="01245BAB" w14:textId="66D3A2E8">
      <w:pPr>
        <w:numPr>
          <w:ilvl w:val="0"/>
          <w:numId w:val="8"/>
        </w:numPr>
        <w:spacing w:line="240" w:lineRule="auto"/>
        <w:rPr>
          <w:rFonts w:ascii="Cambria" w:hAnsi="Cambria"/>
        </w:rPr>
      </w:pPr>
      <w:r w:rsidRPr="00CF2B92">
        <w:rPr>
          <w:rFonts w:ascii="Cambria" w:hAnsi="Cambria"/>
        </w:rPr>
        <w:lastRenderedPageBreak/>
        <w:t>Real trial verdicts and settlement outcomes</w:t>
      </w:r>
      <w:r w:rsidRPr="00CF2B92">
        <w:rPr>
          <w:rFonts w:ascii="Cambria" w:hAnsi="Cambria"/>
        </w:rPr>
        <w:br/>
      </w:r>
    </w:p>
    <w:p w:rsidRPr="00CF2B92" w:rsidR="00CF2B92" w:rsidP="00154DAE" w:rsidRDefault="00CF2B92" w14:paraId="6ADD5B07" w14:textId="77777777">
      <w:pPr>
        <w:spacing w:line="240" w:lineRule="auto"/>
        <w:rPr>
          <w:rFonts w:ascii="Cambria" w:hAnsi="Cambria"/>
        </w:rPr>
      </w:pPr>
      <w:r w:rsidRPr="00CF2B92">
        <w:rPr>
          <w:rFonts w:ascii="Cambria" w:hAnsi="Cambria"/>
        </w:rPr>
        <w:t xml:space="preserve">Across these tests, our simulations were </w:t>
      </w:r>
      <w:r w:rsidRPr="00CF2B92">
        <w:rPr>
          <w:rFonts w:ascii="Cambria" w:hAnsi="Cambria"/>
          <w:b/>
          <w:bCs/>
        </w:rPr>
        <w:t>50% closer to actual verdict outcomes</w:t>
      </w:r>
      <w:r w:rsidRPr="00CF2B92">
        <w:rPr>
          <w:rFonts w:ascii="Cambria" w:hAnsi="Cambria"/>
        </w:rPr>
        <w:t xml:space="preserve"> than traditional surveys </w:t>
      </w:r>
      <w:r w:rsidRPr="00CF2B92">
        <w:rPr>
          <w:rFonts w:ascii="Cambria" w:hAnsi="Cambria"/>
          <w:b/>
          <w:bCs/>
        </w:rPr>
        <w:t>95% of the time</w:t>
      </w:r>
      <w:r w:rsidRPr="00CF2B92">
        <w:rPr>
          <w:rFonts w:ascii="Cambria" w:hAnsi="Cambria"/>
        </w:rPr>
        <w:t>.</w:t>
      </w:r>
    </w:p>
    <w:p w:rsidRPr="00CF2B92" w:rsidR="00CF2B92" w:rsidP="00CF2B92" w:rsidRDefault="00CF2B92" w14:paraId="48FA0651" w14:textId="77777777">
      <w:pPr>
        <w:rPr>
          <w:rFonts w:ascii="Cambria" w:hAnsi="Cambria"/>
        </w:rPr>
      </w:pPr>
      <w:r w:rsidRPr="00CF2B92">
        <w:rPr>
          <w:rFonts w:ascii="Cambria" w:hAnsi="Cambria"/>
        </w:rPr>
        <w:t>But we don’t stop there. We believe that success isn’t just about matching verdicts—it’s about improving preparation. VHS is successful when it helps you:</w:t>
      </w:r>
    </w:p>
    <w:p w:rsidRPr="00CF2B92" w:rsidR="00CF2B92" w:rsidP="00154DAE" w:rsidRDefault="00CF2B92" w14:paraId="3AD130A9" w14:textId="77777777">
      <w:pPr>
        <w:numPr>
          <w:ilvl w:val="0"/>
          <w:numId w:val="9"/>
        </w:numPr>
        <w:spacing w:line="240" w:lineRule="auto"/>
        <w:rPr>
          <w:rFonts w:ascii="Cambria" w:hAnsi="Cambria"/>
        </w:rPr>
      </w:pPr>
      <w:r w:rsidRPr="00CF2B92">
        <w:rPr>
          <w:rFonts w:ascii="Cambria" w:hAnsi="Cambria"/>
          <w:b/>
          <w:bCs/>
        </w:rPr>
        <w:t>See the hidden fault lines</w:t>
      </w:r>
      <w:r w:rsidRPr="00CF2B92">
        <w:rPr>
          <w:rFonts w:ascii="Cambria" w:hAnsi="Cambria"/>
        </w:rPr>
        <w:t xml:space="preserve"> before opposing counsel does</w:t>
      </w:r>
    </w:p>
    <w:p w:rsidRPr="00CF2B92" w:rsidR="00CF2B92" w:rsidP="00154DAE" w:rsidRDefault="00CF2B92" w14:paraId="06449811" w14:textId="77777777">
      <w:pPr>
        <w:numPr>
          <w:ilvl w:val="0"/>
          <w:numId w:val="9"/>
        </w:numPr>
        <w:spacing w:line="240" w:lineRule="auto"/>
        <w:rPr>
          <w:rFonts w:ascii="Cambria" w:hAnsi="Cambria"/>
        </w:rPr>
      </w:pPr>
      <w:r w:rsidRPr="00CF2B92">
        <w:rPr>
          <w:rFonts w:ascii="Cambria" w:hAnsi="Cambria"/>
          <w:b/>
          <w:bCs/>
        </w:rPr>
        <w:t>Spot patterns in juror logic</w:t>
      </w:r>
      <w:r w:rsidRPr="00CF2B92">
        <w:rPr>
          <w:rFonts w:ascii="Cambria" w:hAnsi="Cambria"/>
        </w:rPr>
        <w:t xml:space="preserve"> that shape your trial strategy</w:t>
      </w:r>
    </w:p>
    <w:p w:rsidRPr="00CF2B92" w:rsidR="00CF2B92" w:rsidP="00154DAE" w:rsidRDefault="00CF2B92" w14:paraId="108A8165" w14:textId="77777777">
      <w:pPr>
        <w:numPr>
          <w:ilvl w:val="0"/>
          <w:numId w:val="9"/>
        </w:numPr>
        <w:spacing w:line="240" w:lineRule="auto"/>
        <w:rPr>
          <w:rFonts w:ascii="Cambria" w:hAnsi="Cambria"/>
        </w:rPr>
      </w:pPr>
      <w:r w:rsidRPr="00CF2B92">
        <w:rPr>
          <w:rFonts w:ascii="Cambria" w:hAnsi="Cambria"/>
          <w:b/>
          <w:bCs/>
        </w:rPr>
        <w:t>Pressure-test damages and credibility</w:t>
      </w:r>
      <w:r w:rsidRPr="00CF2B92">
        <w:rPr>
          <w:rFonts w:ascii="Cambria" w:hAnsi="Cambria"/>
        </w:rPr>
        <w:t xml:space="preserve"> when it still matters</w:t>
      </w:r>
    </w:p>
    <w:p w:rsidRPr="00CF2B92" w:rsidR="00CF2B92" w:rsidP="00154DAE" w:rsidRDefault="00CF2B92" w14:paraId="2C92C287" w14:textId="77777777">
      <w:pPr>
        <w:numPr>
          <w:ilvl w:val="0"/>
          <w:numId w:val="9"/>
        </w:numPr>
        <w:spacing w:line="240" w:lineRule="auto"/>
        <w:rPr>
          <w:rFonts w:ascii="Cambria" w:hAnsi="Cambria"/>
        </w:rPr>
      </w:pPr>
      <w:r w:rsidRPr="00CF2B92">
        <w:rPr>
          <w:rFonts w:ascii="Cambria" w:hAnsi="Cambria"/>
          <w:b/>
          <w:bCs/>
        </w:rPr>
        <w:t>Refine your narrative in time to do something about it</w:t>
      </w:r>
    </w:p>
    <w:p w:rsidRPr="00CF2B92" w:rsidR="00CF2B92" w:rsidP="00CF2B92" w:rsidRDefault="00CF2B92" w14:paraId="153D8FC9" w14:textId="77777777">
      <w:pPr>
        <w:rPr>
          <w:rFonts w:ascii="Cambria" w:hAnsi="Cambria"/>
        </w:rPr>
      </w:pPr>
      <w:r w:rsidRPr="00CF2B92">
        <w:rPr>
          <w:rFonts w:ascii="Cambria" w:hAnsi="Cambria"/>
        </w:rPr>
        <w:t xml:space="preserve">Ultimately, we think of success as this - </w:t>
      </w:r>
      <w:r w:rsidRPr="00CF2B92">
        <w:rPr>
          <w:rFonts w:ascii="Cambria" w:hAnsi="Cambria"/>
          <w:b/>
          <w:bCs/>
        </w:rPr>
        <w:t xml:space="preserve">Did VHS give you a clearer, earlier, more actionable view of how jurors are likely to think—and did that help you make smarter decisions? </w:t>
      </w:r>
      <w:r w:rsidRPr="00CF2B92">
        <w:rPr>
          <w:rFonts w:ascii="Cambria" w:hAnsi="Cambria"/>
        </w:rPr>
        <w:lastRenderedPageBreak/>
        <w:t>We’re not trying to be a crystal ball. We’re here to be a co-pilot you can trust—one that makes your next move more informed than your last.</w:t>
      </w:r>
    </w:p>
    <w:p w:rsidRPr="00CF2B92" w:rsidR="00CF2B92" w:rsidP="00CF2B92" w:rsidRDefault="00CF2B92" w14:paraId="75C1C438" w14:textId="77777777">
      <w:pPr>
        <w:rPr>
          <w:rFonts w:ascii="Cambria" w:hAnsi="Cambria"/>
          <w:b/>
          <w:bCs/>
        </w:rPr>
      </w:pPr>
      <w:r w:rsidRPr="00CF2B92">
        <w:rPr>
          <w:rFonts w:ascii="Cambria" w:hAnsi="Cambria"/>
          <w:b/>
          <w:bCs/>
        </w:rPr>
        <w:t>13. What are the challenges with traditional surveys—and how does VHS overcome them?</w:t>
      </w:r>
    </w:p>
    <w:p w:rsidRPr="00CF2B92" w:rsidR="00CF2B92" w:rsidP="00CF2B92" w:rsidRDefault="00CF2B92" w14:paraId="25918D02" w14:textId="1B8A32B3">
      <w:pPr>
        <w:rPr>
          <w:rFonts w:ascii="Cambria" w:hAnsi="Cambria"/>
        </w:rPr>
      </w:pPr>
      <w:r w:rsidRPr="00CF2B92">
        <w:rPr>
          <w:rFonts w:ascii="Cambria" w:hAnsi="Cambria"/>
        </w:rPr>
        <w:t xml:space="preserve">Traditional </w:t>
      </w:r>
      <w:r w:rsidRPr="00CF2B92" w:rsidR="00427399">
        <w:rPr>
          <w:rFonts w:ascii="Cambria" w:hAnsi="Cambria"/>
        </w:rPr>
        <w:t>survey-based</w:t>
      </w:r>
      <w:r w:rsidRPr="00CF2B92">
        <w:rPr>
          <w:rFonts w:ascii="Cambria" w:hAnsi="Cambria"/>
        </w:rPr>
        <w:t xml:space="preserve"> research faces growing challenges:</w:t>
      </w:r>
    </w:p>
    <w:p w:rsidRPr="00CF2B92" w:rsidR="00B33D9D" w:rsidP="00B33D9D" w:rsidRDefault="00B33D9D" w14:paraId="6DE5FF00" w14:textId="2D6C63CB">
      <w:pPr>
        <w:numPr>
          <w:ilvl w:val="0"/>
          <w:numId w:val="10"/>
        </w:numPr>
        <w:spacing w:line="240" w:lineRule="auto"/>
        <w:rPr>
          <w:rFonts w:ascii="Cambria" w:hAnsi="Cambria"/>
        </w:rPr>
      </w:pPr>
      <w:r w:rsidRPr="00CF2B92">
        <w:rPr>
          <w:rFonts w:ascii="Cambria" w:hAnsi="Cambria"/>
          <w:b/>
          <w:bCs/>
        </w:rPr>
        <w:t>High cost &amp; slow turnaround</w:t>
      </w:r>
      <w:r w:rsidRPr="00CF2B92">
        <w:rPr>
          <w:rFonts w:ascii="Cambria" w:hAnsi="Cambria"/>
        </w:rPr>
        <w:t>—</w:t>
      </w:r>
      <w:r w:rsidR="0037478A">
        <w:rPr>
          <w:rFonts w:ascii="Cambria" w:hAnsi="Cambria"/>
        </w:rPr>
        <w:t xml:space="preserve">also </w:t>
      </w:r>
      <w:r w:rsidRPr="00CF2B92">
        <w:rPr>
          <w:rFonts w:ascii="Cambria" w:hAnsi="Cambria"/>
        </w:rPr>
        <w:t>it’s often a one-shot tool, not a co-pilot</w:t>
      </w:r>
    </w:p>
    <w:p w:rsidRPr="00CF2B92" w:rsidR="00CF2B92" w:rsidP="00154DAE" w:rsidRDefault="00CF2B92" w14:paraId="5BDB5885" w14:textId="77777777">
      <w:pPr>
        <w:numPr>
          <w:ilvl w:val="0"/>
          <w:numId w:val="10"/>
        </w:numPr>
        <w:spacing w:line="240" w:lineRule="auto"/>
        <w:rPr>
          <w:rFonts w:ascii="Cambria" w:hAnsi="Cambria"/>
        </w:rPr>
      </w:pPr>
      <w:r w:rsidRPr="00CF2B92">
        <w:rPr>
          <w:rFonts w:ascii="Cambria" w:hAnsi="Cambria"/>
          <w:b/>
          <w:bCs/>
        </w:rPr>
        <w:t>Low response rates</w:t>
      </w:r>
      <w:r w:rsidRPr="00CF2B92">
        <w:rPr>
          <w:rFonts w:ascii="Cambria" w:hAnsi="Cambria"/>
        </w:rPr>
        <w:t xml:space="preserve"> and unrepresentative samples</w:t>
      </w:r>
    </w:p>
    <w:p w:rsidRPr="00CF2B92" w:rsidR="00CF2B92" w:rsidP="00154DAE" w:rsidRDefault="00CF2B92" w14:paraId="08DFDB82" w14:textId="77777777">
      <w:pPr>
        <w:numPr>
          <w:ilvl w:val="0"/>
          <w:numId w:val="10"/>
        </w:numPr>
        <w:spacing w:line="240" w:lineRule="auto"/>
        <w:rPr>
          <w:rFonts w:ascii="Cambria" w:hAnsi="Cambria"/>
        </w:rPr>
      </w:pPr>
      <w:r w:rsidRPr="00CF2B92">
        <w:rPr>
          <w:rFonts w:ascii="Cambria" w:hAnsi="Cambria"/>
          <w:b/>
          <w:bCs/>
        </w:rPr>
        <w:t>Shallow feedback</w:t>
      </w:r>
      <w:r w:rsidRPr="00CF2B92">
        <w:rPr>
          <w:rFonts w:ascii="Cambria" w:hAnsi="Cambria"/>
        </w:rPr>
        <w:t>, often biased by social desirability</w:t>
      </w:r>
    </w:p>
    <w:p w:rsidRPr="00CF2B92" w:rsidR="00CF2B92" w:rsidP="00154DAE" w:rsidRDefault="00CF2B92" w14:paraId="0EF4C101" w14:textId="77777777">
      <w:pPr>
        <w:numPr>
          <w:ilvl w:val="0"/>
          <w:numId w:val="10"/>
        </w:numPr>
        <w:spacing w:line="240" w:lineRule="auto"/>
        <w:rPr>
          <w:rFonts w:ascii="Cambria" w:hAnsi="Cambria"/>
        </w:rPr>
      </w:pPr>
      <w:r w:rsidRPr="00CF2B92">
        <w:rPr>
          <w:rFonts w:ascii="Cambria" w:hAnsi="Cambria"/>
          <w:b/>
          <w:bCs/>
        </w:rPr>
        <w:t>Cognitive fatigue</w:t>
      </w:r>
      <w:r w:rsidRPr="00CF2B92">
        <w:rPr>
          <w:rFonts w:ascii="Cambria" w:hAnsi="Cambria"/>
        </w:rPr>
        <w:t>—real jurors get tired, skip logic steps, or disengage with long-form reasoning</w:t>
      </w:r>
    </w:p>
    <w:p w:rsidRPr="00CF2B92" w:rsidR="00CF2B92" w:rsidP="00154DAE" w:rsidRDefault="00CF2B92" w14:paraId="5E9CEE5F" w14:textId="77777777">
      <w:pPr>
        <w:numPr>
          <w:ilvl w:val="0"/>
          <w:numId w:val="10"/>
        </w:numPr>
        <w:spacing w:line="240" w:lineRule="auto"/>
        <w:rPr>
          <w:rFonts w:ascii="Cambria" w:hAnsi="Cambria"/>
        </w:rPr>
      </w:pPr>
      <w:r w:rsidRPr="00CF2B92">
        <w:rPr>
          <w:rFonts w:ascii="Cambria" w:hAnsi="Cambria"/>
          <w:b/>
          <w:bCs/>
        </w:rPr>
        <w:t>Static format</w:t>
      </w:r>
      <w:r w:rsidRPr="00CF2B92">
        <w:rPr>
          <w:rFonts w:ascii="Cambria" w:hAnsi="Cambria"/>
        </w:rPr>
        <w:t>—once you build a survey, it’s hard to change or iterate</w:t>
      </w:r>
    </w:p>
    <w:p w:rsidR="00162FA6" w:rsidP="00945A07" w:rsidRDefault="00CF2B92" w14:paraId="35B65AB2" w14:textId="75084C4C">
      <w:pPr>
        <w:numPr>
          <w:ilvl w:val="0"/>
          <w:numId w:val="10"/>
        </w:numPr>
        <w:spacing w:line="240" w:lineRule="auto"/>
        <w:rPr>
          <w:rFonts w:ascii="Cambria" w:hAnsi="Cambria"/>
        </w:rPr>
      </w:pPr>
      <w:r w:rsidRPr="00162FA6">
        <w:rPr>
          <w:rFonts w:ascii="Cambria" w:hAnsi="Cambria"/>
          <w:b/>
          <w:bCs/>
        </w:rPr>
        <w:t xml:space="preserve">Fraudulent </w:t>
      </w:r>
      <w:r w:rsidR="00DD48C8">
        <w:rPr>
          <w:rFonts w:ascii="Cambria" w:hAnsi="Cambria"/>
          <w:b/>
          <w:bCs/>
        </w:rPr>
        <w:t>r</w:t>
      </w:r>
      <w:r w:rsidRPr="00162FA6">
        <w:rPr>
          <w:rFonts w:ascii="Cambria" w:hAnsi="Cambria"/>
          <w:b/>
          <w:bCs/>
        </w:rPr>
        <w:t>esponses</w:t>
      </w:r>
      <w:r w:rsidRPr="00162FA6">
        <w:rPr>
          <w:rFonts w:ascii="Cambria" w:hAnsi="Cambria"/>
        </w:rPr>
        <w:t>—Survey fraud is on the rise—and the cost of detecting and correcting bad data lands on the client’s invoice</w:t>
      </w:r>
    </w:p>
    <w:p w:rsidRPr="005128A3" w:rsidR="005128A3" w:rsidP="00945A07" w:rsidRDefault="00DD48C8" w14:paraId="148D5C3C" w14:textId="77777777">
      <w:pPr>
        <w:numPr>
          <w:ilvl w:val="0"/>
          <w:numId w:val="10"/>
        </w:numPr>
        <w:spacing w:line="240" w:lineRule="auto"/>
        <w:rPr>
          <w:rFonts w:ascii="Cambria" w:hAnsi="Cambria"/>
        </w:rPr>
      </w:pPr>
      <w:r>
        <w:rPr>
          <w:rFonts w:ascii="Cambria" w:hAnsi="Cambria"/>
          <w:b/>
          <w:bCs/>
        </w:rPr>
        <w:t>Professional survey takers</w:t>
      </w:r>
      <w:r w:rsidRPr="00162FA6">
        <w:rPr>
          <w:rFonts w:ascii="Cambria" w:hAnsi="Cambria"/>
        </w:rPr>
        <w:t>—</w:t>
      </w:r>
      <w:r w:rsidRPr="005128A3" w:rsidR="00162FA6">
        <w:rPr>
          <w:rFonts w:ascii="Cambria" w:hAnsi="Cambria"/>
          <w:color w:val="000000" w:themeColor="text1"/>
        </w:rPr>
        <w:t>These "serial respondents" participate in dozens of surveys monthly, developing atypical response patterns that don't reflect genuine juror reasoning, compromising data quality</w:t>
      </w:r>
    </w:p>
    <w:p w:rsidRPr="00162FA6" w:rsidR="00CF2B92" w:rsidP="005128A3" w:rsidRDefault="00CF2B92" w14:paraId="072B4488" w14:textId="4E0B1965">
      <w:pPr>
        <w:spacing w:line="240" w:lineRule="auto"/>
        <w:ind w:left="360"/>
        <w:rPr>
          <w:rFonts w:ascii="Cambria" w:hAnsi="Cambria"/>
        </w:rPr>
      </w:pPr>
      <w:r w:rsidRPr="2F70ECA5" w:rsidR="00CF2B92">
        <w:rPr>
          <w:rFonts w:ascii="Cambria" w:hAnsi="Cambria"/>
        </w:rPr>
        <w:t xml:space="preserve">Unlike traditional jury research, we </w:t>
      </w:r>
      <w:r w:rsidRPr="2F70ECA5" w:rsidR="00CF2B92">
        <w:rPr>
          <w:rFonts w:ascii="Cambria" w:hAnsi="Cambria"/>
        </w:rPr>
        <w:t>don’t</w:t>
      </w:r>
      <w:r w:rsidRPr="2F70ECA5" w:rsidR="00CF2B92">
        <w:rPr>
          <w:rFonts w:ascii="Cambria" w:hAnsi="Cambria"/>
        </w:rPr>
        <w:t xml:space="preserve"> just improve the old model—we reimagine how juror reasoning can be explored, tested, and understood. </w:t>
      </w:r>
      <w:r w:rsidRPr="2F70ECA5" w:rsidR="00CF2B92">
        <w:rPr>
          <w:rFonts w:ascii="Cambria" w:hAnsi="Cambria"/>
        </w:rPr>
        <w:t>Here’s</w:t>
      </w:r>
      <w:r w:rsidRPr="2F70ECA5" w:rsidR="00CF2B92">
        <w:rPr>
          <w:rFonts w:ascii="Cambria" w:hAnsi="Cambria"/>
        </w:rPr>
        <w:t xml:space="preserve"> how:</w:t>
      </w:r>
    </w:p>
    <w:p w:rsidR="2F70ECA5" w:rsidP="2F70ECA5" w:rsidRDefault="2F70ECA5" w14:paraId="33378DE7" w14:textId="20A47A56">
      <w:pPr>
        <w:spacing w:line="240" w:lineRule="auto"/>
        <w:ind w:left="360"/>
        <w:rPr>
          <w:rFonts w:ascii="Cambria" w:hAnsi="Cambria"/>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3172"/>
        <w:gridCol w:w="6172"/>
      </w:tblGrid>
      <w:tr w:rsidRPr="00CF2B92" w:rsidR="00CF2B92" w:rsidTr="2F70ECA5" w14:paraId="459171BB" w14:textId="77777777">
        <w:trPr>
          <w:trHeight w:val="300"/>
          <w:tblHeader/>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0" w:type="dxa"/>
              <w:bottom w:w="0" w:type="dxa"/>
              <w:right w:w="100" w:type="dxa"/>
            </w:tcMar>
            <w:hideMark/>
          </w:tcPr>
          <w:p w:rsidRPr="00CF2B92" w:rsidR="00CF2B92" w:rsidP="00B36CD2" w:rsidRDefault="00B36CD2" w14:paraId="21F0D59F" w14:textId="5DEA7EA9">
            <w:pPr>
              <w:rPr>
                <w:rFonts w:ascii="Cambria" w:hAnsi="Cambria"/>
                <w:b/>
                <w:bCs/>
              </w:rPr>
            </w:pPr>
            <w:r>
              <w:rPr>
                <w:rFonts w:ascii="Cambria" w:hAnsi="Cambria"/>
                <w:b/>
                <w:bCs/>
              </w:rPr>
              <w:t xml:space="preserve">        </w:t>
            </w:r>
            <w:r w:rsidRPr="00CF2B92" w:rsidR="00CF2B92">
              <w:rPr>
                <w:rFonts w:ascii="Cambria" w:hAnsi="Cambria"/>
                <w:b/>
                <w:bCs/>
              </w:rPr>
              <w:t>Traditional Surveys</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0" w:type="dxa"/>
              <w:bottom w:w="0" w:type="dxa"/>
              <w:right w:w="100" w:type="dxa"/>
            </w:tcMar>
            <w:hideMark/>
          </w:tcPr>
          <w:p w:rsidRPr="00CF2B92" w:rsidR="00CF2B92" w:rsidP="00B36CD2" w:rsidRDefault="00B36CD2" w14:paraId="2F4001CA" w14:textId="434B7526">
            <w:pPr>
              <w:rPr>
                <w:rFonts w:ascii="Cambria" w:hAnsi="Cambria"/>
                <w:b/>
                <w:bCs/>
              </w:rPr>
            </w:pPr>
            <w:r>
              <w:rPr>
                <w:rFonts w:ascii="Cambria" w:hAnsi="Cambria"/>
                <w:b/>
                <w:bCs/>
              </w:rPr>
              <w:t xml:space="preserve">        </w:t>
            </w:r>
            <w:r w:rsidRPr="00CF2B92" w:rsidR="00CF2B92">
              <w:rPr>
                <w:rFonts w:ascii="Cambria" w:hAnsi="Cambria"/>
                <w:b/>
                <w:bCs/>
              </w:rPr>
              <w:t>VHS</w:t>
            </w:r>
          </w:p>
        </w:tc>
      </w:tr>
      <w:tr w:rsidRPr="00CF2B92" w:rsidR="00CF2B92" w:rsidTr="2F70ECA5" w14:paraId="1C505467" w14:textId="77777777">
        <w:trPr>
          <w:trHeight w:val="315"/>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0" w:type="dxa"/>
              <w:bottom w:w="0" w:type="dxa"/>
              <w:right w:w="100" w:type="dxa"/>
            </w:tcMar>
            <w:hideMark/>
          </w:tcPr>
          <w:p w:rsidRPr="000B3A0F" w:rsidR="00CF2B92" w:rsidP="000B3A0F" w:rsidRDefault="00CF2B92" w14:paraId="77C4FA7B" w14:textId="3AD49FFE">
            <w:pPr>
              <w:pStyle w:val="ListParagraph"/>
              <w:numPr>
                <w:ilvl w:val="0"/>
                <w:numId w:val="12"/>
              </w:numPr>
              <w:rPr>
                <w:rFonts w:ascii="Cambria" w:hAnsi="Cambria"/>
              </w:rPr>
            </w:pPr>
            <w:r w:rsidRPr="000B3A0F">
              <w:rPr>
                <w:rFonts w:ascii="Cambria" w:hAnsi="Cambria"/>
              </w:rPr>
              <w:t>Fixed inputs, static models</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0" w:type="dxa"/>
              <w:bottom w:w="0" w:type="dxa"/>
              <w:right w:w="100" w:type="dxa"/>
            </w:tcMar>
            <w:hideMark/>
          </w:tcPr>
          <w:p w:rsidRPr="000B3A0F" w:rsidR="00CF2B92" w:rsidP="000B3A0F" w:rsidRDefault="00CF2B92" w14:paraId="5ACA41EF" w14:textId="0A0AB9A1">
            <w:pPr>
              <w:pStyle w:val="ListParagraph"/>
              <w:numPr>
                <w:ilvl w:val="0"/>
                <w:numId w:val="13"/>
              </w:numPr>
              <w:rPr>
                <w:rFonts w:ascii="Cambria" w:hAnsi="Cambria"/>
              </w:rPr>
            </w:pPr>
            <w:r w:rsidRPr="000B3A0F">
              <w:rPr>
                <w:rFonts w:ascii="Cambria" w:hAnsi="Cambria"/>
              </w:rPr>
              <w:t>Emergent reasoning from LLMs trained on trillions of datasets</w:t>
            </w:r>
          </w:p>
        </w:tc>
      </w:tr>
      <w:tr w:rsidRPr="00CF2B92" w:rsidR="00CF2B92" w:rsidTr="2F70ECA5" w14:paraId="5586B464" w14:textId="77777777">
        <w:trPr>
          <w:trHeight w:val="600"/>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op w:w="0" w:type="dxa"/>
              <w:left w:w="100" w:type="dxa"/>
              <w:bottom w:w="0" w:type="dxa"/>
              <w:right w:w="100" w:type="dxa"/>
            </w:tcMar>
            <w:hideMark/>
          </w:tcPr>
          <w:p w:rsidRPr="000B3A0F" w:rsidR="00CF2B92" w:rsidP="000B3A0F" w:rsidRDefault="00CF2B92" w14:paraId="50C2C072" w14:textId="58800D9C">
            <w:pPr>
              <w:pStyle w:val="ListParagraph"/>
              <w:numPr>
                <w:ilvl w:val="0"/>
                <w:numId w:val="12"/>
              </w:numPr>
              <w:rPr>
                <w:rFonts w:ascii="Cambria" w:hAnsi="Cambria"/>
              </w:rPr>
            </w:pPr>
            <w:r w:rsidRPr="000B3A0F">
              <w:rPr>
                <w:rFonts w:ascii="Cambria" w:hAnsi="Cambria"/>
              </w:rPr>
              <w:t>Takes weeks</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op w:w="0" w:type="dxa"/>
              <w:left w:w="100" w:type="dxa"/>
              <w:bottom w:w="0" w:type="dxa"/>
              <w:right w:w="100" w:type="dxa"/>
            </w:tcMar>
            <w:hideMark/>
          </w:tcPr>
          <w:p w:rsidRPr="000B3A0F" w:rsidR="00CF2B92" w:rsidP="000B3A0F" w:rsidRDefault="00CF2B92" w14:paraId="5A5DA4C3" w14:textId="4396F562">
            <w:pPr>
              <w:pStyle w:val="ListParagraph"/>
              <w:numPr>
                <w:ilvl w:val="0"/>
                <w:numId w:val="13"/>
              </w:numPr>
              <w:rPr>
                <w:rFonts w:ascii="Cambria" w:hAnsi="Cambria"/>
              </w:rPr>
            </w:pPr>
            <w:r w:rsidRPr="000B3A0F">
              <w:rPr>
                <w:rFonts w:ascii="Cambria" w:hAnsi="Cambria"/>
              </w:rPr>
              <w:t>Takes days—often 3–5 business days</w:t>
            </w:r>
          </w:p>
        </w:tc>
      </w:tr>
      <w:tr w:rsidRPr="00CF2B92" w:rsidR="00CF2B92" w:rsidTr="2F70ECA5" w14:paraId="18FDC21C" w14:textId="77777777">
        <w:trPr>
          <w:trHeight w:val="315"/>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0" w:type="dxa"/>
              <w:bottom w:w="0" w:type="dxa"/>
              <w:right w:w="100" w:type="dxa"/>
            </w:tcMar>
            <w:hideMark/>
          </w:tcPr>
          <w:p w:rsidRPr="000B3A0F" w:rsidR="00CF2B92" w:rsidP="000B3A0F" w:rsidRDefault="00CF2B92" w14:paraId="2BC33B38" w14:textId="11509708">
            <w:pPr>
              <w:pStyle w:val="ListParagraph"/>
              <w:numPr>
                <w:ilvl w:val="0"/>
                <w:numId w:val="12"/>
              </w:numPr>
              <w:rPr>
                <w:rFonts w:ascii="Cambria" w:hAnsi="Cambria"/>
              </w:rPr>
            </w:pPr>
            <w:r w:rsidRPr="000B3A0F">
              <w:rPr>
                <w:rFonts w:ascii="Cambria" w:hAnsi="Cambria"/>
              </w:rPr>
              <w:t>High cost per round</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0" w:type="dxa"/>
              <w:bottom w:w="0" w:type="dxa"/>
              <w:right w:w="100" w:type="dxa"/>
            </w:tcMar>
            <w:hideMark/>
          </w:tcPr>
          <w:p w:rsidRPr="000B3A0F" w:rsidR="00CF2B92" w:rsidP="000B3A0F" w:rsidRDefault="00CF2B92" w14:paraId="7BC3937B" w14:textId="5BBECCFF">
            <w:pPr>
              <w:pStyle w:val="ListParagraph"/>
              <w:numPr>
                <w:ilvl w:val="0"/>
                <w:numId w:val="13"/>
              </w:numPr>
              <w:rPr>
                <w:rFonts w:ascii="Cambria" w:hAnsi="Cambria"/>
              </w:rPr>
            </w:pPr>
            <w:r w:rsidRPr="000B3A0F">
              <w:rPr>
                <w:rFonts w:ascii="Cambria" w:hAnsi="Cambria"/>
              </w:rPr>
              <w:t>A fraction of the cost—run it multiple times per case</w:t>
            </w:r>
          </w:p>
        </w:tc>
      </w:tr>
      <w:tr w:rsidRPr="00CF2B92" w:rsidR="00CF2B92" w:rsidTr="2F70ECA5" w14:paraId="17E87566" w14:textId="77777777">
        <w:trPr>
          <w:trHeight w:val="315"/>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op w:w="0" w:type="dxa"/>
              <w:left w:w="100" w:type="dxa"/>
              <w:bottom w:w="0" w:type="dxa"/>
              <w:right w:w="100" w:type="dxa"/>
            </w:tcMar>
            <w:hideMark/>
          </w:tcPr>
          <w:p w:rsidRPr="000B3A0F" w:rsidR="00CF2B92" w:rsidP="000B3A0F" w:rsidRDefault="00CF2B92" w14:paraId="5A0C595A" w14:textId="41CB2A3A">
            <w:pPr>
              <w:pStyle w:val="ListParagraph"/>
              <w:numPr>
                <w:ilvl w:val="0"/>
                <w:numId w:val="12"/>
              </w:numPr>
              <w:rPr>
                <w:rFonts w:ascii="Cambria" w:hAnsi="Cambria"/>
              </w:rPr>
            </w:pPr>
            <w:r w:rsidRPr="000B3A0F">
              <w:rPr>
                <w:rFonts w:ascii="Cambria" w:hAnsi="Cambria"/>
              </w:rPr>
              <w:t>Surveys what people say</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op w:w="0" w:type="dxa"/>
              <w:left w:w="100" w:type="dxa"/>
              <w:bottom w:w="0" w:type="dxa"/>
              <w:right w:w="100" w:type="dxa"/>
            </w:tcMar>
            <w:hideMark/>
          </w:tcPr>
          <w:p w:rsidRPr="000B3A0F" w:rsidR="00CF2B92" w:rsidP="000B3A0F" w:rsidRDefault="00CF2B92" w14:paraId="26CCBFD7" w14:textId="2A1FD9E0">
            <w:pPr>
              <w:pStyle w:val="ListParagraph"/>
              <w:numPr>
                <w:ilvl w:val="0"/>
                <w:numId w:val="13"/>
              </w:numPr>
              <w:rPr>
                <w:rFonts w:ascii="Cambria" w:hAnsi="Cambria"/>
              </w:rPr>
            </w:pPr>
            <w:r w:rsidRPr="000B3A0F">
              <w:rPr>
                <w:rFonts w:ascii="Cambria" w:hAnsi="Cambria"/>
              </w:rPr>
              <w:t>Simulates how people think through fault, causation, and damages</w:t>
            </w:r>
          </w:p>
        </w:tc>
      </w:tr>
    </w:tbl>
    <w:p w:rsidR="2F70ECA5" w:rsidRDefault="2F70ECA5" w14:paraId="0BDB6A86" w14:textId="500FEDE0"/>
    <w:p w:rsidR="00DC6BB4" w:rsidP="00DC6BB4" w:rsidRDefault="00DC6BB4" w14:paraId="28616BED" w14:textId="77777777">
      <w:pPr>
        <w:rPr>
          <w:rFonts w:ascii="Cambria" w:hAnsi="Cambria"/>
          <w:b/>
          <w:bCs/>
        </w:rPr>
      </w:pPr>
    </w:p>
    <w:p w:rsidRPr="00CF2B92" w:rsidR="000E1E78" w:rsidP="00456AA6" w:rsidRDefault="00DA6824" w14:paraId="77277D56" w14:textId="547C5841">
      <w:pPr>
        <w:jc w:val="center"/>
        <w:rPr>
          <w:rFonts w:ascii="Cambria" w:hAnsi="Cambria"/>
          <w:sz w:val="40"/>
          <w:szCs w:val="40"/>
        </w:rPr>
      </w:pPr>
      <w:r w:rsidR="00DA6824">
        <w:drawing>
          <wp:inline wp14:editId="2D16AA90" wp14:anchorId="4152A389">
            <wp:extent cx="5200650" cy="4259976"/>
            <wp:effectExtent l="0" t="0" r="0" b="8255"/>
            <wp:docPr id="609266772" name="Picture 4" descr="A video cassette with a label&#10;&#10;AI-generated content may be incorrect." title=""/>
            <wp:cNvGraphicFramePr>
              <a:graphicFrameLocks noChangeAspect="1"/>
            </wp:cNvGraphicFramePr>
            <a:graphic>
              <a:graphicData uri="http://schemas.openxmlformats.org/drawingml/2006/picture">
                <pic:pic>
                  <pic:nvPicPr>
                    <pic:cNvPr id="0" name="Picture 4"/>
                    <pic:cNvPicPr/>
                  </pic:nvPicPr>
                  <pic:blipFill>
                    <a:blip r:embed="R133ea2cfe669483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00650" cy="4259976"/>
                    </a:xfrm>
                    <a:prstGeom prst="rect">
                      <a:avLst/>
                    </a:prstGeom>
                  </pic:spPr>
                </pic:pic>
              </a:graphicData>
            </a:graphic>
          </wp:inline>
        </w:drawing>
      </w:r>
    </w:p>
    <w:sectPr w:rsidRPr="00CF2B92" w:rsidR="000E1E78">
      <w:headerReference w:type="default" r:id="rId9"/>
      <w:footerReference w:type="default" r:id="rId10"/>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90779" w:rsidP="00CF2B92" w:rsidRDefault="00F90779" w14:paraId="2ABD80E4" w14:textId="77777777">
      <w:pPr>
        <w:spacing w:after="0" w:line="240" w:lineRule="auto"/>
      </w:pPr>
      <w:r>
        <w:separator/>
      </w:r>
    </w:p>
  </w:endnote>
  <w:endnote w:type="continuationSeparator" w:id="0">
    <w:p w:rsidR="00F90779" w:rsidP="00CF2B92" w:rsidRDefault="00F90779" w14:paraId="6905E95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39784863"/>
      <w:docPartObj>
        <w:docPartGallery w:val="Page Numbers (Bottom of Page)"/>
        <w:docPartUnique/>
      </w:docPartObj>
    </w:sdtPr>
    <w:sdtEndPr>
      <w:rPr>
        <w:noProof/>
        <w:color w:val="ADADAD" w:themeColor="background2" w:themeShade="BF"/>
        <w:sz w:val="20"/>
        <w:szCs w:val="20"/>
      </w:rPr>
    </w:sdtEndPr>
    <w:sdtContent>
      <w:p w:rsidRPr="00CF2B92" w:rsidR="00CF2B92" w:rsidRDefault="00CF2B92" w14:paraId="304A4FDE" w14:textId="6DA2049C">
        <w:pPr>
          <w:pStyle w:val="Footer"/>
          <w:jc w:val="right"/>
          <w:rPr>
            <w:color w:val="ADADAD" w:themeColor="background2" w:themeShade="BF"/>
            <w:sz w:val="20"/>
            <w:szCs w:val="20"/>
          </w:rPr>
        </w:pPr>
        <w:r w:rsidRPr="00CF2B92">
          <w:rPr>
            <w:color w:val="ADADAD" w:themeColor="background2" w:themeShade="BF"/>
            <w:sz w:val="20"/>
            <w:szCs w:val="20"/>
          </w:rPr>
          <w:t xml:space="preserve">CONFIDENTIAL </w:t>
        </w:r>
        <w:r w:rsidRPr="00CF2B92">
          <w:rPr>
            <w:color w:val="ADADAD" w:themeColor="background2" w:themeShade="BF"/>
            <w:sz w:val="20"/>
            <w:szCs w:val="20"/>
          </w:rPr>
          <w:tab/>
        </w:r>
        <w:r w:rsidRPr="00CF2B92">
          <w:rPr>
            <w:color w:val="ADADAD" w:themeColor="background2" w:themeShade="BF"/>
            <w:sz w:val="20"/>
            <w:szCs w:val="20"/>
          </w:rPr>
          <w:tab/>
        </w:r>
        <w:r w:rsidRPr="00CF2B92">
          <w:rPr>
            <w:color w:val="ADADAD" w:themeColor="background2" w:themeShade="BF"/>
            <w:sz w:val="20"/>
            <w:szCs w:val="20"/>
          </w:rPr>
          <w:fldChar w:fldCharType="begin"/>
        </w:r>
        <w:r w:rsidRPr="00CF2B92">
          <w:rPr>
            <w:color w:val="ADADAD" w:themeColor="background2" w:themeShade="BF"/>
            <w:sz w:val="20"/>
            <w:szCs w:val="20"/>
          </w:rPr>
          <w:instrText xml:space="preserve"> PAGE   \* MERGEFORMAT </w:instrText>
        </w:r>
        <w:r w:rsidRPr="00CF2B92">
          <w:rPr>
            <w:color w:val="ADADAD" w:themeColor="background2" w:themeShade="BF"/>
            <w:sz w:val="20"/>
            <w:szCs w:val="20"/>
          </w:rPr>
          <w:fldChar w:fldCharType="separate"/>
        </w:r>
        <w:r w:rsidRPr="00CF2B92">
          <w:rPr>
            <w:noProof/>
            <w:color w:val="ADADAD" w:themeColor="background2" w:themeShade="BF"/>
            <w:sz w:val="20"/>
            <w:szCs w:val="20"/>
          </w:rPr>
          <w:t>2</w:t>
        </w:r>
        <w:r w:rsidRPr="00CF2B92">
          <w:rPr>
            <w:noProof/>
            <w:color w:val="ADADAD" w:themeColor="background2" w:themeShade="BF"/>
            <w:sz w:val="20"/>
            <w:szCs w:val="20"/>
          </w:rPr>
          <w:fldChar w:fldCharType="end"/>
        </w:r>
      </w:p>
    </w:sdtContent>
  </w:sdt>
  <w:p w:rsidR="00CF2B92" w:rsidRDefault="00CF2B92" w14:paraId="36CE5C8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90779" w:rsidP="00CF2B92" w:rsidRDefault="00F90779" w14:paraId="6969871B" w14:textId="77777777">
      <w:pPr>
        <w:spacing w:after="0" w:line="240" w:lineRule="auto"/>
      </w:pPr>
      <w:r>
        <w:separator/>
      </w:r>
    </w:p>
  </w:footnote>
  <w:footnote w:type="continuationSeparator" w:id="0">
    <w:p w:rsidR="00F90779" w:rsidP="00CF2B92" w:rsidRDefault="00F90779" w14:paraId="58CCB677"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4E7DE6" w:rsidP="00E53895" w:rsidRDefault="00F52DE6" w14:paraId="0501FF08" w14:textId="4107272B">
    <w:pPr>
      <w:pStyle w:val="Header"/>
      <w:jc w:val="right"/>
    </w:pPr>
    <w:r>
      <w:rPr>
        <w:noProof/>
      </w:rPr>
      <w:drawing>
        <wp:inline distT="0" distB="0" distL="0" distR="0" wp14:anchorId="4A767CC1" wp14:editId="18CE6555">
          <wp:extent cx="2009775" cy="302755"/>
          <wp:effectExtent l="0" t="0" r="0" b="2540"/>
          <wp:docPr id="1136312883" name="Picture 3" descr="A black and gree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2883" name="Picture 3" descr="A black and green logo&#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2132625" cy="321261"/>
                  </a:xfrm>
                  <a:prstGeom prst="rect">
                    <a:avLst/>
                  </a:prstGeom>
                </pic:spPr>
              </pic:pic>
            </a:graphicData>
          </a:graphic>
        </wp:inline>
      </w:drawing>
    </w:r>
  </w:p>
  <w:p w:rsidR="004E7DE6" w:rsidRDefault="004E7DE6" w14:paraId="701B7209"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svg="http://schemas.microsoft.com/office/drawing/2016/SVG/main" mc:Ignorable="w14 w15 w16se w16cid w16 w16cex w16sdtdh w16sdtfl w16du wp14">
  <w:numPicBullet w:numPicBulletId="0">
    <mc:AlternateContent>
      <mc:Choice Requires="v">
        <w:pict>
          <v:shapetype id="_x0000_t75" coordsize="21600,21600" filled="f" stroked="f" o:spt="75" o:preferrelative="t" path="m@4@5l@4@11@9@11@9@5xe" w14:anchorId="7D632CD3">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raphic 3" style="width:1in;height:1in;visibility:visible" alt="https://cdn.hubblecontent.osi.office.net/icons/publish/icons_thumbsdown/thumbsdown.svg" o:spid="_x0000_i1025" type="#_x0000_t75">
            <v:imagedata cropleft="-5041f" croptop="-10364f" cropright="-5041f" cropbottom="-10364f" o:title="" r:id="rId1"/>
          </v:shape>
        </w:pict>
      </mc:Choice>
      <mc:Fallback>
        <w:drawing>
          <wp:inline distT="0" distB="0" distL="0" distR="0" wp14:anchorId="55036A5C" wp14:editId="55036A5D">
            <wp:extent cx="914400" cy="914400"/>
            <wp:effectExtent l="0" t="0" r="0" b="0"/>
            <wp:docPr id="839344478" name="Graphic 3" descr="https://cdn.hubblecontent.osi.office.net/icons/publish/icons_thumbsdown/thumbsdow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32983" name="Graphic 263632983" descr="https://cdn.hubblecontent.osi.office.net/icons/publish/icons_thumbsdown/thumbsdown.svg"/>
                    <pic:cNvPicPr/>
                  </pic:nvPicPr>
                  <pic:blipFill>
                    <a:blip r:embed="rId2">
                      <a:extLst>
                        <a:ext uri="{96DAC541-7B7A-43D3-8B79-37D633B846F1}">
                          <asvg:svgBlip xmlns:asvg="http://schemas.microsoft.com/office/drawing/2016/SVG/main" r:embed="rId3"/>
                        </a:ext>
                      </a:extLst>
                    </a:blip>
                    <a:stretch>
                      <a:fillRect/>
                    </a:stretch>
                  </pic:blipFill>
                  <pic:spPr>
                    <a:xfrm>
                      <a:off x="0" y="0"/>
                      <a:ext cx="914400" cy="914400"/>
                    </a:xfrm>
                    <a:prstGeom prst="rect">
                      <a:avLst/>
                    </a:prstGeom>
                  </pic:spPr>
                </pic:pic>
              </a:graphicData>
            </a:graphic>
          </wp:inline>
        </w:drawing>
      </mc:Fallback>
    </mc:AlternateContent>
  </w:numPicBullet>
  <w:numPicBullet w:numPicBulletId="1">
    <mc:AlternateContent>
      <mc:Choice Requires="v">
        <w:pict>
          <v:shape id="Graphic 4" style="width:1in;height:1in;visibility:visible" alt="https://cdn.hubblecontent.osi.office.net/icons/publish/icons_thumbsupsign/thumbsupsign.svg" o:spid="_x0000_i1025" type="#_x0000_t75" w14:anchorId="04E21A4C">
            <v:imagedata cropleft="-5041f" croptop="-10364f" cropright="-5041f" cropbottom="-10364f" o:title="" r:id="rId4"/>
          </v:shape>
        </w:pict>
      </mc:Choice>
      <mc:Fallback>
        <w:drawing>
          <wp:inline distT="0" distB="0" distL="0" distR="0" wp14:anchorId="55036A5E" wp14:editId="55036A5F">
            <wp:extent cx="914400" cy="914400"/>
            <wp:effectExtent l="0" t="0" r="0" b="0"/>
            <wp:docPr id="253689648" name="Graphic 4" descr="https://cdn.hubblecontent.osi.office.net/icons/publish/icons_thumbsupsign/thumbsupsig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2344" name="Graphic 76222344" descr="https://cdn.hubblecontent.osi.office.net/icons/publish/icons_thumbsupsign/thumbsupsign.svg"/>
                    <pic:cNvPicPr/>
                  </pic:nvPicPr>
                  <pic:blipFill>
                    <a:blip r:embed="rId5">
                      <a:extLst>
                        <a:ext uri="{96DAC541-7B7A-43D3-8B79-37D633B846F1}">
                          <asvg:svgBlip xmlns:asvg="http://schemas.microsoft.com/office/drawing/2016/SVG/main" r:embed="rId6"/>
                        </a:ext>
                      </a:extLst>
                    </a:blip>
                    <a:stretch>
                      <a:fillRect/>
                    </a:stretch>
                  </pic:blipFill>
                  <pic:spPr>
                    <a:xfrm>
                      <a:off x="0" y="0"/>
                      <a:ext cx="914400" cy="914400"/>
                    </a:xfrm>
                    <a:prstGeom prst="rect">
                      <a:avLst/>
                    </a:prstGeom>
                  </pic:spPr>
                </pic:pic>
              </a:graphicData>
            </a:graphic>
          </wp:inline>
        </w:drawing>
      </mc:Fallback>
    </mc:AlternateContent>
  </w:numPicBullet>
  <w:abstractNum w:abstractNumId="0" w15:restartNumberingAfterBreak="0">
    <w:nsid w:val="0519478D"/>
    <w:multiLevelType w:val="multilevel"/>
    <w:tmpl w:val="5DFE75C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16FF6C57"/>
    <w:multiLevelType w:val="multilevel"/>
    <w:tmpl w:val="18D4C3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250277F2"/>
    <w:multiLevelType w:val="multilevel"/>
    <w:tmpl w:val="9C84F08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31333266"/>
    <w:multiLevelType w:val="multilevel"/>
    <w:tmpl w:val="3D5A2A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377D72EE"/>
    <w:multiLevelType w:val="multilevel"/>
    <w:tmpl w:val="EA5A46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401C305C"/>
    <w:multiLevelType w:val="hybridMultilevel"/>
    <w:tmpl w:val="D03AC5E6"/>
    <w:lvl w:ilvl="0" w:tplc="A4BAFD7C">
      <w:start w:val="1"/>
      <w:numFmt w:val="bullet"/>
      <w:lvlText w:val=""/>
      <w:lvlPicBulletId w:val="1"/>
      <w:lvlJc w:val="left"/>
      <w:pPr>
        <w:ind w:left="720" w:hanging="360"/>
      </w:pPr>
      <w:rPr>
        <w:rFonts w:hint="default" w:ascii="Symbol" w:hAnsi="Symbol"/>
        <w:color w:val="auto"/>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41727D69"/>
    <w:multiLevelType w:val="multilevel"/>
    <w:tmpl w:val="140A371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4B40184C"/>
    <w:multiLevelType w:val="multilevel"/>
    <w:tmpl w:val="8B1AD0C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4CC55B60"/>
    <w:multiLevelType w:val="multilevel"/>
    <w:tmpl w:val="72964AE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55F3211B"/>
    <w:multiLevelType w:val="multilevel"/>
    <w:tmpl w:val="84EA6FA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58AB620D"/>
    <w:multiLevelType w:val="hybridMultilevel"/>
    <w:tmpl w:val="8C7CF96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70D86046"/>
    <w:multiLevelType w:val="multilevel"/>
    <w:tmpl w:val="6CFA1C7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794518BD"/>
    <w:multiLevelType w:val="hybridMultilevel"/>
    <w:tmpl w:val="5FD04B26"/>
    <w:lvl w:ilvl="0" w:tplc="4BBA9E76">
      <w:start w:val="1"/>
      <w:numFmt w:val="bullet"/>
      <w:lvlText w:val=""/>
      <w:lvlPicBulletId w:val="0"/>
      <w:lvlJc w:val="left"/>
      <w:pPr>
        <w:ind w:left="720" w:hanging="360"/>
      </w:pPr>
      <w:rPr>
        <w:rFonts w:hint="default" w:ascii="Symbol" w:hAnsi="Symbol"/>
        <w:color w:val="auto"/>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214852525">
    <w:abstractNumId w:val="11"/>
  </w:num>
  <w:num w:numId="2" w16cid:durableId="774714989">
    <w:abstractNumId w:val="0"/>
  </w:num>
  <w:num w:numId="3" w16cid:durableId="790976321">
    <w:abstractNumId w:val="2"/>
  </w:num>
  <w:num w:numId="4" w16cid:durableId="1607149205">
    <w:abstractNumId w:val="3"/>
  </w:num>
  <w:num w:numId="5" w16cid:durableId="1074014627">
    <w:abstractNumId w:val="8"/>
  </w:num>
  <w:num w:numId="6" w16cid:durableId="1980182549">
    <w:abstractNumId w:val="1"/>
  </w:num>
  <w:num w:numId="7" w16cid:durableId="2073652246">
    <w:abstractNumId w:val="7"/>
  </w:num>
  <w:num w:numId="8" w16cid:durableId="134299319">
    <w:abstractNumId w:val="9"/>
  </w:num>
  <w:num w:numId="9" w16cid:durableId="237789258">
    <w:abstractNumId w:val="4"/>
  </w:num>
  <w:num w:numId="10" w16cid:durableId="283851764">
    <w:abstractNumId w:val="6"/>
  </w:num>
  <w:num w:numId="11" w16cid:durableId="1374885727">
    <w:abstractNumId w:val="10"/>
  </w:num>
  <w:num w:numId="12" w16cid:durableId="1381595010">
    <w:abstractNumId w:val="12"/>
  </w:num>
  <w:num w:numId="13" w16cid:durableId="21466522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B92"/>
    <w:rsid w:val="00016DBD"/>
    <w:rsid w:val="00026A93"/>
    <w:rsid w:val="00045B97"/>
    <w:rsid w:val="000B2F21"/>
    <w:rsid w:val="000B3A0F"/>
    <w:rsid w:val="000E1E78"/>
    <w:rsid w:val="000F4EBF"/>
    <w:rsid w:val="001406C7"/>
    <w:rsid w:val="001450D9"/>
    <w:rsid w:val="00154DAE"/>
    <w:rsid w:val="00162FA6"/>
    <w:rsid w:val="00163B13"/>
    <w:rsid w:val="001802F3"/>
    <w:rsid w:val="00191F0A"/>
    <w:rsid w:val="001C17CC"/>
    <w:rsid w:val="0025795B"/>
    <w:rsid w:val="002834EC"/>
    <w:rsid w:val="002A7451"/>
    <w:rsid w:val="00306E3E"/>
    <w:rsid w:val="003353F0"/>
    <w:rsid w:val="0037478A"/>
    <w:rsid w:val="00427399"/>
    <w:rsid w:val="00456AA6"/>
    <w:rsid w:val="00481F58"/>
    <w:rsid w:val="004A643D"/>
    <w:rsid w:val="004B1651"/>
    <w:rsid w:val="004E7DE6"/>
    <w:rsid w:val="004F26A0"/>
    <w:rsid w:val="00507B27"/>
    <w:rsid w:val="005128A3"/>
    <w:rsid w:val="00564EBE"/>
    <w:rsid w:val="005D5B00"/>
    <w:rsid w:val="00646950"/>
    <w:rsid w:val="0067616B"/>
    <w:rsid w:val="006D3F55"/>
    <w:rsid w:val="006F3021"/>
    <w:rsid w:val="007249E2"/>
    <w:rsid w:val="00743450"/>
    <w:rsid w:val="007536F7"/>
    <w:rsid w:val="00760C30"/>
    <w:rsid w:val="00766213"/>
    <w:rsid w:val="007719FA"/>
    <w:rsid w:val="00771E8A"/>
    <w:rsid w:val="00776261"/>
    <w:rsid w:val="007B793B"/>
    <w:rsid w:val="007D4F05"/>
    <w:rsid w:val="007E73CF"/>
    <w:rsid w:val="007F4D2B"/>
    <w:rsid w:val="00812EB8"/>
    <w:rsid w:val="00825192"/>
    <w:rsid w:val="00845616"/>
    <w:rsid w:val="00961AF6"/>
    <w:rsid w:val="009B2C97"/>
    <w:rsid w:val="00A04340"/>
    <w:rsid w:val="00A3180D"/>
    <w:rsid w:val="00A61860"/>
    <w:rsid w:val="00A61F0C"/>
    <w:rsid w:val="00AA08BA"/>
    <w:rsid w:val="00AA78B5"/>
    <w:rsid w:val="00AB3701"/>
    <w:rsid w:val="00B33D9D"/>
    <w:rsid w:val="00B354A7"/>
    <w:rsid w:val="00B36CD2"/>
    <w:rsid w:val="00B36FF6"/>
    <w:rsid w:val="00C65DA8"/>
    <w:rsid w:val="00C954D7"/>
    <w:rsid w:val="00CD1B83"/>
    <w:rsid w:val="00CF2B92"/>
    <w:rsid w:val="00D91DE9"/>
    <w:rsid w:val="00DA6824"/>
    <w:rsid w:val="00DC6BB4"/>
    <w:rsid w:val="00DC76BA"/>
    <w:rsid w:val="00DD48C8"/>
    <w:rsid w:val="00DF205B"/>
    <w:rsid w:val="00E53895"/>
    <w:rsid w:val="00E75698"/>
    <w:rsid w:val="00EC1DF2"/>
    <w:rsid w:val="00EE2E63"/>
    <w:rsid w:val="00F52DE6"/>
    <w:rsid w:val="00F90779"/>
    <w:rsid w:val="2F70E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1F874A"/>
  <w15:chartTrackingRefBased/>
  <w15:docId w15:val="{D1C8AD04-89F9-48D3-9CF5-674003E3E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F2B92"/>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2B92"/>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2B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2B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2B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2B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2B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2B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2B92"/>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CF2B92"/>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CF2B92"/>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CF2B92"/>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CF2B92"/>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CF2B92"/>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CF2B92"/>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CF2B92"/>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CF2B92"/>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CF2B92"/>
    <w:rPr>
      <w:rFonts w:eastAsiaTheme="majorEastAsia" w:cstheme="majorBidi"/>
      <w:color w:val="272727" w:themeColor="text1" w:themeTint="D8"/>
    </w:rPr>
  </w:style>
  <w:style w:type="paragraph" w:styleId="Title">
    <w:name w:val="Title"/>
    <w:basedOn w:val="Normal"/>
    <w:next w:val="Normal"/>
    <w:link w:val="TitleChar"/>
    <w:uiPriority w:val="10"/>
    <w:qFormat/>
    <w:rsid w:val="00CF2B92"/>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CF2B92"/>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CF2B92"/>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CF2B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2B92"/>
    <w:pPr>
      <w:spacing w:before="160"/>
      <w:jc w:val="center"/>
    </w:pPr>
    <w:rPr>
      <w:i/>
      <w:iCs/>
      <w:color w:val="404040" w:themeColor="text1" w:themeTint="BF"/>
    </w:rPr>
  </w:style>
  <w:style w:type="character" w:styleId="QuoteChar" w:customStyle="1">
    <w:name w:val="Quote Char"/>
    <w:basedOn w:val="DefaultParagraphFont"/>
    <w:link w:val="Quote"/>
    <w:uiPriority w:val="29"/>
    <w:rsid w:val="00CF2B92"/>
    <w:rPr>
      <w:i/>
      <w:iCs/>
      <w:color w:val="404040" w:themeColor="text1" w:themeTint="BF"/>
    </w:rPr>
  </w:style>
  <w:style w:type="paragraph" w:styleId="ListParagraph">
    <w:name w:val="List Paragraph"/>
    <w:basedOn w:val="Normal"/>
    <w:uiPriority w:val="34"/>
    <w:qFormat/>
    <w:rsid w:val="00CF2B92"/>
    <w:pPr>
      <w:ind w:left="720"/>
      <w:contextualSpacing/>
    </w:pPr>
  </w:style>
  <w:style w:type="character" w:styleId="IntenseEmphasis">
    <w:name w:val="Intense Emphasis"/>
    <w:basedOn w:val="DefaultParagraphFont"/>
    <w:uiPriority w:val="21"/>
    <w:qFormat/>
    <w:rsid w:val="00CF2B92"/>
    <w:rPr>
      <w:i/>
      <w:iCs/>
      <w:color w:val="0F4761" w:themeColor="accent1" w:themeShade="BF"/>
    </w:rPr>
  </w:style>
  <w:style w:type="paragraph" w:styleId="IntenseQuote">
    <w:name w:val="Intense Quote"/>
    <w:basedOn w:val="Normal"/>
    <w:next w:val="Normal"/>
    <w:link w:val="IntenseQuoteChar"/>
    <w:uiPriority w:val="30"/>
    <w:qFormat/>
    <w:rsid w:val="00CF2B92"/>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CF2B92"/>
    <w:rPr>
      <w:i/>
      <w:iCs/>
      <w:color w:val="0F4761" w:themeColor="accent1" w:themeShade="BF"/>
    </w:rPr>
  </w:style>
  <w:style w:type="character" w:styleId="IntenseReference">
    <w:name w:val="Intense Reference"/>
    <w:basedOn w:val="DefaultParagraphFont"/>
    <w:uiPriority w:val="32"/>
    <w:qFormat/>
    <w:rsid w:val="00CF2B92"/>
    <w:rPr>
      <w:b/>
      <w:bCs/>
      <w:smallCaps/>
      <w:color w:val="0F4761" w:themeColor="accent1" w:themeShade="BF"/>
      <w:spacing w:val="5"/>
    </w:rPr>
  </w:style>
  <w:style w:type="character" w:styleId="Hyperlink">
    <w:name w:val="Hyperlink"/>
    <w:basedOn w:val="DefaultParagraphFont"/>
    <w:uiPriority w:val="99"/>
    <w:unhideWhenUsed/>
    <w:rsid w:val="00CF2B92"/>
    <w:rPr>
      <w:color w:val="467886" w:themeColor="hyperlink"/>
      <w:u w:val="single"/>
    </w:rPr>
  </w:style>
  <w:style w:type="character" w:styleId="UnresolvedMention">
    <w:name w:val="Unresolved Mention"/>
    <w:basedOn w:val="DefaultParagraphFont"/>
    <w:uiPriority w:val="99"/>
    <w:semiHidden/>
    <w:unhideWhenUsed/>
    <w:rsid w:val="00CF2B92"/>
    <w:rPr>
      <w:color w:val="605E5C"/>
      <w:shd w:val="clear" w:color="auto" w:fill="E1DFDD"/>
    </w:rPr>
  </w:style>
  <w:style w:type="paragraph" w:styleId="Header">
    <w:name w:val="header"/>
    <w:basedOn w:val="Normal"/>
    <w:link w:val="HeaderChar"/>
    <w:uiPriority w:val="99"/>
    <w:unhideWhenUsed/>
    <w:rsid w:val="00CF2B92"/>
    <w:pPr>
      <w:tabs>
        <w:tab w:val="center" w:pos="4680"/>
        <w:tab w:val="right" w:pos="9360"/>
      </w:tabs>
      <w:spacing w:after="0" w:line="240" w:lineRule="auto"/>
    </w:pPr>
  </w:style>
  <w:style w:type="character" w:styleId="HeaderChar" w:customStyle="1">
    <w:name w:val="Header Char"/>
    <w:basedOn w:val="DefaultParagraphFont"/>
    <w:link w:val="Header"/>
    <w:uiPriority w:val="99"/>
    <w:rsid w:val="00CF2B92"/>
  </w:style>
  <w:style w:type="paragraph" w:styleId="Footer">
    <w:name w:val="footer"/>
    <w:basedOn w:val="Normal"/>
    <w:link w:val="FooterChar"/>
    <w:uiPriority w:val="99"/>
    <w:unhideWhenUsed/>
    <w:rsid w:val="00CF2B92"/>
    <w:pPr>
      <w:tabs>
        <w:tab w:val="center" w:pos="4680"/>
        <w:tab w:val="right" w:pos="9360"/>
      </w:tabs>
      <w:spacing w:after="0" w:line="240" w:lineRule="auto"/>
    </w:pPr>
  </w:style>
  <w:style w:type="character" w:styleId="FooterChar" w:customStyle="1">
    <w:name w:val="Footer Char"/>
    <w:basedOn w:val="DefaultParagraphFont"/>
    <w:link w:val="Footer"/>
    <w:uiPriority w:val="99"/>
    <w:rsid w:val="00CF2B92"/>
  </w:style>
  <w:style w:type="character" w:styleId="CommentReference">
    <w:name w:val="annotation reference"/>
    <w:basedOn w:val="DefaultParagraphFont"/>
    <w:uiPriority w:val="99"/>
    <w:semiHidden/>
    <w:unhideWhenUsed/>
    <w:rsid w:val="00191F0A"/>
    <w:rPr>
      <w:sz w:val="16"/>
      <w:szCs w:val="16"/>
    </w:rPr>
  </w:style>
  <w:style w:type="paragraph" w:styleId="CommentText">
    <w:name w:val="annotation text"/>
    <w:basedOn w:val="Normal"/>
    <w:link w:val="CommentTextChar"/>
    <w:uiPriority w:val="99"/>
    <w:unhideWhenUsed/>
    <w:rsid w:val="00191F0A"/>
    <w:pPr>
      <w:spacing w:line="240" w:lineRule="auto"/>
    </w:pPr>
    <w:rPr>
      <w:sz w:val="20"/>
      <w:szCs w:val="20"/>
    </w:rPr>
  </w:style>
  <w:style w:type="character" w:styleId="CommentTextChar" w:customStyle="1">
    <w:name w:val="Comment Text Char"/>
    <w:basedOn w:val="DefaultParagraphFont"/>
    <w:link w:val="CommentText"/>
    <w:uiPriority w:val="99"/>
    <w:rsid w:val="00191F0A"/>
    <w:rPr>
      <w:sz w:val="20"/>
      <w:szCs w:val="20"/>
    </w:rPr>
  </w:style>
  <w:style w:type="paragraph" w:styleId="CommentSubject">
    <w:name w:val="annotation subject"/>
    <w:basedOn w:val="CommentText"/>
    <w:next w:val="CommentText"/>
    <w:link w:val="CommentSubjectChar"/>
    <w:uiPriority w:val="99"/>
    <w:semiHidden/>
    <w:unhideWhenUsed/>
    <w:rsid w:val="00191F0A"/>
    <w:rPr>
      <w:b/>
      <w:bCs/>
    </w:rPr>
  </w:style>
  <w:style w:type="character" w:styleId="CommentSubjectChar" w:customStyle="1">
    <w:name w:val="Comment Subject Char"/>
    <w:basedOn w:val="CommentTextChar"/>
    <w:link w:val="CommentSubject"/>
    <w:uiPriority w:val="99"/>
    <w:semiHidden/>
    <w:rsid w:val="00191F0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2799132">
      <w:bodyDiv w:val="1"/>
      <w:marLeft w:val="0"/>
      <w:marRight w:val="0"/>
      <w:marTop w:val="0"/>
      <w:marBottom w:val="0"/>
      <w:divBdr>
        <w:top w:val="none" w:sz="0" w:space="0" w:color="auto"/>
        <w:left w:val="none" w:sz="0" w:space="0" w:color="auto"/>
        <w:bottom w:val="none" w:sz="0" w:space="0" w:color="auto"/>
        <w:right w:val="none" w:sz="0" w:space="0" w:color="auto"/>
      </w:divBdr>
    </w:div>
    <w:div w:id="175678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2.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theme" Target="theme/theme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11" /><Relationship Type="http://schemas.openxmlformats.org/officeDocument/2006/relationships/webSettings" Target="webSettings.xml" Id="rId5" /><Relationship Type="http://schemas.openxmlformats.org/officeDocument/2006/relationships/customXml" Target="../customXml/item4.xml" Id="rId1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customXml" Target="../customXml/item3.xml" Id="rId14" /><Relationship Type="http://schemas.openxmlformats.org/officeDocument/2006/relationships/image" Target="/media/image7.png" Id="R133ea2cfe669483d" /></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3" Type="http://schemas.openxmlformats.org/officeDocument/2006/relationships/image" Target="media/image3.sv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sv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E73C973DCCC7946A84E6E9AE47D051A" ma:contentTypeVersion="13" ma:contentTypeDescription="Create a new document." ma:contentTypeScope="" ma:versionID="d7097c50b647d39f9c0d7231a5f5d607">
  <xsd:schema xmlns:xsd="http://www.w3.org/2001/XMLSchema" xmlns:xs="http://www.w3.org/2001/XMLSchema" xmlns:p="http://schemas.microsoft.com/office/2006/metadata/properties" xmlns:ns2="eff2c6dd-b0c6-4296-a5e7-19b8a8ad2ebc" xmlns:ns3="534a5ea1-6d33-4dd0-aec4-c897d8e4e5e2" targetNamespace="http://schemas.microsoft.com/office/2006/metadata/properties" ma:root="true" ma:fieldsID="b74d39ebf97b10fddd0e2869ae71acba" ns2:_="" ns3:_="">
    <xsd:import namespace="eff2c6dd-b0c6-4296-a5e7-19b8a8ad2ebc"/>
    <xsd:import namespace="534a5ea1-6d33-4dd0-aec4-c897d8e4e5e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MediaServiceLocation" minOccurs="0"/>
                <xsd:element ref="ns2:lcf76f155ced4ddcb4097134ff3c332f" minOccurs="0"/>
                <xsd:element ref="ns3:TaxCatchAll" minOccurs="0"/>
                <xsd:element ref="ns2:MediaServiceOCR"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f2c6dd-b0c6-4296-a5e7-19b8a8ad2e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e4c06847-87a0-40e2-b1d0-57c5502f8c4f"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BillingMetadata" ma:index="20"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34a5ea1-6d33-4dd0-aec4-c897d8e4e5e2"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f71ed49b-400e-40e4-806d-30cc0d1f8a51}" ma:internalName="TaxCatchAll" ma:showField="CatchAllData" ma:web="534a5ea1-6d33-4dd0-aec4-c897d8e4e5e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534a5ea1-6d33-4dd0-aec4-c897d8e4e5e2" xsi:nil="true"/>
    <lcf76f155ced4ddcb4097134ff3c332f xmlns="eff2c6dd-b0c6-4296-a5e7-19b8a8ad2eb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A4E857F-AA71-4864-AC28-96B6AFD0D8A5}">
  <ds:schemaRefs>
    <ds:schemaRef ds:uri="http://schemas.openxmlformats.org/officeDocument/2006/bibliography"/>
  </ds:schemaRefs>
</ds:datastoreItem>
</file>

<file path=customXml/itemProps2.xml><?xml version="1.0" encoding="utf-8"?>
<ds:datastoreItem xmlns:ds="http://schemas.openxmlformats.org/officeDocument/2006/customXml" ds:itemID="{20520CB4-EA35-43DE-89C0-EDA9CE666944}"/>
</file>

<file path=customXml/itemProps3.xml><?xml version="1.0" encoding="utf-8"?>
<ds:datastoreItem xmlns:ds="http://schemas.openxmlformats.org/officeDocument/2006/customXml" ds:itemID="{45F52846-1D04-4CDC-8BEB-E22EB18A8243}"/>
</file>

<file path=customXml/itemProps4.xml><?xml version="1.0" encoding="utf-8"?>
<ds:datastoreItem xmlns:ds="http://schemas.openxmlformats.org/officeDocument/2006/customXml" ds:itemID="{E5A12681-E8B7-40BA-9AD0-18687557CBFB}"/>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Tiwari</dc:creator>
  <cp:keywords/>
  <dc:description/>
  <cp:lastModifiedBy>Gaurav Tiwari</cp:lastModifiedBy>
  <cp:revision>25</cp:revision>
  <dcterms:created xsi:type="dcterms:W3CDTF">2025-04-01T22:36:00Z</dcterms:created>
  <dcterms:modified xsi:type="dcterms:W3CDTF">2025-04-08T17:44:41Z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0x010100DE73C973DCCC7946A84E6E9AE47D051A</vt:lpwstr>
  </property>
  <property fmtid="{D5CDD505-2E9C-101B-9397-08002B2CF9AE}" pid="3" name="MediaServiceImageTags">
    <vt:lpwstr/>
  </property>
</Properties>
</file>