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0F766E"/>
          <w:sz w:val="40"/>
        </w:rPr>
        <w:t>Assignment 6: Design the UI/Frontend</w:t>
      </w:r>
    </w:p>
    <w:p>
      <w:pPr>
        <w:spacing w:before="40" w:after="80" w:line="276" w:lineRule="auto"/>
      </w:pPr>
      <w:r/>
      <w:r>
        <w:rPr>
          <w:b/>
        </w:rPr>
        <w:t>Project Title:</w:t>
      </w:r>
      <w:r>
        <w:t xml:space="preserve"> ReadAble – An Intelligent &amp; Accessible Digital Reading Platform</w:t>
      </w:r>
    </w:p>
    <w:p>
      <w:pPr>
        <w:spacing w:before="40" w:after="80" w:line="276" w:lineRule="auto"/>
      </w:pPr>
      <w:r/>
      <w:r>
        <w:rPr>
          <w:b/>
        </w:rPr>
        <w:t>Frontend Framework:</w:t>
      </w:r>
      <w:r>
        <w:t xml:space="preserve"> React 19 + TypeScript + Vite + TanStack Router</w:t>
      </w:r>
    </w:p>
    <w:p>
      <w:pPr>
        <w:spacing w:before="40" w:after="80" w:line="276" w:lineRule="auto"/>
      </w:pPr>
      <w:r/>
      <w:r>
        <w:rPr>
          <w:b/>
        </w:rPr>
        <w:t>Styling &amp; Design System:</w:t>
      </w:r>
      <w:r>
        <w:t xml:space="preserve"> Tailwind CSS v4 + Dynamic CSS Custom Properties (`oklch` Color Palette) + Lucide Icons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Calibri" w:hAnsi="Calibri"/>
          <w:b/>
          <w:color w:val="134E4A"/>
          <w:sz w:val="30"/>
        </w:rPr>
        <w:t>1. UI/UX Design Philosophy &amp; Cognitive Accessibility Principles</w:t>
      </w:r>
    </w:p>
    <w:p>
      <w:pPr>
        <w:spacing w:before="40" w:after="80" w:line="276" w:lineRule="auto"/>
      </w:pPr>
      <w:r>
        <w:t xml:space="preserve">The user interface of </w:t>
      </w:r>
      <w:r>
        <w:rPr>
          <w:b/>
        </w:rPr>
        <w:t>ReadAble</w:t>
      </w:r>
      <w:r>
        <w:t xml:space="preserve"> is designed from the ground up on the principles of </w:t>
      </w:r>
      <w:r>
        <w:rPr>
          <w:b/>
        </w:rPr>
        <w:t>Universal Design</w:t>
      </w:r>
      <w:r>
        <w:t xml:space="preserve"> and </w:t>
      </w:r>
      <w:r>
        <w:rPr>
          <w:b/>
        </w:rPr>
        <w:t>Cognitive Accessibility</w:t>
      </w:r>
      <w:r>
        <w:t>. Traditional reading tools assume standard neurological and visual processing; ReadAble adapts directly to the reader's unique cognitive profile.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1.1 Cognitive Load Reduction Strategies</w:t>
      </w:r>
    </w:p>
    <w:p>
      <w:pPr>
        <w:pStyle w:val="ListNumber"/>
        <w:spacing w:before="20" w:after="20"/>
      </w:pPr>
      <w:r/>
      <w:r>
        <w:rPr>
          <w:b/>
        </w:rPr>
        <w:t>Minimizing Visual Crowding:</w:t>
      </w:r>
      <w:r>
        <w:t xml:space="preserve"> Standard dense layouts trigger visual crowding for readers with dyslexia. ReadAble introduces adjustable letter tracking (`--read-tracking: 0.02em - 0.06em`) and line heights (`--read-leading: 1.6 - 2.2`).</w:t>
      </w:r>
    </w:p>
    <w:p>
      <w:pPr>
        <w:pStyle w:val="ListNumber"/>
        <w:spacing w:before="20" w:after="20"/>
      </w:pPr>
      <w:r/>
      <w:r>
        <w:rPr>
          <w:b/>
        </w:rPr>
        <w:t>Focus Centering &amp; Visual Anchors:</w:t>
      </w:r>
      <w:r>
        <w:t xml:space="preserve"> When audio playback is active, the active sentence receives an ambient soft highlight while surrounding sentences gently fade to 60% opacity. This prevents involuntary saccades (wandering gaze).</w:t>
      </w:r>
    </w:p>
    <w:p>
      <w:pPr>
        <w:pStyle w:val="ListNumber"/>
        <w:spacing w:before="20" w:after="20"/>
      </w:pPr>
      <w:r/>
      <w:r>
        <w:rPr>
          <w:b/>
        </w:rPr>
        <w:t>Progressive Disclosure:</w:t>
      </w:r>
      <w:r>
        <w:t xml:space="preserve"> Advanced settings (AI model selection, prompt customization, export options) are tucked into collapsible drawers, keeping the primary document reading canvas uncluttered and peaceful.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1.2 WCAG 2.1 Compliance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WCAG Guideline</w:t>
            </w:r>
          </w:p>
        </w:tc>
        <w:tc>
          <w:tcPr>
            <w:tcW w:type="dxa" w:w="3120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ReadAble Implementation</w:t>
            </w:r>
          </w:p>
        </w:tc>
        <w:tc>
          <w:tcPr>
            <w:tcW w:type="dxa" w:w="3120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Standard Met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**1.4.3 Contrast (Minimum)**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Regular text contrast exceeds $7.2:1$ in Light Cream mode and $11.5:1$ in Lowlight Dark mode.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**WCAG AAA**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**1.4.4 Resize Text**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Dynamic font scaling up to $200\%$ using `calc(16px * var(--read-scale))` without text clipping or horizontal scrolling.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**WCAG AA**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**1.4.12 Text Spacing**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Users can independently adjust line height, letter spacing, and word spacing via the `ReadingPreferences` control panel.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**WCAG AAA**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**2.1.1 Keyboard Navigation**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Every interactive element, toolbar button, and slider is fully navigable with `Tab`, `Arrow keys`, and `Spacebar`.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**WCAG AA**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**2.4.7 Focus Visible**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High-visibility $2\text{px}$ ring with contrasting brand outline (`--ring: #3DD9AE`) on all focused elements.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**WCAG AA**</w:t>
            </w:r>
          </w:p>
        </w:tc>
      </w:tr>
    </w:tbl>
    <w:p/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Calibri" w:hAnsi="Calibri"/>
          <w:b/>
          <w:color w:val="134E4A"/>
          <w:sz w:val="30"/>
        </w:rPr>
        <w:t>2. Design System Tokens &amp; Style Guide</w:t>
      </w:r>
    </w:p>
    <w:p>
      <w:pPr>
        <w:spacing w:before="40" w:after="80" w:line="276" w:lineRule="auto"/>
      </w:pPr>
      <w:r>
        <w:t>The styling is defined declaratively in `frontend/src/index.css` using modern CSS variables and color models.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2.1 Curated Color Palettes</w:t>
      </w:r>
    </w:p>
    <w:p>
      <w:pPr>
        <w:pStyle w:val="ListBullet"/>
        <w:spacing w:before="20" w:after="20"/>
      </w:pPr>
      <w:r/>
      <w:r>
        <w:rPr>
          <w:b/>
        </w:rPr>
        <w:t>Light Theme (Soothing Cream):</w:t>
      </w:r>
      <w:r/>
    </w:p>
    <w:p>
      <w:pPr>
        <w:pStyle w:val="ListBullet"/>
        <w:spacing w:before="20" w:after="20"/>
      </w:pPr>
      <w:r>
        <w:t>Background: `oklch(0.976 0.012 85)` (warm parchment that eliminates glare)</w:t>
      </w:r>
    </w:p>
    <w:p>
      <w:pPr>
        <w:pStyle w:val="ListBullet"/>
        <w:spacing w:before="20" w:after="20"/>
      </w:pPr>
      <w:r>
        <w:t>Foreground: `oklch(0.22 0.02 160)` (deep charcoal-forest green)</w:t>
      </w:r>
    </w:p>
    <w:p>
      <w:pPr>
        <w:pStyle w:val="ListBullet"/>
        <w:spacing w:before="20" w:after="20"/>
      </w:pPr>
      <w:r>
        <w:t>Primary Brand: `oklch(0.42 0.078 178)` (calming dark teal)</w:t>
      </w:r>
    </w:p>
    <w:p>
      <w:pPr>
        <w:pStyle w:val="ListBullet"/>
        <w:spacing w:before="20" w:after="20"/>
      </w:pPr>
      <w:r>
        <w:t>Accent / Highlighting: `oklch(0.9 0.055 172)` (soft mint wash)</w:t>
      </w:r>
    </w:p>
    <w:p>
      <w:pPr>
        <w:pStyle w:val="ListBullet"/>
        <w:spacing w:before="20" w:after="20"/>
      </w:pPr>
      <w:r/>
      <w:r>
        <w:rPr>
          <w:b/>
        </w:rPr>
        <w:t>Lowlight Dark Theme (`.lowlight`):</w:t>
      </w:r>
      <w:r/>
    </w:p>
    <w:p>
      <w:pPr>
        <w:pStyle w:val="ListBullet"/>
        <w:spacing w:before="20" w:after="20"/>
      </w:pPr>
      <w:r>
        <w:t>Background: `#0E1815` (deep ambient slate)</w:t>
      </w:r>
    </w:p>
    <w:p>
      <w:pPr>
        <w:pStyle w:val="ListBullet"/>
        <w:spacing w:before="20" w:after="20"/>
      </w:pPr>
      <w:r>
        <w:t>Foreground: `#EAF7F1` (crisp mint-tinted off-white)</w:t>
      </w:r>
    </w:p>
    <w:p>
      <w:pPr>
        <w:pStyle w:val="ListBullet"/>
        <w:spacing w:before="20" w:after="20"/>
      </w:pPr>
      <w:r>
        <w:t>Primary Brand: `#3DD9AE` (neon emerald focus ring)</w:t>
      </w:r>
    </w:p>
    <w:p>
      <w:pPr>
        <w:pStyle w:val="ListBullet"/>
        <w:spacing w:before="20" w:after="20"/>
      </w:pPr>
      <w:r>
        <w:t>Surface Card: `#152420` (elevated dark container)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2.2 Dynamic CSS Typography Engine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>:root {</w:t>
        <w:br/>
        <w:t xml:space="preserve">  --read-scale: 1.0;</w:t>
        <w:br/>
        <w:t xml:space="preserve">  --read-leading: 1.6;</w:t>
        <w:br/>
        <w:t xml:space="preserve">  --read-tracking: 0em;</w:t>
        <w:br/>
        <w:t xml:space="preserve">  --read-word-spacing: normal;</w:t>
        <w:br/>
        <w:t>}</w:t>
        <w:br/>
        <w:br/>
        <w:t>html {</w:t>
        <w:br/>
        <w:t xml:space="preserve">  font-size: calc(16px * var(--read-scale, 1));</w:t>
        <w:br/>
        <w:t xml:space="preserve">  scroll-behavior: smooth;</w:t>
        <w:br/>
        <w:t>}</w:t>
        <w:br/>
        <w:br/>
        <w:t>body {</w:t>
        <w:br/>
        <w:t xml:space="preserve">  line-height: var(--read-leading, 1.6);</w:t>
        <w:br/>
        <w:t xml:space="preserve">  letter-spacing: var(--read-tracking, 0em);</w:t>
        <w:br/>
        <w:t xml:space="preserve">  word-spacing: var(--read-word-spacing, normal);</w:t>
        <w:br/>
        <w:t>}</w:t>
        <w:br/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Calibri" w:hAnsi="Calibri"/>
          <w:b/>
          <w:color w:val="134E4A"/>
          <w:sz w:val="30"/>
        </w:rPr>
        <w:t>3. Screen Layouts &amp; Detailed ASCII Wireframes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3.1 Homepage / Landing View (`/`)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>+------------------------------------------------------------------------------------+</w:t>
        <w:br/>
        <w:t>|  [Logo] ReadAble           [Features]  [Accessibility]  [Help]     [Sign In / Demo] |</w:t>
        <w:br/>
        <w:t>+------------------------------------------------------------------------------------+</w:t>
        <w:br/>
        <w:t>|                                                                                    |</w:t>
        <w:br/>
        <w:t>|                  Read. Understand. Listen. Adapt.                                  |</w:t>
        <w:br/>
        <w:t>|         Transform dense academic PDFs into effortless knowledge.                    |</w:t>
        <w:br/>
        <w:t>|                                                                                    |</w:t>
        <w:br/>
        <w:t>|       [ Upload Document Free -&gt; ]          [ Explore Live Interactive Demo ]       |</w:t>
        <w:br/>
        <w:t>|                                                                                    |</w:t>
        <w:br/>
        <w:t>|  +------------------------------------------------------------------------------+  |</w:t>
        <w:br/>
        <w:t>|  | Interactive Accessibility Demo Widget:                                       |  |</w:t>
        <w:br/>
        <w:t>|  | Text Scale: [  -  ] [ 115% ] [  +  ]   | Theme: (x) Cream  ( ) Dark  ( ) HC  |  |</w:t>
        <w:br/>
        <w:t>|  | "Doing well with money has a little to do with how smart you are and a lot   |  |</w:t>
        <w:br/>
        <w:t>|  | to do with how you behave. ReadAble simplifies complex academic reading."    |  |</w:t>
        <w:br/>
        <w:t>|  +------------------------------------------------------------------------------+  |</w:t>
        <w:br/>
        <w:t>|                                                                                    |</w:t>
        <w:br/>
        <w:t>|  [Feature Cards: 1. Smart Typography | 2. Synchronized Audio | 3. In-Situ AI]      |</w:t>
        <w:br/>
        <w:t>+------------------------------------------------------------------------------------+</w:t>
        <w:br/>
        <w:t>|  (C) 2026 ReadAble Platform | WCAG 2.1 AAA Compliant | Open Source Software         |</w:t>
        <w:br/>
        <w:t>+------------------------------------------------------------------------------------+</w:t>
        <w:br/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3.2 Authentication &amp; Onboarding View (`/login`)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>+------------------------------------------------------------------------------------+</w:t>
        <w:br/>
        <w:t>|  [Logo] ReadAble                                                [Back to Home]     |</w:t>
        <w:br/>
        <w:t>+------------------------------------------------------------------------------------+</w:t>
        <w:br/>
        <w:t>|                                                                                    |</w:t>
        <w:br/>
        <w:t>|                      +--------------------------------------+                      |</w:t>
        <w:br/>
        <w:t>|                      |  [ Sign In ]      |    [ Register ]  |                      |</w:t>
        <w:br/>
        <w:t>|                      +--------------------------------------+                      |</w:t>
        <w:br/>
        <w:t>|                      | Welcome back to ReadAble             |                      |</w:t>
        <w:br/>
        <w:t>|                      |                                      |                      |</w:t>
        <w:br/>
        <w:t>|                      | Identifier (Email or Phone Number)   |                      |</w:t>
        <w:br/>
        <w:t>|                      | [ rohit@readable.org or 9876543210 ] |                      |</w:t>
        <w:br/>
        <w:t>|                      |                                      |                      |</w:t>
        <w:br/>
        <w:t>|                      | Password                             |                      |</w:t>
        <w:br/>
        <w:t>|                      | [ ****************           (eye) ] |                      |</w:t>
        <w:br/>
        <w:t>|                      |                                      |                      |</w:t>
        <w:br/>
        <w:t>|                      | [X] Remember my reading settings     |                      |</w:t>
        <w:br/>
        <w:t>|                      |                                      |                      |</w:t>
        <w:br/>
        <w:t>|                      | [      Sign In to Dashboard -&gt;     ] |                      |</w:t>
        <w:br/>
        <w:t>|                      |                                      |                      |</w:t>
        <w:br/>
        <w:t>|                      | Accessibility Preview:               |                      |</w:t>
        <w:br/>
        <w:t>|                      | Scale: [ 100% =====O======= 130% ]   |                      |</w:t>
        <w:br/>
        <w:t>|                      | [X] Comfortable Line Height (1.9x)   |                      |</w:t>
        <w:br/>
        <w:t>|                      +--------------------------------------+                      |</w:t>
        <w:br/>
        <w:t>|                                                                                    |</w:t>
        <w:br/>
        <w:t>+------------------------------------------------------------------------------------+</w:t>
        <w:br/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3.3 The Core Reading Dashboard (`/dashboard`)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>+--------------------------------------------------------------------------------------------------------+</w:t>
        <w:br/>
        <w:t>| [=] ReadAble   | The Psychology of Money.pdf [75% Read]   | Scale [115%] Theme [Lowlight] | [User Menu] |</w:t>
        <w:br/>
        <w:t>+----------------+--------------------------------------------------------------+-------------------------+</w:t>
        <w:br/>
        <w:t>| NAVIGATION     | DOCUMENT READING VIEWPORT                                    | AI &amp; ASSISTANCE DRAWER  |</w:t>
        <w:br/>
        <w:t>|                |                                                              |                         |</w:t>
        <w:br/>
        <w:t>| [*] Dashboard  | Chapter 2: Confounding Compounding                           | [Sparkles] AI Explainer |</w:t>
        <w:br/>
        <w:t>| [ ] My Library |                                                              |                         |</w:t>
        <w:br/>
        <w:t>| [ ] Upload Doc | "Doing well with money has a little to do with how smart    | Selected Sentence:      |</w:t>
        <w:br/>
        <w:t>| [ ] Read Aloud | you are and a lot to do with how you behave."                 | "Confounding            |</w:t>
        <w:br/>
        <w:t>| [ ] Bookmarks  |                                                              | compounding generates   |</w:t>
        <w:br/>
        <w:t>| [ ] History    | &gt;&gt;&gt; [Active Voice Playback Highlighted in Soft Mint Box] &lt;&lt;&lt; | nonlinear returns..."   |</w:t>
        <w:br/>
        <w:t>| [ ] Notes      | "And behavior is hard to teach, even to really smart         |                         |</w:t>
        <w:br/>
        <w:t>| [ ] Settings   | people. Ordinary folks with no financial education can be    | Plain Language:         |</w:t>
        <w:br/>
        <w:t>|                | wealthy if they have behavioral skills."                     | "Compounding means you  |</w:t>
        <w:br/>
        <w:t>|                |                                                              | earn interest on top of |</w:t>
        <w:br/>
        <w:t>|                |                                                              | previous interest. It   |</w:t>
        <w:br/>
        <w:t>| AUDIO TOOLBAR  |                                                              | grows faster than our   |</w:t>
        <w:br/>
        <w:t>| [|&lt;] [Play] [&gt;|]|                                                              | brain expects."         |</w:t>
        <w:br/>
        <w:t>| Rate: [ 1.0x ] |                                                              |                         |</w:t>
        <w:br/>
        <w:t>| Progress: 75%  |                                                              | [Copy] [Save to Notes]  |</w:t>
        <w:br/>
        <w:t>+----------------+--------------------------------------------------------------+-------------------------+</w:t>
        <w:br/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Calibri" w:hAnsi="Calibri"/>
          <w:b/>
          <w:color w:val="134E4A"/>
          <w:sz w:val="30"/>
        </w:rPr>
        <w:t>4. Frontend Component Hierarchy &amp; State Architecture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4.1 Component Tree Diagram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>App Root (__root.tsx)</w:t>
        <w:br/>
        <w:t xml:space="preserve"> ├── Navbar.tsx (Global accessible header, theme toggler, route links)</w:t>
        <w:br/>
        <w:t xml:space="preserve"> ├── Route Component Router (TanStack Router)</w:t>
        <w:br/>
        <w:t xml:space="preserve"> │    ├── / (index.tsx: Homepage, Hero, Demo, Feature Grid)</w:t>
        <w:br/>
        <w:t xml:space="preserve"> │    ├── /login (login.tsx: Auth forms, validation, scale preview)</w:t>
        <w:br/>
        <w:t xml:space="preserve"> │    ├── /dashboard (dashboard.tsx: Auth guard redirect)</w:t>
        <w:br/>
        <w:t xml:space="preserve"> │    │    └── ReadAbleDashboard.tsx (Main reader state manager)</w:t>
        <w:br/>
        <w:t xml:space="preserve"> │    │         ├── SidebarNav (Nav items, collapse state)</w:t>
        <w:br/>
        <w:t xml:space="preserve"> │    │         ├── ReadingViewport (Document text stream, sentence focus)</w:t>
        <w:br/>
        <w:t xml:space="preserve"> │    │         ├── ReadingPreferences.tsx (Typography sliders, themes)</w:t>
        <w:br/>
        <w:t xml:space="preserve"> │    │         ├── AudioController (TTS synthesis, playback speed)</w:t>
        <w:br/>
        <w:t xml:space="preserve"> │    │         └── AIAssistantDrawer (Contextual simplification)</w:t>
        <w:br/>
        <w:t xml:space="preserve"> │    └── /help (help.tsx: User manual, keyboard shortcuts)</w:t>
        <w:br/>
        <w:t xml:space="preserve"> └── Footer.tsx (Site credits, accessibility badges)</w:t>
        <w:br/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4.2 State Hydration &amp; API Integration (`src/lib/api.ts`)</w:t>
      </w:r>
    </w:p>
    <w:p>
      <w:pPr>
        <w:pStyle w:val="ListBullet"/>
        <w:spacing w:before="20" w:after="20"/>
      </w:pPr>
      <w:r>
        <w:t>The authentication state initializes by inspecting `localStorage.getItem("readable_token")`.</w:t>
      </w:r>
    </w:p>
    <w:p>
      <w:pPr>
        <w:pStyle w:val="ListBullet"/>
        <w:spacing w:before="20" w:after="20"/>
      </w:pPr>
      <w:r>
        <w:t>When an authenticated user logs in, `authApi.me()` fetches their latest profile and persisted `reading_preferences`.</w:t>
      </w:r>
    </w:p>
    <w:p>
      <w:pPr>
        <w:pStyle w:val="ListBullet"/>
        <w:spacing w:before="20" w:after="20"/>
      </w:pPr>
      <w:r>
        <w:t>Sliders on the UI bind two-way with local state and apply direct DOM modifications through `document.documentElement.style.setProperty("--read-scale", scale)`.</w:t>
      </w:r>
    </w:p>
    <w:p>
      <w:pPr>
        <w:pStyle w:val="ListBullet"/>
        <w:spacing w:before="20" w:after="20"/>
      </w:pPr>
      <w:r>
        <w:t>Updates to preferences are debounced ($300\text{ ms}$) and synchronized via `PATCH /api/users/preferences`.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