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766E"/>
          <w:sz w:val="40"/>
        </w:rPr>
        <w:t>Assignment 2 – Requirements &amp; Software Requirements Specification (SRS)</w:t>
      </w:r>
    </w:p>
    <w:p>
      <w:pPr>
        <w:spacing w:before="40" w:after="80" w:line="276" w:lineRule="auto"/>
      </w:pPr>
      <w:r/>
      <w:r>
        <w:rPr>
          <w:b/>
        </w:rPr>
        <w:t>Project Title:</w:t>
      </w:r>
      <w:r>
        <w:t xml:space="preserve"> ReadAble – An Intelligent &amp; Accessible Digital Reading Platform</w:t>
      </w:r>
    </w:p>
    <w:p>
      <w:pPr>
        <w:spacing w:before="40" w:after="80" w:line="276" w:lineRule="auto"/>
      </w:pPr>
      <w:r/>
      <w:r>
        <w:rPr>
          <w:b/>
        </w:rPr>
        <w:t>Standard Followed:</w:t>
      </w:r>
      <w:r>
        <w:t xml:space="preserve"> IEEE Std 830-1998 (Adapted SRS Format)</w:t>
      </w:r>
    </w:p>
    <w:p>
      <w:pPr>
        <w:spacing w:before="40" w:after="80" w:line="276" w:lineRule="auto"/>
      </w:pPr>
      <w:r/>
      <w:r>
        <w:rPr>
          <w:b/>
        </w:rPr>
        <w:t>Document Constraint:</w:t>
      </w:r>
      <w:r>
        <w:t xml:space="preserve"> 2 Pages</w:t>
      </w:r>
    </w:p>
    <w:p>
      <w:pPr>
        <w:spacing w:before="120" w:after="120"/>
      </w:pPr>
      <w:r>
        <w:rPr>
          <w:color w:val="CBD5E1"/>
        </w:rPr>
        <w:t>―――――――――――――――――――――――――――――――――――――――――――――</w:t>
      </w:r>
    </w:p>
    <w:p>
      <w:pPr>
        <w:spacing w:before="200" w:after="80"/>
      </w:pPr>
      <w:r>
        <w:rPr>
          <w:rFonts w:ascii="Calibri" w:hAnsi="Calibri"/>
          <w:b/>
          <w:color w:val="134E4A"/>
          <w:sz w:val="30"/>
        </w:rPr>
        <w:t>1. Introduction &amp; Project Scope</w:t>
      </w:r>
    </w:p>
    <w:p>
      <w:pPr>
        <w:spacing w:before="40" w:after="80" w:line="276" w:lineRule="auto"/>
      </w:pPr>
      <w:r>
        <w:t xml:space="preserve">The purpose of </w:t>
      </w:r>
      <w:r>
        <w:rPr>
          <w:b/>
        </w:rPr>
        <w:t>ReadAble</w:t>
      </w:r>
      <w:r>
        <w:t xml:space="preserve"> is to deliver a web-based, accessibility-centric digital reading ecosystem that mitigates cognitive load and assists users through dense technical literature, academic papers, and digital books. The scope encompasses secure user management, document ingestion, adaptive visual rendering, synchronized text-to-speech (TTS), contextual AI assistance, and reading analytics.</w:t>
      </w:r>
    </w:p>
    <w:p>
      <w:pPr>
        <w:spacing w:before="120" w:after="120"/>
      </w:pPr>
      <w:r>
        <w:rPr>
          <w:color w:val="CBD5E1"/>
        </w:rPr>
        <w:t>―――――――――――――――――――――――――――――――――――――――――――――</w:t>
      </w:r>
    </w:p>
    <w:p>
      <w:pPr>
        <w:spacing w:before="200" w:after="80"/>
      </w:pPr>
      <w:r>
        <w:rPr>
          <w:rFonts w:ascii="Calibri" w:hAnsi="Calibri"/>
          <w:b/>
          <w:color w:val="134E4A"/>
          <w:sz w:val="30"/>
        </w:rPr>
        <w:t>2. Functional Requirements (FR)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766E"/>
            <w:tcMar>
              <w:top w:w="120" w:type="dxa"/>
              <w:bottom w:w="120" w:type="dxa"/>
              <w:left w:w="150" w:type="dxa"/>
              <w:right w:w="150" w:type="dxa"/>
            </w:tcMar>
          </w:tcPr>
          <w:p>
            <w:pPr>
              <w:jc w:val="left"/>
            </w:pPr>
            <w:r>
              <w:rPr>
                <w:b/>
                <w:color w:val="FFFFFF"/>
                <w:sz w:val="20"/>
              </w:rPr>
              <w:t>Requirement ID</w:t>
            </w:r>
          </w:p>
        </w:tc>
        <w:tc>
          <w:tcPr>
            <w:tcW w:type="dxa" w:w="2340"/>
            <w:shd w:fill="0F766E"/>
            <w:tcMar>
              <w:top w:w="120" w:type="dxa"/>
              <w:bottom w:w="120" w:type="dxa"/>
              <w:left w:w="150" w:type="dxa"/>
              <w:right w:w="150" w:type="dxa"/>
            </w:tcMar>
          </w:tcPr>
          <w:p>
            <w:pPr>
              <w:jc w:val="left"/>
            </w:pPr>
            <w:r>
              <w:rPr>
                <w:b/>
                <w:color w:val="FFFFFF"/>
                <w:sz w:val="20"/>
              </w:rPr>
              <w:t>Module / Feature</w:t>
            </w:r>
          </w:p>
        </w:tc>
        <w:tc>
          <w:tcPr>
            <w:tcW w:type="dxa" w:w="2340"/>
            <w:shd w:fill="0F766E"/>
            <w:tcMar>
              <w:top w:w="120" w:type="dxa"/>
              <w:bottom w:w="120" w:type="dxa"/>
              <w:left w:w="150" w:type="dxa"/>
              <w:right w:w="150" w:type="dxa"/>
            </w:tcMar>
          </w:tcPr>
          <w:p>
            <w:pPr>
              <w:jc w:val="left"/>
            </w:pPr>
            <w:r>
              <w:rPr>
                <w:b/>
                <w:color w:val="FFFFFF"/>
                <w:sz w:val="20"/>
              </w:rPr>
              <w:t>Detailed Specification</w:t>
            </w:r>
          </w:p>
        </w:tc>
        <w:tc>
          <w:tcPr>
            <w:tcW w:type="dxa" w:w="2340"/>
            <w:shd w:fill="0F766E"/>
            <w:tcMar>
              <w:top w:w="120" w:type="dxa"/>
              <w:bottom w:w="120" w:type="dxa"/>
              <w:left w:w="150" w:type="dxa"/>
              <w:right w:w="150" w:type="dxa"/>
            </w:tcMar>
          </w:tcPr>
          <w:p>
            <w:pPr>
              <w:jc w:val="left"/>
            </w:pPr>
            <w:r>
              <w:rPr>
                <w:b/>
                <w:color w:val="FFFFFF"/>
                <w:sz w:val="20"/>
              </w:rPr>
              <w:t>Priority</w:t>
            </w:r>
          </w:p>
        </w:tc>
      </w:tr>
      <w:tr>
        <w:tc>
          <w:tcPr>
            <w:tcW w:type="dxa" w:w="2340"/>
            <w:shd w:fill="FFFFFF"/>
            <w:tcMar>
              <w:top w:w="80" w:type="dxa"/>
              <w:bottom w:w="80" w:type="dxa"/>
              <w:left w:w="120" w:type="dxa"/>
              <w:right w:w="120" w:type="dxa"/>
            </w:tcMar>
          </w:tcPr>
          <w:p>
            <w:r>
              <w:rPr>
                <w:color w:val="334155"/>
                <w:sz w:val="19"/>
              </w:rPr>
              <w:t>**FR-1.1**</w:t>
            </w:r>
          </w:p>
        </w:tc>
        <w:tc>
          <w:tcPr>
            <w:tcW w:type="dxa" w:w="2340"/>
            <w:shd w:fill="FFFFFF"/>
            <w:tcMar>
              <w:top w:w="80" w:type="dxa"/>
              <w:bottom w:w="80" w:type="dxa"/>
              <w:left w:w="120" w:type="dxa"/>
              <w:right w:w="120" w:type="dxa"/>
            </w:tcMar>
          </w:tcPr>
          <w:p>
            <w:r>
              <w:rPr>
                <w:color w:val="334155"/>
                <w:sz w:val="19"/>
              </w:rPr>
              <w:t>User Registration</w:t>
            </w:r>
          </w:p>
        </w:tc>
        <w:tc>
          <w:tcPr>
            <w:tcW w:type="dxa" w:w="2340"/>
            <w:shd w:fill="FFFFFF"/>
            <w:tcMar>
              <w:top w:w="80" w:type="dxa"/>
              <w:bottom w:w="80" w:type="dxa"/>
              <w:left w:w="120" w:type="dxa"/>
              <w:right w:w="120" w:type="dxa"/>
            </w:tcMar>
          </w:tcPr>
          <w:p>
            <w:r>
              <w:rPr>
                <w:color w:val="334155"/>
                <w:sz w:val="19"/>
              </w:rPr>
              <w:t>The system shall allow users to register an account using Full Name, unique Email or unique Phone Number, and Password. Passwords must be hashed via bcrypt (minimum 12 salt rounds).</w:t>
            </w:r>
          </w:p>
        </w:tc>
        <w:tc>
          <w:tcPr>
            <w:tcW w:type="dxa" w:w="2340"/>
            <w:shd w:fill="FFFFFF"/>
            <w:tcMar>
              <w:top w:w="80" w:type="dxa"/>
              <w:bottom w:w="80" w:type="dxa"/>
              <w:left w:w="120" w:type="dxa"/>
              <w:right w:w="120" w:type="dxa"/>
            </w:tcMar>
          </w:tcPr>
          <w:p>
            <w:r>
              <w:rPr>
                <w:color w:val="334155"/>
                <w:sz w:val="19"/>
              </w:rPr>
              <w:t>High</w:t>
            </w:r>
          </w:p>
        </w:tc>
      </w:tr>
      <w:tr>
        <w:tc>
          <w:tcPr>
            <w:tcW w:type="dxa" w:w="2340"/>
            <w:shd w:fill="F8FAFC"/>
            <w:tcMar>
              <w:top w:w="80" w:type="dxa"/>
              <w:bottom w:w="80" w:type="dxa"/>
              <w:left w:w="120" w:type="dxa"/>
              <w:right w:w="120" w:type="dxa"/>
            </w:tcMar>
          </w:tcPr>
          <w:p>
            <w:r>
              <w:rPr>
                <w:color w:val="334155"/>
                <w:sz w:val="19"/>
              </w:rPr>
              <w:t>**FR-1.2**</w:t>
            </w:r>
          </w:p>
        </w:tc>
        <w:tc>
          <w:tcPr>
            <w:tcW w:type="dxa" w:w="2340"/>
            <w:shd w:fill="F8FAFC"/>
            <w:tcMar>
              <w:top w:w="80" w:type="dxa"/>
              <w:bottom w:w="80" w:type="dxa"/>
              <w:left w:w="120" w:type="dxa"/>
              <w:right w:w="120" w:type="dxa"/>
            </w:tcMar>
          </w:tcPr>
          <w:p>
            <w:r>
              <w:rPr>
                <w:color w:val="334155"/>
                <w:sz w:val="19"/>
              </w:rPr>
              <w:t>Dual-Identifier Authentication</w:t>
            </w:r>
          </w:p>
        </w:tc>
        <w:tc>
          <w:tcPr>
            <w:tcW w:type="dxa" w:w="2340"/>
            <w:shd w:fill="F8FAFC"/>
            <w:tcMar>
              <w:top w:w="80" w:type="dxa"/>
              <w:bottom w:w="80" w:type="dxa"/>
              <w:left w:w="120" w:type="dxa"/>
              <w:right w:w="120" w:type="dxa"/>
            </w:tcMar>
          </w:tcPr>
          <w:p>
            <w:r>
              <w:rPr>
                <w:color w:val="334155"/>
                <w:sz w:val="19"/>
              </w:rPr>
              <w:t>The system shall enable users to log in seamlessly using either their Email or Phone number alongside their password. Normalized phone inputs shall ignore whitespace, dashes, and parentheses.</w:t>
            </w:r>
          </w:p>
        </w:tc>
        <w:tc>
          <w:tcPr>
            <w:tcW w:type="dxa" w:w="2340"/>
            <w:shd w:fill="F8FAFC"/>
            <w:tcMar>
              <w:top w:w="80" w:type="dxa"/>
              <w:bottom w:w="80" w:type="dxa"/>
              <w:left w:w="120" w:type="dxa"/>
              <w:right w:w="120" w:type="dxa"/>
            </w:tcMar>
          </w:tcPr>
          <w:p>
            <w:r>
              <w:rPr>
                <w:color w:val="334155"/>
                <w:sz w:val="19"/>
              </w:rPr>
              <w:t>High</w:t>
            </w:r>
          </w:p>
        </w:tc>
      </w:tr>
      <w:tr>
        <w:tc>
          <w:tcPr>
            <w:tcW w:type="dxa" w:w="2340"/>
            <w:shd w:fill="FFFFFF"/>
            <w:tcMar>
              <w:top w:w="80" w:type="dxa"/>
              <w:bottom w:w="80" w:type="dxa"/>
              <w:left w:w="120" w:type="dxa"/>
              <w:right w:w="120" w:type="dxa"/>
            </w:tcMar>
          </w:tcPr>
          <w:p>
            <w:r>
              <w:rPr>
                <w:color w:val="334155"/>
                <w:sz w:val="19"/>
              </w:rPr>
              <w:t>**FR-1.3**</w:t>
            </w:r>
          </w:p>
        </w:tc>
        <w:tc>
          <w:tcPr>
            <w:tcW w:type="dxa" w:w="2340"/>
            <w:shd w:fill="FFFFFF"/>
            <w:tcMar>
              <w:top w:w="80" w:type="dxa"/>
              <w:bottom w:w="80" w:type="dxa"/>
              <w:left w:w="120" w:type="dxa"/>
              <w:right w:w="120" w:type="dxa"/>
            </w:tcMar>
          </w:tcPr>
          <w:p>
            <w:r>
              <w:rPr>
                <w:color w:val="334155"/>
                <w:sz w:val="19"/>
              </w:rPr>
              <w:t>Session Management</w:t>
            </w:r>
          </w:p>
        </w:tc>
        <w:tc>
          <w:tcPr>
            <w:tcW w:type="dxa" w:w="2340"/>
            <w:shd w:fill="FFFFFF"/>
            <w:tcMar>
              <w:top w:w="80" w:type="dxa"/>
              <w:bottom w:w="80" w:type="dxa"/>
              <w:left w:w="120" w:type="dxa"/>
              <w:right w:w="120" w:type="dxa"/>
            </w:tcMar>
          </w:tcPr>
          <w:p>
            <w:r>
              <w:rPr>
                <w:color w:val="334155"/>
                <w:sz w:val="19"/>
              </w:rPr>
              <w:t>The system shall issue cryptographically signed JSON Web Tokens (JWT) upon successful authentication with a configurable lifespan (default: 7 days) and validate incoming bearer tokens.</w:t>
            </w:r>
          </w:p>
        </w:tc>
        <w:tc>
          <w:tcPr>
            <w:tcW w:type="dxa" w:w="2340"/>
            <w:shd w:fill="FFFFFF"/>
            <w:tcMar>
              <w:top w:w="80" w:type="dxa"/>
              <w:bottom w:w="80" w:type="dxa"/>
              <w:left w:w="120" w:type="dxa"/>
              <w:right w:w="120" w:type="dxa"/>
            </w:tcMar>
          </w:tcPr>
          <w:p>
            <w:r>
              <w:rPr>
                <w:color w:val="334155"/>
                <w:sz w:val="19"/>
              </w:rPr>
              <w:t>High</w:t>
            </w:r>
          </w:p>
        </w:tc>
      </w:tr>
      <w:tr>
        <w:tc>
          <w:tcPr>
            <w:tcW w:type="dxa" w:w="2340"/>
            <w:shd w:fill="F8FAFC"/>
            <w:tcMar>
              <w:top w:w="80" w:type="dxa"/>
              <w:bottom w:w="80" w:type="dxa"/>
              <w:left w:w="120" w:type="dxa"/>
              <w:right w:w="120" w:type="dxa"/>
            </w:tcMar>
          </w:tcPr>
          <w:p>
            <w:r>
              <w:rPr>
                <w:color w:val="334155"/>
                <w:sz w:val="19"/>
              </w:rPr>
              <w:t>**FR-2.1**</w:t>
            </w:r>
          </w:p>
        </w:tc>
        <w:tc>
          <w:tcPr>
            <w:tcW w:type="dxa" w:w="2340"/>
            <w:shd w:fill="F8FAFC"/>
            <w:tcMar>
              <w:top w:w="80" w:type="dxa"/>
              <w:bottom w:w="80" w:type="dxa"/>
              <w:left w:w="120" w:type="dxa"/>
              <w:right w:w="120" w:type="dxa"/>
            </w:tcMar>
          </w:tcPr>
          <w:p>
            <w:r>
              <w:rPr>
                <w:color w:val="334155"/>
                <w:sz w:val="19"/>
              </w:rPr>
              <w:t>Document Ingestion</w:t>
            </w:r>
          </w:p>
        </w:tc>
        <w:tc>
          <w:tcPr>
            <w:tcW w:type="dxa" w:w="2340"/>
            <w:shd w:fill="F8FAFC"/>
            <w:tcMar>
              <w:top w:w="80" w:type="dxa"/>
              <w:bottom w:w="80" w:type="dxa"/>
              <w:left w:w="120" w:type="dxa"/>
              <w:right w:w="120" w:type="dxa"/>
            </w:tcMar>
          </w:tcPr>
          <w:p>
            <w:r>
              <w:rPr>
                <w:color w:val="334155"/>
                <w:sz w:val="19"/>
              </w:rPr>
              <w:t>The system shall support uploading `.pdf` and `.txt` files up to 25 MB. The backend shall validate MIME types, generate unique S3/disk keys, and associate file records with the authenticated user.</w:t>
            </w:r>
          </w:p>
        </w:tc>
        <w:tc>
          <w:tcPr>
            <w:tcW w:type="dxa" w:w="2340"/>
            <w:shd w:fill="F8FAFC"/>
            <w:tcMar>
              <w:top w:w="80" w:type="dxa"/>
              <w:bottom w:w="80" w:type="dxa"/>
              <w:left w:w="120" w:type="dxa"/>
              <w:right w:w="120" w:type="dxa"/>
            </w:tcMar>
          </w:tcPr>
          <w:p>
            <w:r>
              <w:rPr>
                <w:color w:val="334155"/>
                <w:sz w:val="19"/>
              </w:rPr>
              <w:t>High</w:t>
            </w:r>
          </w:p>
        </w:tc>
      </w:tr>
      <w:tr>
        <w:tc>
          <w:tcPr>
            <w:tcW w:type="dxa" w:w="2340"/>
            <w:shd w:fill="FFFFFF"/>
            <w:tcMar>
              <w:top w:w="80" w:type="dxa"/>
              <w:bottom w:w="80" w:type="dxa"/>
              <w:left w:w="120" w:type="dxa"/>
              <w:right w:w="120" w:type="dxa"/>
            </w:tcMar>
          </w:tcPr>
          <w:p>
            <w:r>
              <w:rPr>
                <w:color w:val="334155"/>
                <w:sz w:val="19"/>
              </w:rPr>
              <w:t>**FR-2.2**</w:t>
            </w:r>
          </w:p>
        </w:tc>
        <w:tc>
          <w:tcPr>
            <w:tcW w:type="dxa" w:w="2340"/>
            <w:shd w:fill="FFFFFF"/>
            <w:tcMar>
              <w:top w:w="80" w:type="dxa"/>
              <w:bottom w:w="80" w:type="dxa"/>
              <w:left w:w="120" w:type="dxa"/>
              <w:right w:w="120" w:type="dxa"/>
            </w:tcMar>
          </w:tcPr>
          <w:p>
            <w:r>
              <w:rPr>
                <w:color w:val="334155"/>
                <w:sz w:val="19"/>
              </w:rPr>
              <w:t>Document Library Management</w:t>
            </w:r>
          </w:p>
        </w:tc>
        <w:tc>
          <w:tcPr>
            <w:tcW w:type="dxa" w:w="2340"/>
            <w:shd w:fill="FFFFFF"/>
            <w:tcMar>
              <w:top w:w="80" w:type="dxa"/>
              <w:bottom w:w="80" w:type="dxa"/>
              <w:left w:w="120" w:type="dxa"/>
              <w:right w:w="120" w:type="dxa"/>
            </w:tcMar>
          </w:tcPr>
          <w:p>
            <w:r>
              <w:rPr>
                <w:color w:val="334155"/>
                <w:sz w:val="19"/>
              </w:rPr>
              <w:t>The system shall allow authenticated users to browse, search, filter, download, and delete their stored documents from a personalized library dashboard.</w:t>
            </w:r>
          </w:p>
        </w:tc>
        <w:tc>
          <w:tcPr>
            <w:tcW w:type="dxa" w:w="2340"/>
            <w:shd w:fill="FFFFFF"/>
            <w:tcMar>
              <w:top w:w="80" w:type="dxa"/>
              <w:bottom w:w="80" w:type="dxa"/>
              <w:left w:w="120" w:type="dxa"/>
              <w:right w:w="120" w:type="dxa"/>
            </w:tcMar>
          </w:tcPr>
          <w:p>
            <w:r>
              <w:rPr>
                <w:color w:val="334155"/>
                <w:sz w:val="19"/>
              </w:rPr>
              <w:t>High</w:t>
            </w:r>
          </w:p>
        </w:tc>
      </w:tr>
      <w:tr>
        <w:tc>
          <w:tcPr>
            <w:tcW w:type="dxa" w:w="2340"/>
            <w:shd w:fill="F8FAFC"/>
            <w:tcMar>
              <w:top w:w="80" w:type="dxa"/>
              <w:bottom w:w="80" w:type="dxa"/>
              <w:left w:w="120" w:type="dxa"/>
              <w:right w:w="120" w:type="dxa"/>
            </w:tcMar>
          </w:tcPr>
          <w:p>
            <w:r>
              <w:rPr>
                <w:color w:val="334155"/>
                <w:sz w:val="19"/>
              </w:rPr>
              <w:t>**FR-3.1**</w:t>
            </w:r>
          </w:p>
        </w:tc>
        <w:tc>
          <w:tcPr>
            <w:tcW w:type="dxa" w:w="2340"/>
            <w:shd w:fill="F8FAFC"/>
            <w:tcMar>
              <w:top w:w="80" w:type="dxa"/>
              <w:bottom w:w="80" w:type="dxa"/>
              <w:left w:w="120" w:type="dxa"/>
              <w:right w:w="120" w:type="dxa"/>
            </w:tcMar>
          </w:tcPr>
          <w:p>
            <w:r>
              <w:rPr>
                <w:color w:val="334155"/>
                <w:sz w:val="19"/>
              </w:rPr>
              <w:t>Dynamic Typography Engine</w:t>
            </w:r>
          </w:p>
        </w:tc>
        <w:tc>
          <w:tcPr>
            <w:tcW w:type="dxa" w:w="2340"/>
            <w:shd w:fill="F8FAFC"/>
            <w:tcMar>
              <w:top w:w="80" w:type="dxa"/>
              <w:bottom w:w="80" w:type="dxa"/>
              <w:left w:w="120" w:type="dxa"/>
              <w:right w:w="120" w:type="dxa"/>
            </w:tcMar>
          </w:tcPr>
          <w:p>
            <w:r>
              <w:rPr>
                <w:color w:val="334155"/>
                <w:sz w:val="19"/>
              </w:rPr>
              <w:t>The system shall provide granular client-side controls to scale text font size ($100\%, 115\%, 130\%+$), alter line height ($1.6\text{--}1.9$), adjust letter tracking, and switch between standard and dyslexia-friendly typefaces.</w:t>
            </w:r>
          </w:p>
        </w:tc>
        <w:tc>
          <w:tcPr>
            <w:tcW w:type="dxa" w:w="2340"/>
            <w:shd w:fill="F8FAFC"/>
            <w:tcMar>
              <w:top w:w="80" w:type="dxa"/>
              <w:bottom w:w="80" w:type="dxa"/>
              <w:left w:w="120" w:type="dxa"/>
              <w:right w:w="120" w:type="dxa"/>
            </w:tcMar>
          </w:tcPr>
          <w:p>
            <w:r>
              <w:rPr>
                <w:color w:val="334155"/>
                <w:sz w:val="19"/>
              </w:rPr>
              <w:t>High</w:t>
            </w:r>
          </w:p>
        </w:tc>
      </w:tr>
      <w:tr>
        <w:tc>
          <w:tcPr>
            <w:tcW w:type="dxa" w:w="2340"/>
            <w:shd w:fill="FFFFFF"/>
            <w:tcMar>
              <w:top w:w="80" w:type="dxa"/>
              <w:bottom w:w="80" w:type="dxa"/>
              <w:left w:w="120" w:type="dxa"/>
              <w:right w:w="120" w:type="dxa"/>
            </w:tcMar>
          </w:tcPr>
          <w:p>
            <w:r>
              <w:rPr>
                <w:color w:val="334155"/>
                <w:sz w:val="19"/>
              </w:rPr>
              <w:t>**FR-3.2**</w:t>
            </w:r>
          </w:p>
        </w:tc>
        <w:tc>
          <w:tcPr>
            <w:tcW w:type="dxa" w:w="2340"/>
            <w:shd w:fill="FFFFFF"/>
            <w:tcMar>
              <w:top w:w="80" w:type="dxa"/>
              <w:bottom w:w="80" w:type="dxa"/>
              <w:left w:w="120" w:type="dxa"/>
              <w:right w:w="120" w:type="dxa"/>
            </w:tcMar>
          </w:tcPr>
          <w:p>
            <w:r>
              <w:rPr>
                <w:color w:val="334155"/>
                <w:sz w:val="19"/>
              </w:rPr>
              <w:t>Theme &amp; Contrast Toggling</w:t>
            </w:r>
          </w:p>
        </w:tc>
        <w:tc>
          <w:tcPr>
            <w:tcW w:type="dxa" w:w="2340"/>
            <w:shd w:fill="FFFFFF"/>
            <w:tcMar>
              <w:top w:w="80" w:type="dxa"/>
              <w:bottom w:w="80" w:type="dxa"/>
              <w:left w:w="120" w:type="dxa"/>
              <w:right w:w="120" w:type="dxa"/>
            </w:tcMar>
          </w:tcPr>
          <w:p>
            <w:r>
              <w:rPr>
                <w:color w:val="334155"/>
                <w:sz w:val="19"/>
              </w:rPr>
              <w:t>The system shall provide three accessibility contrast modes: **Light Mode** (warm cream background), **Lowlight Mode** (soothing dark teal `#0E1815`), and **High Contrast Mode** without layout breaking.</w:t>
            </w:r>
          </w:p>
        </w:tc>
        <w:tc>
          <w:tcPr>
            <w:tcW w:type="dxa" w:w="2340"/>
            <w:shd w:fill="FFFFFF"/>
            <w:tcMar>
              <w:top w:w="80" w:type="dxa"/>
              <w:bottom w:w="80" w:type="dxa"/>
              <w:left w:w="120" w:type="dxa"/>
              <w:right w:w="120" w:type="dxa"/>
            </w:tcMar>
          </w:tcPr>
          <w:p>
            <w:r>
              <w:rPr>
                <w:color w:val="334155"/>
                <w:sz w:val="19"/>
              </w:rPr>
              <w:t>High</w:t>
            </w:r>
          </w:p>
        </w:tc>
      </w:tr>
      <w:tr>
        <w:tc>
          <w:tcPr>
            <w:tcW w:type="dxa" w:w="2340"/>
            <w:shd w:fill="F8FAFC"/>
            <w:tcMar>
              <w:top w:w="80" w:type="dxa"/>
              <w:bottom w:w="80" w:type="dxa"/>
              <w:left w:w="120" w:type="dxa"/>
              <w:right w:w="120" w:type="dxa"/>
            </w:tcMar>
          </w:tcPr>
          <w:p>
            <w:r>
              <w:rPr>
                <w:color w:val="334155"/>
                <w:sz w:val="19"/>
              </w:rPr>
              <w:t>**FR-4.1**</w:t>
            </w:r>
          </w:p>
        </w:tc>
        <w:tc>
          <w:tcPr>
            <w:tcW w:type="dxa" w:w="2340"/>
            <w:shd w:fill="F8FAFC"/>
            <w:tcMar>
              <w:top w:w="80" w:type="dxa"/>
              <w:bottom w:w="80" w:type="dxa"/>
              <w:left w:w="120" w:type="dxa"/>
              <w:right w:w="120" w:type="dxa"/>
            </w:tcMar>
          </w:tcPr>
          <w:p>
            <w:r>
              <w:rPr>
                <w:color w:val="334155"/>
                <w:sz w:val="19"/>
              </w:rPr>
              <w:t>Text-to-Speech (TTS)</w:t>
            </w:r>
          </w:p>
        </w:tc>
        <w:tc>
          <w:tcPr>
            <w:tcW w:type="dxa" w:w="2340"/>
            <w:shd w:fill="F8FAFC"/>
            <w:tcMar>
              <w:top w:w="80" w:type="dxa"/>
              <w:bottom w:w="80" w:type="dxa"/>
              <w:left w:w="120" w:type="dxa"/>
              <w:right w:w="120" w:type="dxa"/>
            </w:tcMar>
          </w:tcPr>
          <w:p>
            <w:r>
              <w:rPr>
                <w:color w:val="334155"/>
                <w:sz w:val="19"/>
              </w:rPr>
              <w:t>The system shall synthesize reading text into natural audio using the Web Speech API or backend TTS services, supporting play, pause, resume, and variable playback rates ($0.75\times\text{--}2.0\times$).</w:t>
            </w:r>
          </w:p>
        </w:tc>
        <w:tc>
          <w:tcPr>
            <w:tcW w:type="dxa" w:w="2340"/>
            <w:shd w:fill="F8FAFC"/>
            <w:tcMar>
              <w:top w:w="80" w:type="dxa"/>
              <w:bottom w:w="80" w:type="dxa"/>
              <w:left w:w="120" w:type="dxa"/>
              <w:right w:w="120" w:type="dxa"/>
            </w:tcMar>
          </w:tcPr>
          <w:p>
            <w:r>
              <w:rPr>
                <w:color w:val="334155"/>
                <w:sz w:val="19"/>
              </w:rPr>
              <w:t>High</w:t>
            </w:r>
          </w:p>
        </w:tc>
      </w:tr>
      <w:tr>
        <w:tc>
          <w:tcPr>
            <w:tcW w:type="dxa" w:w="2340"/>
            <w:shd w:fill="FFFFFF"/>
            <w:tcMar>
              <w:top w:w="80" w:type="dxa"/>
              <w:bottom w:w="80" w:type="dxa"/>
              <w:left w:w="120" w:type="dxa"/>
              <w:right w:w="120" w:type="dxa"/>
            </w:tcMar>
          </w:tcPr>
          <w:p>
            <w:r>
              <w:rPr>
                <w:color w:val="334155"/>
                <w:sz w:val="19"/>
              </w:rPr>
              <w:t>**FR-4.2**</w:t>
            </w:r>
          </w:p>
        </w:tc>
        <w:tc>
          <w:tcPr>
            <w:tcW w:type="dxa" w:w="2340"/>
            <w:shd w:fill="FFFFFF"/>
            <w:tcMar>
              <w:top w:w="80" w:type="dxa"/>
              <w:bottom w:w="80" w:type="dxa"/>
              <w:left w:w="120" w:type="dxa"/>
              <w:right w:w="120" w:type="dxa"/>
            </w:tcMar>
          </w:tcPr>
          <w:p>
            <w:r>
              <w:rPr>
                <w:color w:val="334155"/>
                <w:sz w:val="19"/>
              </w:rPr>
              <w:t>Sentence Focus Highlighting</w:t>
            </w:r>
          </w:p>
        </w:tc>
        <w:tc>
          <w:tcPr>
            <w:tcW w:type="dxa" w:w="2340"/>
            <w:shd w:fill="FFFFFF"/>
            <w:tcMar>
              <w:top w:w="80" w:type="dxa"/>
              <w:bottom w:w="80" w:type="dxa"/>
              <w:left w:w="120" w:type="dxa"/>
              <w:right w:w="120" w:type="dxa"/>
            </w:tcMar>
          </w:tcPr>
          <w:p>
            <w:r>
              <w:rPr>
                <w:color w:val="334155"/>
                <w:sz w:val="19"/>
              </w:rPr>
              <w:t>The system shall visually highlight the active sentence in real time as audio plays, keeping the reading focus centered and scrolling smoothly.</w:t>
            </w:r>
          </w:p>
        </w:tc>
        <w:tc>
          <w:tcPr>
            <w:tcW w:type="dxa" w:w="2340"/>
            <w:shd w:fill="FFFFFF"/>
            <w:tcMar>
              <w:top w:w="80" w:type="dxa"/>
              <w:bottom w:w="80" w:type="dxa"/>
              <w:left w:w="120" w:type="dxa"/>
              <w:right w:w="120" w:type="dxa"/>
            </w:tcMar>
          </w:tcPr>
          <w:p>
            <w:r>
              <w:rPr>
                <w:color w:val="334155"/>
                <w:sz w:val="19"/>
              </w:rPr>
              <w:t>High</w:t>
            </w:r>
          </w:p>
        </w:tc>
      </w:tr>
      <w:tr>
        <w:tc>
          <w:tcPr>
            <w:tcW w:type="dxa" w:w="2340"/>
            <w:shd w:fill="F8FAFC"/>
            <w:tcMar>
              <w:top w:w="80" w:type="dxa"/>
              <w:bottom w:w="80" w:type="dxa"/>
              <w:left w:w="120" w:type="dxa"/>
              <w:right w:w="120" w:type="dxa"/>
            </w:tcMar>
          </w:tcPr>
          <w:p>
            <w:r>
              <w:rPr>
                <w:color w:val="334155"/>
                <w:sz w:val="19"/>
              </w:rPr>
              <w:t>**FR-5.1**</w:t>
            </w:r>
          </w:p>
        </w:tc>
        <w:tc>
          <w:tcPr>
            <w:tcW w:type="dxa" w:w="2340"/>
            <w:shd w:fill="F8FAFC"/>
            <w:tcMar>
              <w:top w:w="80" w:type="dxa"/>
              <w:bottom w:w="80" w:type="dxa"/>
              <w:left w:w="120" w:type="dxa"/>
              <w:right w:w="120" w:type="dxa"/>
            </w:tcMar>
          </w:tcPr>
          <w:p>
            <w:r>
              <w:rPr>
                <w:color w:val="334155"/>
                <w:sz w:val="19"/>
              </w:rPr>
              <w:t>Contextual AI Simplification</w:t>
            </w:r>
          </w:p>
        </w:tc>
        <w:tc>
          <w:tcPr>
            <w:tcW w:type="dxa" w:w="2340"/>
            <w:shd w:fill="F8FAFC"/>
            <w:tcMar>
              <w:top w:w="80" w:type="dxa"/>
              <w:bottom w:w="80" w:type="dxa"/>
              <w:left w:w="120" w:type="dxa"/>
              <w:right w:w="120" w:type="dxa"/>
            </w:tcMar>
          </w:tcPr>
          <w:p>
            <w:r>
              <w:rPr>
                <w:color w:val="334155"/>
                <w:sz w:val="19"/>
              </w:rPr>
              <w:t>The system shall provide on-demand contextual simplification of selected dense paragraphs and explain technical jargon into plain language.</w:t>
            </w:r>
          </w:p>
        </w:tc>
        <w:tc>
          <w:tcPr>
            <w:tcW w:type="dxa" w:w="2340"/>
            <w:shd w:fill="F8FAFC"/>
            <w:tcMar>
              <w:top w:w="80" w:type="dxa"/>
              <w:bottom w:w="80" w:type="dxa"/>
              <w:left w:w="120" w:type="dxa"/>
              <w:right w:w="120" w:type="dxa"/>
            </w:tcMar>
          </w:tcPr>
          <w:p>
            <w:r>
              <w:rPr>
                <w:color w:val="334155"/>
                <w:sz w:val="19"/>
              </w:rPr>
              <w:t>Medium</w:t>
            </w:r>
          </w:p>
        </w:tc>
      </w:tr>
      <w:tr>
        <w:tc>
          <w:tcPr>
            <w:tcW w:type="dxa" w:w="2340"/>
            <w:shd w:fill="FFFFFF"/>
            <w:tcMar>
              <w:top w:w="80" w:type="dxa"/>
              <w:bottom w:w="80" w:type="dxa"/>
              <w:left w:w="120" w:type="dxa"/>
              <w:right w:w="120" w:type="dxa"/>
            </w:tcMar>
          </w:tcPr>
          <w:p>
            <w:r>
              <w:rPr>
                <w:color w:val="334155"/>
                <w:sz w:val="19"/>
              </w:rPr>
              <w:t>**FR-5.2**</w:t>
            </w:r>
          </w:p>
        </w:tc>
        <w:tc>
          <w:tcPr>
            <w:tcW w:type="dxa" w:w="2340"/>
            <w:shd w:fill="FFFFFF"/>
            <w:tcMar>
              <w:top w:w="80" w:type="dxa"/>
              <w:bottom w:w="80" w:type="dxa"/>
              <w:left w:w="120" w:type="dxa"/>
              <w:right w:w="120" w:type="dxa"/>
            </w:tcMar>
          </w:tcPr>
          <w:p>
            <w:r>
              <w:rPr>
                <w:color w:val="334155"/>
                <w:sz w:val="19"/>
              </w:rPr>
              <w:t>Document Summarization</w:t>
            </w:r>
          </w:p>
        </w:tc>
        <w:tc>
          <w:tcPr>
            <w:tcW w:type="dxa" w:w="2340"/>
            <w:shd w:fill="FFFFFF"/>
            <w:tcMar>
              <w:top w:w="80" w:type="dxa"/>
              <w:bottom w:w="80" w:type="dxa"/>
              <w:left w:w="120" w:type="dxa"/>
              <w:right w:w="120" w:type="dxa"/>
            </w:tcMar>
          </w:tcPr>
          <w:p>
            <w:r>
              <w:rPr>
                <w:color w:val="334155"/>
                <w:sz w:val="19"/>
              </w:rPr>
              <w:t>The system shall generate executive chapter-level or section-level summaries on demand to aid rapid document comprehension.</w:t>
            </w:r>
          </w:p>
        </w:tc>
        <w:tc>
          <w:tcPr>
            <w:tcW w:type="dxa" w:w="2340"/>
            <w:shd w:fill="FFFFFF"/>
            <w:tcMar>
              <w:top w:w="80" w:type="dxa"/>
              <w:bottom w:w="80" w:type="dxa"/>
              <w:left w:w="120" w:type="dxa"/>
              <w:right w:w="120" w:type="dxa"/>
            </w:tcMar>
          </w:tcPr>
          <w:p>
            <w:r>
              <w:rPr>
                <w:color w:val="334155"/>
                <w:sz w:val="19"/>
              </w:rPr>
              <w:t>Medium</w:t>
            </w:r>
          </w:p>
        </w:tc>
      </w:tr>
      <w:tr>
        <w:tc>
          <w:tcPr>
            <w:tcW w:type="dxa" w:w="2340"/>
            <w:shd w:fill="F8FAFC"/>
            <w:tcMar>
              <w:top w:w="80" w:type="dxa"/>
              <w:bottom w:w="80" w:type="dxa"/>
              <w:left w:w="120" w:type="dxa"/>
              <w:right w:w="120" w:type="dxa"/>
            </w:tcMar>
          </w:tcPr>
          <w:p>
            <w:r>
              <w:rPr>
                <w:color w:val="334155"/>
                <w:sz w:val="19"/>
              </w:rPr>
              <w:t>**FR-6.1**</w:t>
            </w:r>
          </w:p>
        </w:tc>
        <w:tc>
          <w:tcPr>
            <w:tcW w:type="dxa" w:w="2340"/>
            <w:shd w:fill="F8FAFC"/>
            <w:tcMar>
              <w:top w:w="80" w:type="dxa"/>
              <w:bottom w:w="80" w:type="dxa"/>
              <w:left w:w="120" w:type="dxa"/>
              <w:right w:w="120" w:type="dxa"/>
            </w:tcMar>
          </w:tcPr>
          <w:p>
            <w:r>
              <w:rPr>
                <w:color w:val="334155"/>
                <w:sz w:val="19"/>
              </w:rPr>
              <w:t>Bookmarks &amp; Annotation</w:t>
            </w:r>
          </w:p>
        </w:tc>
        <w:tc>
          <w:tcPr>
            <w:tcW w:type="dxa" w:w="2340"/>
            <w:shd w:fill="F8FAFC"/>
            <w:tcMar>
              <w:top w:w="80" w:type="dxa"/>
              <w:bottom w:w="80" w:type="dxa"/>
              <w:left w:w="120" w:type="dxa"/>
              <w:right w:w="120" w:type="dxa"/>
            </w:tcMar>
          </w:tcPr>
          <w:p>
            <w:r>
              <w:rPr>
                <w:color w:val="334155"/>
                <w:sz w:val="19"/>
              </w:rPr>
              <w:t>The system shall allow users to highlight phrases, create sticky margin notes, and bookmark specific page numbers or percentage offsets.</w:t>
            </w:r>
          </w:p>
        </w:tc>
        <w:tc>
          <w:tcPr>
            <w:tcW w:type="dxa" w:w="2340"/>
            <w:shd w:fill="F8FAFC"/>
            <w:tcMar>
              <w:top w:w="80" w:type="dxa"/>
              <w:bottom w:w="80" w:type="dxa"/>
              <w:left w:w="120" w:type="dxa"/>
              <w:right w:w="120" w:type="dxa"/>
            </w:tcMar>
          </w:tcPr>
          <w:p>
            <w:r>
              <w:rPr>
                <w:color w:val="334155"/>
                <w:sz w:val="19"/>
              </w:rPr>
              <w:t>Medium</w:t>
            </w:r>
          </w:p>
        </w:tc>
      </w:tr>
      <w:tr>
        <w:tc>
          <w:tcPr>
            <w:tcW w:type="dxa" w:w="2340"/>
            <w:shd w:fill="FFFFFF"/>
            <w:tcMar>
              <w:top w:w="80" w:type="dxa"/>
              <w:bottom w:w="80" w:type="dxa"/>
              <w:left w:w="120" w:type="dxa"/>
              <w:right w:w="120" w:type="dxa"/>
            </w:tcMar>
          </w:tcPr>
          <w:p>
            <w:r>
              <w:rPr>
                <w:color w:val="334155"/>
                <w:sz w:val="19"/>
              </w:rPr>
              <w:t>**FR-6.2**</w:t>
            </w:r>
          </w:p>
        </w:tc>
        <w:tc>
          <w:tcPr>
            <w:tcW w:type="dxa" w:w="2340"/>
            <w:shd w:fill="FFFFFF"/>
            <w:tcMar>
              <w:top w:w="80" w:type="dxa"/>
              <w:bottom w:w="80" w:type="dxa"/>
              <w:left w:w="120" w:type="dxa"/>
              <w:right w:w="120" w:type="dxa"/>
            </w:tcMar>
          </w:tcPr>
          <w:p>
            <w:r>
              <w:rPr>
                <w:color w:val="334155"/>
                <w:sz w:val="19"/>
              </w:rPr>
              <w:t>Reading Progress &amp; History</w:t>
            </w:r>
          </w:p>
        </w:tc>
        <w:tc>
          <w:tcPr>
            <w:tcW w:type="dxa" w:w="2340"/>
            <w:shd w:fill="FFFFFF"/>
            <w:tcMar>
              <w:top w:w="80" w:type="dxa"/>
              <w:bottom w:w="80" w:type="dxa"/>
              <w:left w:w="120" w:type="dxa"/>
              <w:right w:w="120" w:type="dxa"/>
            </w:tcMar>
          </w:tcPr>
          <w:p>
            <w:r>
              <w:rPr>
                <w:color w:val="334155"/>
                <w:sz w:val="19"/>
              </w:rPr>
              <w:t>The system shall track reading session duration, document completion percentage, reading streaks, and last-read timestamps.</w:t>
            </w:r>
          </w:p>
        </w:tc>
        <w:tc>
          <w:tcPr>
            <w:tcW w:type="dxa" w:w="2340"/>
            <w:shd w:fill="FFFFFF"/>
            <w:tcMar>
              <w:top w:w="80" w:type="dxa"/>
              <w:bottom w:w="80" w:type="dxa"/>
              <w:left w:w="120" w:type="dxa"/>
              <w:right w:w="120" w:type="dxa"/>
            </w:tcMar>
          </w:tcPr>
          <w:p>
            <w:r>
              <w:rPr>
                <w:color w:val="334155"/>
                <w:sz w:val="19"/>
              </w:rPr>
              <w:t>Medium</w:t>
            </w:r>
          </w:p>
        </w:tc>
      </w:tr>
    </w:tbl>
    <w:p/>
    <w:p>
      <w:pPr>
        <w:spacing w:before="120" w:after="120"/>
      </w:pPr>
      <w:r>
        <w:rPr>
          <w:color w:val="CBD5E1"/>
        </w:rPr>
        <w:t>―――――――――――――――――――――――――――――――――――――――――――――</w:t>
      </w:r>
    </w:p>
    <w:p>
      <w:pPr>
        <w:spacing w:before="200" w:after="80"/>
      </w:pPr>
      <w:r>
        <w:rPr>
          <w:rFonts w:ascii="Calibri" w:hAnsi="Calibri"/>
          <w:b/>
          <w:color w:val="134E4A"/>
          <w:sz w:val="30"/>
        </w:rPr>
        <w:t>3. Non-Functional Requirements (NFR)</w:t>
      </w:r>
    </w:p>
    <w:p>
      <w:pPr>
        <w:spacing w:before="160" w:after="60"/>
      </w:pPr>
      <w:r>
        <w:rPr>
          <w:rFonts w:ascii="Calibri" w:hAnsi="Calibri"/>
          <w:b/>
          <w:color w:val="334155"/>
          <w:sz w:val="25"/>
        </w:rPr>
        <w:t>3.1 Performance Requirements</w:t>
      </w:r>
    </w:p>
    <w:p>
      <w:pPr>
        <w:pStyle w:val="ListBullet"/>
        <w:spacing w:before="20" w:after="20"/>
      </w:pPr>
      <w:r/>
      <w:r>
        <w:rPr>
          <w:b/>
        </w:rPr>
        <w:t>NFR-P1 (Response Time):</w:t>
      </w:r>
      <w:r>
        <w:t xml:space="preserve"> User authentication, preference updates, and document library queries shall respond in $&lt; 300\text{ ms}$ under normal network conditions.</w:t>
      </w:r>
    </w:p>
    <w:p>
      <w:pPr>
        <w:pStyle w:val="ListBullet"/>
        <w:spacing w:before="20" w:after="20"/>
      </w:pPr>
      <w:r/>
      <w:r>
        <w:rPr>
          <w:b/>
        </w:rPr>
        <w:t>NFR-P2 (Document Ingestion Latency):</w:t>
      </w:r>
      <w:r>
        <w:t xml:space="preserve"> PDF parsing and text extraction for documents under 10 MB shall complete within $&lt; 3.0\text{ seconds}$.</w:t>
      </w:r>
    </w:p>
    <w:p>
      <w:pPr>
        <w:pStyle w:val="ListBullet"/>
        <w:spacing w:before="20" w:after="20"/>
      </w:pPr>
      <w:r/>
      <w:r>
        <w:rPr>
          <w:b/>
        </w:rPr>
        <w:t>NFR-P3 (TTS Audio Latency):</w:t>
      </w:r>
      <w:r>
        <w:t xml:space="preserve"> Audio playback initialization for selected sentences shall begin within $&lt; 250\text{ ms}$.</w:t>
      </w:r>
    </w:p>
    <w:p>
      <w:pPr>
        <w:spacing w:before="160" w:after="60"/>
      </w:pPr>
      <w:r>
        <w:rPr>
          <w:rFonts w:ascii="Calibri" w:hAnsi="Calibri"/>
          <w:b/>
          <w:color w:val="334155"/>
          <w:sz w:val="25"/>
        </w:rPr>
        <w:t>3.2 Usability &amp; Accessibility Requirements</w:t>
      </w:r>
    </w:p>
    <w:p>
      <w:pPr>
        <w:pStyle w:val="ListBullet"/>
        <w:spacing w:before="20" w:after="20"/>
      </w:pPr>
      <w:r/>
      <w:r>
        <w:rPr>
          <w:b/>
        </w:rPr>
        <w:t>NFR-U1 (WCAG 2.1 Compliance):</w:t>
      </w:r>
      <w:r>
        <w:t xml:space="preserve"> The user interface shall conform strictly to </w:t>
      </w:r>
      <w:r>
        <w:rPr>
          <w:b/>
        </w:rPr>
        <w:t>WCAG 2.1 Level AA</w:t>
      </w:r>
      <w:r>
        <w:t xml:space="preserve"> standards, ensuring contrast ratios of $\ge 4.5:1$ for regular text and $\ge 3:1$ for large text/interactive components.</w:t>
      </w:r>
    </w:p>
    <w:p>
      <w:pPr>
        <w:pStyle w:val="ListBullet"/>
        <w:spacing w:before="20" w:after="20"/>
      </w:pPr>
      <w:r/>
      <w:r>
        <w:rPr>
          <w:b/>
        </w:rPr>
        <w:t>NFR-U2 (Keyboard Operability):</w:t>
      </w:r>
      <w:r>
        <w:t xml:space="preserve"> All interactive features (reading controls, navigation, TTS triggers) must be $100\%$ operable via keyboard navigation (`Tab`, `Enter`, `Space`, and shortcut keys).</w:t>
      </w:r>
    </w:p>
    <w:p>
      <w:pPr>
        <w:pStyle w:val="ListBullet"/>
        <w:spacing w:before="20" w:after="20"/>
      </w:pPr>
      <w:r/>
      <w:r>
        <w:rPr>
          <w:b/>
        </w:rPr>
        <w:t>NFR-U3 (Responsive Presentation):</w:t>
      </w:r>
      <w:r>
        <w:t xml:space="preserve"> The interface shall be fully responsive across mobile ($360\text{px}$), tablet ($768\text{px}$), and desktop ($1024\text{px}+$ viewports) without text clipping or horizontal scrolling.</w:t>
      </w:r>
    </w:p>
    <w:p>
      <w:pPr>
        <w:spacing w:before="160" w:after="60"/>
      </w:pPr>
      <w:r>
        <w:rPr>
          <w:rFonts w:ascii="Calibri" w:hAnsi="Calibri"/>
          <w:b/>
          <w:color w:val="334155"/>
          <w:sz w:val="25"/>
        </w:rPr>
        <w:t>3.3 Security Requirements</w:t>
      </w:r>
    </w:p>
    <w:p>
      <w:pPr>
        <w:pStyle w:val="ListBullet"/>
        <w:spacing w:before="20" w:after="20"/>
      </w:pPr>
      <w:r/>
      <w:r>
        <w:rPr>
          <w:b/>
        </w:rPr>
        <w:t>NFR-S1 (Data Confidentiality):</w:t>
      </w:r>
      <w:r>
        <w:t xml:space="preserve"> All passwords shall be hashed using bcrypt with salt factor 12 before storage. Plaintext passwords shall never be logged or stored.</w:t>
      </w:r>
    </w:p>
    <w:p>
      <w:pPr>
        <w:pStyle w:val="ListBullet"/>
        <w:spacing w:before="20" w:after="20"/>
      </w:pPr>
      <w:r/>
      <w:r>
        <w:rPr>
          <w:b/>
        </w:rPr>
        <w:t>NFR-S2 (API Security):</w:t>
      </w:r>
      <w:r>
        <w:t xml:space="preserve"> All protected endpoints must require a valid JWT header (`Authorization: Bearer &lt;token&gt;`). Tokens must be signed with a minimum 256-bit secret key.</w:t>
      </w:r>
    </w:p>
    <w:p>
      <w:pPr>
        <w:pStyle w:val="ListBullet"/>
        <w:spacing w:before="20" w:after="20"/>
      </w:pPr>
      <w:r/>
      <w:r>
        <w:rPr>
          <w:b/>
        </w:rPr>
        <w:t>NFR-S3 (Injection Prevention):</w:t>
      </w:r>
      <w:r>
        <w:t xml:space="preserve"> Database access via Prisma ORM / parameterized queries must prevent SQL and NoSQL injection vulnerabilities. File uploads must be checked for payload safety and MIME spoofing.</w:t>
      </w:r>
    </w:p>
    <w:p>
      <w:pPr>
        <w:spacing w:before="160" w:after="60"/>
      </w:pPr>
      <w:r>
        <w:rPr>
          <w:rFonts w:ascii="Calibri" w:hAnsi="Calibri"/>
          <w:b/>
          <w:color w:val="334155"/>
          <w:sz w:val="25"/>
        </w:rPr>
        <w:t>3.4 Reliability, Availability &amp; Maintainability</w:t>
      </w:r>
    </w:p>
    <w:p>
      <w:pPr>
        <w:pStyle w:val="ListBullet"/>
        <w:spacing w:before="20" w:after="20"/>
      </w:pPr>
      <w:r/>
      <w:r>
        <w:rPr>
          <w:b/>
        </w:rPr>
        <w:t>NFR-R1 (System Availability):</w:t>
      </w:r>
      <w:r>
        <w:t xml:space="preserve"> The application shall maintain $99.5\%$ operational uptime.</w:t>
      </w:r>
    </w:p>
    <w:p>
      <w:pPr>
        <w:pStyle w:val="ListBullet"/>
        <w:spacing w:before="20" w:after="20"/>
      </w:pPr>
      <w:r/>
      <w:r>
        <w:rPr>
          <w:b/>
        </w:rPr>
        <w:t>NFR-R2 (Graceful Degradation):</w:t>
      </w:r>
      <w:r>
        <w:t xml:space="preserve"> If AI services or remote network connectivity are unavailable, core reading, local font customization, and native browser TTS must continue operating uninterrupted.</w:t>
      </w:r>
    </w:p>
    <w:p>
      <w:pPr>
        <w:pStyle w:val="ListBullet"/>
        <w:spacing w:before="20" w:after="20"/>
      </w:pPr>
      <w:r/>
      <w:r>
        <w:rPr>
          <w:b/>
        </w:rPr>
        <w:t>NFR-M1 (Modularity):</w:t>
      </w:r>
      <w:r>
        <w:t xml:space="preserve"> The codebase shall enforce strict separation of concerns into Controller, Service, Route, and Middleware layers on the backend, and component-level isolation on the frontend.</w:t>
      </w:r>
    </w:p>
    <w:p>
      <w:pPr>
        <w:spacing w:before="120" w:after="120"/>
      </w:pPr>
      <w:r>
        <w:rPr>
          <w:color w:val="CBD5E1"/>
        </w:rPr>
        <w:t>―――――――――――――――――――――――――――――――――――――――――――――</w:t>
      </w:r>
    </w:p>
    <w:p>
      <w:pPr>
        <w:spacing w:before="200" w:after="80"/>
      </w:pPr>
      <w:r>
        <w:rPr>
          <w:rFonts w:ascii="Calibri" w:hAnsi="Calibri"/>
          <w:b/>
          <w:color w:val="134E4A"/>
          <w:sz w:val="30"/>
        </w:rPr>
        <w:t>4. Relevant SRS Section: System Interfaces &amp; Operational Environment</w:t>
      </w:r>
    </w:p>
    <w:p>
      <w:pPr>
        <w:spacing w:before="80" w:after="80"/>
        <w:ind w:left="432" w:right="432"/>
      </w:pPr>
      <w:r>
        <w:rPr>
          <w:rFonts w:ascii="Consolas" w:hAnsi="Consolas"/>
          <w:color w:val="0F172A"/>
          <w:sz w:val="19"/>
        </w:rPr>
        <w:t>+-----------------------------------------------------------------------------------+</w:t>
        <w:br/>
        <w:t>|                            ReadAble System Architecture                           |</w:t>
        <w:br/>
        <w:t>+-----------------------------------------------------------------------------------+</w:t>
        <w:br/>
        <w:t>|  [Client Viewport: Browser]                                                       |</w:t>
        <w:br/>
        <w:t>|    - React 19 + TypeScript + Vite + TanStack Router                               |</w:t>
        <w:br/>
        <w:t>|    - Tailwind CSS + Lucide Icons + Web Speech Synthesis Audio Bridge              |</w:t>
        <w:br/>
        <w:t>+-----------------------------------------+-----------------------------------------+</w:t>
        <w:br/>
        <w:t xml:space="preserve">                                          | HTTP / REST (JSON + JWT via /api)</w:t>
        <w:br/>
        <w:t xml:space="preserve">                                          v</w:t>
        <w:br/>
        <w:t>+-----------------------------------------------------------------------------------+</w:t>
        <w:br/>
        <w:t>|  [Application Server: Node.js &amp; Express.js]                                       |</w:t>
        <w:br/>
        <w:t>|    - Authentication Middleware (JWT &amp; Bcrypt)                                     |</w:t>
        <w:br/>
        <w:t>|    - Document Controller &amp; Multer Ingestion Engine                                |</w:t>
        <w:br/>
        <w:t>|    - Reading &amp; Preferences Service                                                |</w:t>
        <w:br/>
        <w:t>|    - Error &amp; Validation Handler                                                   |</w:t>
        <w:br/>
        <w:t>+-------------------+-----------------------------------+---------------------------+</w:t>
        <w:br/>
        <w:t xml:space="preserve">                    |                                   |</w:t>
        <w:br/>
        <w:t xml:space="preserve">                    v (Prisma ORM / MySQL / Postgres)   v (AWS SDK / File System)</w:t>
        <w:br/>
        <w:t>+------------------------------------+   +------------------------------------------+</w:t>
        <w:br/>
        <w:t>|  [Database Layer: SQL / MongoDB]   |   |  [Storage Layer: S3 / Local Disk]        |</w:t>
        <w:br/>
        <w:t>|  - Users, Documents, Sessions,     |   |  - Uploaded Raw PDFs &amp; Assets            |</w:t>
        <w:br/>
        <w:t>|    Preferences, Bookmarks, Notes   |   +------------------------------------------+</w:t>
        <w:br/>
        <w:t>+------------------------------------+</w:t>
        <w:br/>
      </w:r>
    </w:p>
    <w:p>
      <w:pPr>
        <w:spacing w:before="160" w:after="60"/>
      </w:pPr>
      <w:r>
        <w:rPr>
          <w:rFonts w:ascii="Calibri" w:hAnsi="Calibri"/>
          <w:b/>
          <w:color w:val="334155"/>
          <w:sz w:val="25"/>
        </w:rPr>
        <w:t>4.1 Target Users and Personas</w:t>
      </w:r>
    </w:p>
    <w:p>
      <w:pPr>
        <w:pStyle w:val="ListNumber"/>
        <w:spacing w:before="20" w:after="20"/>
      </w:pPr>
      <w:r/>
      <w:r>
        <w:rPr>
          <w:b/>
        </w:rPr>
        <w:t>Academic Students / Researchers:</w:t>
      </w:r>
      <w:r>
        <w:t xml:space="preserve"> Need rapid comprehension of dense technical papers and ability to annotate key concepts.</w:t>
      </w:r>
    </w:p>
    <w:p>
      <w:pPr>
        <w:pStyle w:val="ListNumber"/>
        <w:spacing w:before="20" w:after="20"/>
      </w:pPr>
      <w:r/>
      <w:r>
        <w:rPr>
          <w:b/>
        </w:rPr>
        <w:t>Readers with Neurodivergence (Dyslexia / ADHD):</w:t>
      </w:r>
      <w:r>
        <w:t xml:space="preserve"> Require customized font tracking, focus line rulers, high contrast, and voice-assisted reinforcement to maintain focus.</w:t>
      </w:r>
    </w:p>
    <w:p>
      <w:pPr>
        <w:pStyle w:val="ListNumber"/>
        <w:spacing w:before="20" w:after="20"/>
      </w:pPr>
      <w:r/>
      <w:r>
        <w:rPr>
          <w:b/>
        </w:rPr>
        <w:t>Visually Impaired Users:</w:t>
      </w:r>
      <w:r>
        <w:t xml:space="preserve"> Rely on scalable UI typography ($130\%+$) and screen-reader/TTS narration.</w:t>
      </w:r>
    </w:p>
    <w:p>
      <w:pPr>
        <w:spacing w:before="160" w:after="60"/>
      </w:pPr>
      <w:r>
        <w:rPr>
          <w:rFonts w:ascii="Calibri" w:hAnsi="Calibri"/>
          <w:b/>
          <w:color w:val="334155"/>
          <w:sz w:val="25"/>
        </w:rPr>
        <w:t>4.2 System Constraints</w:t>
      </w:r>
    </w:p>
    <w:p>
      <w:pPr>
        <w:pStyle w:val="ListBullet"/>
        <w:spacing w:before="20" w:after="20"/>
      </w:pPr>
      <w:r>
        <w:t>Server environment: Node.js runtime $\ge \text{v18.0}$.</w:t>
      </w:r>
    </w:p>
    <w:p>
      <w:pPr>
        <w:pStyle w:val="ListBullet"/>
        <w:spacing w:before="20" w:after="20"/>
      </w:pPr>
      <w:r>
        <w:t>Client environment: Modern Chromium, Gecko, or WebKit browser with HTML5 and Web Speech API support.</w:t>
      </w:r>
    </w:p>
    <w:p>
      <w:pPr>
        <w:pStyle w:val="ListBullet"/>
        <w:spacing w:before="20" w:after="20"/>
      </w:pPr>
      <w:r>
        <w:t>Database: PostgreSQL 16 / MySQL 8.0 (XAMPP/WAMP compatible) managed via Prisma 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