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17FC" w14:textId="2351E604" w:rsidR="00DB4E63" w:rsidRDefault="00F2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S. Heo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Investments</w:t>
      </w:r>
    </w:p>
    <w:p w14:paraId="2970827B" w14:textId="19063B68" w:rsidR="00F2378B" w:rsidRDefault="00F2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02278520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GSF2022</w:t>
      </w:r>
    </w:p>
    <w:p w14:paraId="7036CD49" w14:textId="016E4BD4" w:rsidR="00F2378B" w:rsidRDefault="00F2378B">
      <w:pPr>
        <w:rPr>
          <w:rFonts w:ascii="Times New Roman" w:hAnsi="Times New Roman" w:cs="Times New Roman"/>
          <w:sz w:val="24"/>
          <w:szCs w:val="24"/>
        </w:rPr>
      </w:pPr>
    </w:p>
    <w:p w14:paraId="7F5FC37A" w14:textId="1F21B7A9" w:rsidR="00F2378B" w:rsidRPr="003B436D" w:rsidRDefault="00F2378B" w:rsidP="00F23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36D">
        <w:rPr>
          <w:rFonts w:ascii="Times New Roman" w:hAnsi="Times New Roman" w:cs="Times New Roman"/>
          <w:b/>
          <w:bCs/>
          <w:sz w:val="28"/>
          <w:szCs w:val="28"/>
        </w:rPr>
        <w:t>Empirical Assignment</w:t>
      </w:r>
    </w:p>
    <w:p w14:paraId="25CCE358" w14:textId="403A6F93" w:rsidR="00F2378B" w:rsidRDefault="00F2378B" w:rsidP="00F23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7349E" w14:textId="01AE9A68" w:rsidR="00F2378B" w:rsidRPr="003B436D" w:rsidRDefault="00F2378B" w:rsidP="00F2378B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B436D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3B436D">
        <w:rPr>
          <w:rFonts w:ascii="Times New Roman" w:hAnsi="Times New Roman" w:cs="Times New Roman"/>
          <w:b/>
          <w:bCs/>
          <w:sz w:val="24"/>
          <w:szCs w:val="24"/>
        </w:rPr>
        <w:t>electing 10 stocks from the Korean stock market</w:t>
      </w:r>
    </w:p>
    <w:p w14:paraId="53741AAB" w14:textId="16536F4A" w:rsidR="00F2378B" w:rsidRDefault="007B2BF1" w:rsidP="003B436D">
      <w:pPr>
        <w:spacing w:line="480" w:lineRule="auto"/>
        <w:ind w:left="40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7B2BF1">
        <w:rPr>
          <w:rFonts w:ascii="Times New Roman" w:hAnsi="Times New Roman" w:cs="Times New Roman"/>
          <w:sz w:val="24"/>
          <w:szCs w:val="24"/>
        </w:rPr>
        <w:t>Stocks were selected based on one specific criteria, i.e., well performing stocks within the solar</w:t>
      </w:r>
      <w:r w:rsidR="005B11D8">
        <w:rPr>
          <w:rFonts w:ascii="Times New Roman" w:hAnsi="Times New Roman" w:cs="Times New Roman"/>
          <w:sz w:val="24"/>
          <w:szCs w:val="24"/>
        </w:rPr>
        <w:t xml:space="preserve"> </w:t>
      </w:r>
      <w:r w:rsidRPr="007B2BF1">
        <w:rPr>
          <w:rFonts w:ascii="Times New Roman" w:hAnsi="Times New Roman" w:cs="Times New Roman"/>
          <w:sz w:val="24"/>
          <w:szCs w:val="24"/>
        </w:rPr>
        <w:t>industry. This theme was chosen based on</w:t>
      </w:r>
      <w:r w:rsidR="005B11D8">
        <w:rPr>
          <w:rFonts w:ascii="Times New Roman" w:hAnsi="Times New Roman" w:cs="Times New Roman"/>
          <w:sz w:val="24"/>
          <w:szCs w:val="24"/>
        </w:rPr>
        <w:t xml:space="preserve"> the idea</w:t>
      </w:r>
      <w:r w:rsidR="00AF48E5">
        <w:rPr>
          <w:rFonts w:ascii="Times New Roman" w:hAnsi="Times New Roman" w:cs="Times New Roman"/>
          <w:sz w:val="24"/>
          <w:szCs w:val="24"/>
        </w:rPr>
        <w:t xml:space="preserve"> that</w:t>
      </w:r>
      <w:r w:rsidRPr="007B2BF1">
        <w:rPr>
          <w:rFonts w:ascii="Times New Roman" w:hAnsi="Times New Roman" w:cs="Times New Roman"/>
          <w:sz w:val="24"/>
          <w:szCs w:val="24"/>
        </w:rPr>
        <w:t xml:space="preserve"> ESG factor</w:t>
      </w:r>
      <w:r w:rsidR="00AF48E5">
        <w:rPr>
          <w:rFonts w:ascii="Times New Roman" w:hAnsi="Times New Roman" w:cs="Times New Roman"/>
          <w:sz w:val="24"/>
          <w:szCs w:val="24"/>
        </w:rPr>
        <w:t>s being supported are likely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7B2BF1">
        <w:rPr>
          <w:rFonts w:ascii="Times New Roman" w:hAnsi="Times New Roman" w:cs="Times New Roman"/>
          <w:sz w:val="24"/>
          <w:szCs w:val="24"/>
        </w:rPr>
        <w:t xml:space="preserve"> outperform the broad market. More precisely, it is focused on the time when the Korean President announced support for the solar </w:t>
      </w:r>
      <w:r w:rsidR="00B54E9C">
        <w:rPr>
          <w:rFonts w:ascii="Times New Roman" w:hAnsi="Times New Roman" w:cs="Times New Roman"/>
          <w:sz w:val="24"/>
          <w:szCs w:val="24"/>
        </w:rPr>
        <w:t>energy</w:t>
      </w:r>
      <w:r w:rsidRPr="007B2BF1">
        <w:rPr>
          <w:rFonts w:ascii="Times New Roman" w:hAnsi="Times New Roman" w:cs="Times New Roman"/>
          <w:sz w:val="24"/>
          <w:szCs w:val="24"/>
        </w:rPr>
        <w:t xml:space="preserve"> industry to remove reliance on nuclear energy.</w:t>
      </w:r>
      <w:r w:rsidR="00577AC5">
        <w:rPr>
          <w:rFonts w:ascii="Times New Roman" w:hAnsi="Times New Roman" w:cs="Times New Roman"/>
          <w:sz w:val="24"/>
          <w:szCs w:val="24"/>
        </w:rPr>
        <w:t xml:space="preserve"> </w:t>
      </w:r>
      <w:r w:rsidR="00204915">
        <w:rPr>
          <w:rFonts w:ascii="Times New Roman" w:hAnsi="Times New Roman" w:cs="Times New Roman"/>
          <w:sz w:val="24"/>
          <w:szCs w:val="24"/>
        </w:rPr>
        <w:t>The firms</w:t>
      </w:r>
      <w:r w:rsidR="00367F4B">
        <w:rPr>
          <w:rFonts w:ascii="Times New Roman" w:hAnsi="Times New Roman" w:cs="Times New Roman"/>
          <w:sz w:val="24"/>
          <w:szCs w:val="24"/>
        </w:rPr>
        <w:t xml:space="preserve"> chosen</w:t>
      </w:r>
      <w:r w:rsidR="00204915">
        <w:rPr>
          <w:rFonts w:ascii="Times New Roman" w:hAnsi="Times New Roman" w:cs="Times New Roman"/>
          <w:sz w:val="24"/>
          <w:szCs w:val="24"/>
        </w:rPr>
        <w:t xml:space="preserve"> offer variety of products such as displays, semiconductor chips, and materials for batteries. </w:t>
      </w:r>
      <w:r w:rsidR="00B6107E">
        <w:rPr>
          <w:rFonts w:ascii="Times New Roman" w:hAnsi="Times New Roman" w:cs="Times New Roman"/>
          <w:sz w:val="24"/>
          <w:szCs w:val="24"/>
        </w:rPr>
        <w:t xml:space="preserve">However, main reason for </w:t>
      </w:r>
      <w:r w:rsidR="00670F7F">
        <w:rPr>
          <w:rFonts w:ascii="Times New Roman" w:hAnsi="Times New Roman" w:cs="Times New Roman" w:hint="eastAsia"/>
          <w:sz w:val="24"/>
          <w:szCs w:val="24"/>
        </w:rPr>
        <w:t>i</w:t>
      </w:r>
      <w:r w:rsidR="00670F7F">
        <w:rPr>
          <w:rFonts w:ascii="Times New Roman" w:hAnsi="Times New Roman" w:cs="Times New Roman"/>
          <w:sz w:val="24"/>
          <w:szCs w:val="24"/>
        </w:rPr>
        <w:t>nclu</w:t>
      </w:r>
      <w:r w:rsidR="00DE37D8">
        <w:rPr>
          <w:rFonts w:ascii="Times New Roman" w:hAnsi="Times New Roman" w:cs="Times New Roman"/>
          <w:sz w:val="24"/>
          <w:szCs w:val="24"/>
        </w:rPr>
        <w:t>ding</w:t>
      </w:r>
      <w:r w:rsidR="00670F7F">
        <w:rPr>
          <w:rFonts w:ascii="Times New Roman" w:hAnsi="Times New Roman" w:cs="Times New Roman"/>
          <w:sz w:val="24"/>
          <w:szCs w:val="24"/>
        </w:rPr>
        <w:t xml:space="preserve"> these stocks</w:t>
      </w:r>
      <w:r w:rsidR="00DE37D8">
        <w:rPr>
          <w:rFonts w:ascii="Times New Roman" w:hAnsi="Times New Roman" w:cs="Times New Roman"/>
          <w:sz w:val="24"/>
          <w:szCs w:val="24"/>
        </w:rPr>
        <w:t xml:space="preserve"> for this research</w:t>
      </w:r>
      <w:r w:rsidR="00B6107E">
        <w:rPr>
          <w:rFonts w:ascii="Times New Roman" w:hAnsi="Times New Roman" w:cs="Times New Roman"/>
          <w:sz w:val="24"/>
          <w:szCs w:val="24"/>
        </w:rPr>
        <w:t xml:space="preserve"> were</w:t>
      </w:r>
      <w:r w:rsidR="00F46FC3">
        <w:rPr>
          <w:rFonts w:ascii="Times New Roman" w:hAnsi="Times New Roman" w:cs="Times New Roman"/>
          <w:sz w:val="24"/>
          <w:szCs w:val="24"/>
        </w:rPr>
        <w:t xml:space="preserve"> for their involvement in the solar energy space</w:t>
      </w:r>
      <w:r w:rsidR="00663E22">
        <w:rPr>
          <w:rFonts w:ascii="Times New Roman" w:hAnsi="Times New Roman" w:cs="Times New Roman"/>
          <w:sz w:val="24"/>
          <w:szCs w:val="24"/>
        </w:rPr>
        <w:t>, s</w:t>
      </w:r>
      <w:r w:rsidR="00F46FC3">
        <w:rPr>
          <w:rFonts w:ascii="Times New Roman" w:hAnsi="Times New Roman" w:cs="Times New Roman"/>
          <w:sz w:val="24"/>
          <w:szCs w:val="24"/>
        </w:rPr>
        <w:t xml:space="preserve">uch as </w:t>
      </w:r>
      <w:r w:rsidR="00F367BA">
        <w:rPr>
          <w:rFonts w:ascii="Times New Roman" w:hAnsi="Times New Roman" w:cs="Times New Roman"/>
          <w:sz w:val="24"/>
          <w:szCs w:val="24"/>
        </w:rPr>
        <w:t xml:space="preserve">the </w:t>
      </w:r>
      <w:r w:rsidR="00F46FC3">
        <w:rPr>
          <w:rFonts w:ascii="Times New Roman" w:hAnsi="Times New Roman" w:cs="Times New Roman"/>
          <w:sz w:val="24"/>
          <w:szCs w:val="24"/>
        </w:rPr>
        <w:t>solar battery technology and solar panels</w:t>
      </w:r>
      <w:r w:rsidR="00B75591">
        <w:rPr>
          <w:rFonts w:ascii="Times New Roman" w:hAnsi="Times New Roman" w:cs="Times New Roman"/>
          <w:sz w:val="24"/>
          <w:szCs w:val="24"/>
        </w:rPr>
        <w:t>.</w:t>
      </w:r>
      <w:r w:rsidR="00772EBF">
        <w:rPr>
          <w:rFonts w:ascii="Times New Roman" w:hAnsi="Times New Roman" w:cs="Times New Roman"/>
          <w:sz w:val="24"/>
          <w:szCs w:val="24"/>
        </w:rPr>
        <w:t xml:space="preserve"> The chosen stocks are listed below.</w:t>
      </w:r>
    </w:p>
    <w:p w14:paraId="2291666B" w14:textId="0F61E244" w:rsidR="00772EBF" w:rsidRPr="001C54D6" w:rsidRDefault="00F34B71" w:rsidP="00F50397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1C54D6">
        <w:rPr>
          <w:rFonts w:ascii="Times New Roman" w:hAnsi="Times New Roman" w:cs="Times New Roman" w:hint="eastAsia"/>
          <w:sz w:val="22"/>
        </w:rPr>
        <w:t>나노신소재</w:t>
      </w:r>
      <w:proofErr w:type="spellEnd"/>
    </w:p>
    <w:p w14:paraId="1BAC8E0A" w14:textId="77777777" w:rsidR="00682E6F" w:rsidRPr="001C54D6" w:rsidRDefault="00F34B71" w:rsidP="00F50397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1C54D6">
        <w:rPr>
          <w:rFonts w:ascii="Times New Roman" w:hAnsi="Times New Roman" w:cs="Times New Roman" w:hint="eastAsia"/>
          <w:sz w:val="22"/>
        </w:rPr>
        <w:t>대성파인택</w:t>
      </w:r>
      <w:proofErr w:type="spellEnd"/>
    </w:p>
    <w:p w14:paraId="111A9E2E" w14:textId="77777777" w:rsidR="00682E6F" w:rsidRPr="001C54D6" w:rsidRDefault="00F34B71" w:rsidP="00F50397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1C54D6">
        <w:rPr>
          <w:rFonts w:ascii="Times New Roman" w:hAnsi="Times New Roman" w:cs="Times New Roman" w:hint="eastAsia"/>
          <w:sz w:val="22"/>
        </w:rPr>
        <w:t>대주전자재료</w:t>
      </w:r>
      <w:proofErr w:type="spellEnd"/>
    </w:p>
    <w:p w14:paraId="0AD832CD" w14:textId="3733E99E" w:rsidR="00F34B71" w:rsidRPr="001C54D6" w:rsidRDefault="00F34B71" w:rsidP="00F50397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1C54D6">
        <w:rPr>
          <w:rFonts w:ascii="Times New Roman" w:hAnsi="Times New Roman" w:cs="Times New Roman" w:hint="eastAsia"/>
          <w:sz w:val="22"/>
        </w:rPr>
        <w:t>아바코</w:t>
      </w:r>
      <w:proofErr w:type="spellEnd"/>
    </w:p>
    <w:p w14:paraId="723D5D5F" w14:textId="130A7879" w:rsidR="00682E6F" w:rsidRPr="001C54D6" w:rsidRDefault="00682E6F" w:rsidP="00F50397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1C54D6">
        <w:rPr>
          <w:rFonts w:ascii="Times New Roman" w:hAnsi="Times New Roman" w:cs="Times New Roman" w:hint="eastAsia"/>
          <w:sz w:val="22"/>
        </w:rPr>
        <w:t>알에스오토메이션</w:t>
      </w:r>
      <w:proofErr w:type="spellEnd"/>
    </w:p>
    <w:p w14:paraId="13BC6545" w14:textId="41484D2B" w:rsidR="00682E6F" w:rsidRPr="001C54D6" w:rsidRDefault="00F50397" w:rsidP="00F50397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r w:rsidRPr="001C54D6">
        <w:rPr>
          <w:rFonts w:ascii="Times New Roman" w:hAnsi="Times New Roman" w:cs="Times New Roman" w:hint="eastAsia"/>
          <w:sz w:val="22"/>
        </w:rPr>
        <w:t>주성엔지니어링</w:t>
      </w:r>
    </w:p>
    <w:p w14:paraId="0DC551F3" w14:textId="3C1B37B0" w:rsidR="00F50397" w:rsidRPr="001C54D6" w:rsidRDefault="00F50397" w:rsidP="00F50397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1C54D6">
        <w:rPr>
          <w:rFonts w:ascii="Times New Roman" w:hAnsi="Times New Roman" w:cs="Times New Roman" w:hint="eastAsia"/>
          <w:sz w:val="22"/>
        </w:rPr>
        <w:t>주식회사케이씨씨</w:t>
      </w:r>
      <w:proofErr w:type="spellEnd"/>
    </w:p>
    <w:p w14:paraId="7B342A82" w14:textId="44BB96A7" w:rsidR="00F50397" w:rsidRPr="001C54D6" w:rsidRDefault="00F50397" w:rsidP="00F50397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1C54D6">
        <w:rPr>
          <w:rFonts w:ascii="Times New Roman" w:hAnsi="Times New Roman" w:cs="Times New Roman" w:hint="eastAsia"/>
          <w:sz w:val="22"/>
        </w:rPr>
        <w:t>코미코</w:t>
      </w:r>
      <w:proofErr w:type="spellEnd"/>
    </w:p>
    <w:p w14:paraId="2C2AA904" w14:textId="10003D9C" w:rsidR="00F50397" w:rsidRPr="00EC31A3" w:rsidRDefault="00F50397" w:rsidP="00EC31A3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1C54D6">
        <w:rPr>
          <w:rFonts w:ascii="Times New Roman" w:hAnsi="Times New Roman" w:cs="Times New Roman" w:hint="eastAsia"/>
          <w:sz w:val="22"/>
        </w:rPr>
        <w:t>한화소루션보통주</w:t>
      </w:r>
      <w:proofErr w:type="spellEnd"/>
    </w:p>
    <w:p w14:paraId="6E0F6070" w14:textId="6D21C613" w:rsidR="00F50397" w:rsidRDefault="00F50397" w:rsidP="00F5039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88EBE1B" w14:textId="77777777" w:rsidR="00F1077E" w:rsidRDefault="00F1077E" w:rsidP="00F1077E">
      <w:pPr>
        <w:pStyle w:val="a3"/>
        <w:spacing w:line="480" w:lineRule="auto"/>
        <w:ind w:leftChars="0" w:left="7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8C289" w14:textId="1B50DF2F" w:rsidR="00111E70" w:rsidRPr="001C54D6" w:rsidRDefault="00111E70" w:rsidP="00111E70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C54D6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1C54D6">
        <w:rPr>
          <w:rFonts w:ascii="Times New Roman" w:hAnsi="Times New Roman" w:cs="Times New Roman"/>
          <w:b/>
          <w:bCs/>
          <w:sz w:val="24"/>
          <w:szCs w:val="24"/>
        </w:rPr>
        <w:t>ollecting each stock’s daily return data</w:t>
      </w:r>
    </w:p>
    <w:p w14:paraId="4198FA1D" w14:textId="5D90ED4D" w:rsidR="00111E70" w:rsidRPr="00111E70" w:rsidRDefault="001C54D6" w:rsidP="00111E70">
      <w:pPr>
        <w:pStyle w:val="a3"/>
        <w:spacing w:line="48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for the 10 stocks were collected using the TS2000 application.</w:t>
      </w:r>
      <w:r w:rsidR="00EF586D">
        <w:rPr>
          <w:rFonts w:ascii="Times New Roman" w:hAnsi="Times New Roman" w:cs="Times New Roman"/>
          <w:sz w:val="24"/>
          <w:szCs w:val="24"/>
        </w:rPr>
        <w:t xml:space="preserve"> </w:t>
      </w:r>
      <w:r w:rsidR="00413DE4">
        <w:rPr>
          <w:rFonts w:ascii="Times New Roman" w:hAnsi="Times New Roman" w:cs="Times New Roman"/>
          <w:sz w:val="24"/>
          <w:szCs w:val="24"/>
        </w:rPr>
        <w:t xml:space="preserve">The price data retrieved were then </w:t>
      </w:r>
      <w:r w:rsidR="00483A8F">
        <w:rPr>
          <w:rFonts w:ascii="Times New Roman" w:hAnsi="Times New Roman" w:cs="Times New Roman"/>
          <w:sz w:val="24"/>
          <w:szCs w:val="24"/>
        </w:rPr>
        <w:t>transformed into daily</w:t>
      </w:r>
      <w:r w:rsidR="00DB0E7D">
        <w:rPr>
          <w:rFonts w:ascii="Times New Roman" w:hAnsi="Times New Roman" w:cs="Times New Roman"/>
          <w:sz w:val="24"/>
          <w:szCs w:val="24"/>
        </w:rPr>
        <w:t xml:space="preserve"> simple daily</w:t>
      </w:r>
      <w:r w:rsidR="00483A8F">
        <w:rPr>
          <w:rFonts w:ascii="Times New Roman" w:hAnsi="Times New Roman" w:cs="Times New Roman"/>
          <w:sz w:val="24"/>
          <w:szCs w:val="24"/>
        </w:rPr>
        <w:t xml:space="preserve"> returns</w:t>
      </w:r>
      <w:r w:rsidR="006B6A49">
        <w:rPr>
          <w:rFonts w:ascii="Times New Roman" w:hAnsi="Times New Roman" w:cs="Times New Roman"/>
          <w:sz w:val="24"/>
          <w:szCs w:val="24"/>
        </w:rPr>
        <w:t xml:space="preserve"> (log returns were purposely not chosen for this experiment)</w:t>
      </w:r>
      <w:r w:rsidR="00483A8F">
        <w:rPr>
          <w:rFonts w:ascii="Times New Roman" w:hAnsi="Times New Roman" w:cs="Times New Roman"/>
          <w:sz w:val="24"/>
          <w:szCs w:val="24"/>
        </w:rPr>
        <w:t xml:space="preserve"> using the following formula</w:t>
      </w:r>
      <w:r w:rsidR="00A436C4">
        <w:rPr>
          <w:rFonts w:ascii="Times New Roman" w:hAnsi="Times New Roman" w:cs="Times New Roman"/>
          <w:sz w:val="24"/>
          <w:szCs w:val="24"/>
        </w:rPr>
        <w:t>.</w:t>
      </w:r>
    </w:p>
    <w:p w14:paraId="2EF5E040" w14:textId="365F7F03" w:rsidR="00F34B71" w:rsidRPr="00EC31A3" w:rsidRDefault="007720BB" w:rsidP="007720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0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23485" wp14:editId="19D5B3CD">
            <wp:extent cx="895475" cy="54300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661" w14:textId="1B382AE7" w:rsidR="00001FBB" w:rsidRDefault="00107D7A" w:rsidP="00001FBB">
      <w:pPr>
        <w:spacing w:line="480" w:lineRule="auto"/>
        <w:ind w:left="79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238E9">
        <w:rPr>
          <w:rFonts w:ascii="Times New Roman" w:hAnsi="Times New Roman" w:cs="Times New Roman"/>
          <w:sz w:val="24"/>
          <w:szCs w:val="24"/>
        </w:rPr>
        <w:t>bar chart</w:t>
      </w:r>
      <w:r w:rsidR="005421EF">
        <w:rPr>
          <w:rFonts w:ascii="Times New Roman" w:hAnsi="Times New Roman" w:cs="Times New Roman"/>
          <w:sz w:val="24"/>
          <w:szCs w:val="24"/>
        </w:rPr>
        <w:t xml:space="preserve"> below plots </w:t>
      </w:r>
      <w:r w:rsidR="00001FBB">
        <w:rPr>
          <w:rFonts w:ascii="Times New Roman" w:hAnsi="Times New Roman" w:cs="Times New Roman"/>
          <w:sz w:val="24"/>
          <w:szCs w:val="24"/>
        </w:rPr>
        <w:t>all</w:t>
      </w:r>
      <w:r w:rsidR="005421EF">
        <w:rPr>
          <w:rFonts w:ascii="Times New Roman" w:hAnsi="Times New Roman" w:cs="Times New Roman"/>
          <w:sz w:val="24"/>
          <w:szCs w:val="24"/>
        </w:rPr>
        <w:t xml:space="preserve"> the daily returns overlapped on each other to check for</w:t>
      </w:r>
      <w:r w:rsidR="00E95A14">
        <w:rPr>
          <w:rFonts w:ascii="Times New Roman" w:hAnsi="Times New Roman" w:cs="Times New Roman"/>
          <w:sz w:val="24"/>
          <w:szCs w:val="24"/>
        </w:rPr>
        <w:t xml:space="preserve"> skewness in the positive</w:t>
      </w:r>
      <w:r w:rsidR="00085B77">
        <w:rPr>
          <w:rFonts w:ascii="Times New Roman" w:hAnsi="Times New Roman" w:cs="Times New Roman"/>
          <w:sz w:val="24"/>
          <w:szCs w:val="24"/>
        </w:rPr>
        <w:t xml:space="preserve"> direction, as the purpose is to</w:t>
      </w:r>
      <w:r w:rsidR="00FA1E65">
        <w:rPr>
          <w:rFonts w:ascii="Times New Roman" w:hAnsi="Times New Roman" w:cs="Times New Roman"/>
          <w:sz w:val="24"/>
          <w:szCs w:val="24"/>
        </w:rPr>
        <w:t xml:space="preserve"> seek stocks with positive returns.</w:t>
      </w:r>
    </w:p>
    <w:p w14:paraId="173490CA" w14:textId="528934EA" w:rsidR="00001FBB" w:rsidRDefault="00001FBB" w:rsidP="00001FBB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A7B0A8" wp14:editId="3C424AEA">
            <wp:extent cx="5731510" cy="2517140"/>
            <wp:effectExtent l="0" t="0" r="2540" b="0"/>
            <wp:docPr id="2" name="그림 2" descr="텍스트, 필기구, 연필, 문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필기구, 연필, 문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BEE6" w14:textId="7D01F709" w:rsidR="00001FBB" w:rsidRDefault="00EE770D" w:rsidP="00FA1E65">
      <w:pPr>
        <w:spacing w:line="480" w:lineRule="auto"/>
        <w:ind w:left="79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</w:t>
      </w:r>
      <w:r w:rsidR="00D61FB9">
        <w:rPr>
          <w:rFonts w:ascii="Times New Roman" w:hAnsi="Times New Roman" w:cs="Times New Roman"/>
          <w:sz w:val="24"/>
          <w:szCs w:val="24"/>
        </w:rPr>
        <w:t>seems</w:t>
      </w:r>
      <w:r>
        <w:rPr>
          <w:rFonts w:ascii="Times New Roman" w:hAnsi="Times New Roman" w:cs="Times New Roman"/>
          <w:sz w:val="24"/>
          <w:szCs w:val="24"/>
        </w:rPr>
        <w:t xml:space="preserve"> to suggest that </w:t>
      </w:r>
      <w:r w:rsidR="00AD0BF9">
        <w:rPr>
          <w:rFonts w:ascii="Times New Roman" w:hAnsi="Times New Roman" w:cs="Times New Roman"/>
          <w:sz w:val="24"/>
          <w:szCs w:val="24"/>
        </w:rPr>
        <w:t>positive returns heavily outweigh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BF9">
        <w:rPr>
          <w:rFonts w:ascii="Times New Roman" w:hAnsi="Times New Roman" w:cs="Times New Roman"/>
          <w:sz w:val="24"/>
          <w:szCs w:val="24"/>
        </w:rPr>
        <w:t>negative returns</w:t>
      </w:r>
      <w:r w:rsidR="006526EC">
        <w:rPr>
          <w:rFonts w:ascii="Times New Roman" w:hAnsi="Times New Roman" w:cs="Times New Roman"/>
          <w:sz w:val="24"/>
          <w:szCs w:val="24"/>
        </w:rPr>
        <w:t xml:space="preserve"> distribution </w:t>
      </w:r>
      <w:r w:rsidR="003F6827">
        <w:rPr>
          <w:rFonts w:ascii="Times New Roman" w:hAnsi="Times New Roman" w:cs="Times New Roman"/>
          <w:sz w:val="24"/>
          <w:szCs w:val="24"/>
        </w:rPr>
        <w:t>overall</w:t>
      </w:r>
      <w:r w:rsidR="006526EC">
        <w:rPr>
          <w:rFonts w:ascii="Times New Roman" w:hAnsi="Times New Roman" w:cs="Times New Roman"/>
          <w:sz w:val="24"/>
          <w:szCs w:val="24"/>
        </w:rPr>
        <w:t>.</w:t>
      </w:r>
    </w:p>
    <w:p w14:paraId="68B8EE3E" w14:textId="1998A694" w:rsidR="00C638E9" w:rsidRDefault="00C638E9" w:rsidP="00FA1E65">
      <w:pPr>
        <w:spacing w:line="480" w:lineRule="auto"/>
        <w:ind w:left="795"/>
        <w:jc w:val="left"/>
        <w:rPr>
          <w:rFonts w:ascii="Times New Roman" w:hAnsi="Times New Roman" w:cs="Times New Roman"/>
          <w:sz w:val="24"/>
          <w:szCs w:val="24"/>
        </w:rPr>
      </w:pPr>
    </w:p>
    <w:p w14:paraId="103B3E61" w14:textId="4BD4D512" w:rsidR="00C638E9" w:rsidRDefault="00C638E9" w:rsidP="00FA1E65">
      <w:pPr>
        <w:spacing w:line="480" w:lineRule="auto"/>
        <w:ind w:left="795"/>
        <w:jc w:val="left"/>
        <w:rPr>
          <w:rFonts w:ascii="Times New Roman" w:hAnsi="Times New Roman" w:cs="Times New Roman"/>
          <w:sz w:val="24"/>
          <w:szCs w:val="24"/>
        </w:rPr>
      </w:pPr>
    </w:p>
    <w:p w14:paraId="3EFEF878" w14:textId="568EE0C5" w:rsidR="00C638E9" w:rsidRDefault="00C638E9" w:rsidP="00FA1E65">
      <w:pPr>
        <w:spacing w:line="480" w:lineRule="auto"/>
        <w:ind w:left="795"/>
        <w:jc w:val="left"/>
        <w:rPr>
          <w:rFonts w:ascii="Times New Roman" w:hAnsi="Times New Roman" w:cs="Times New Roman"/>
          <w:sz w:val="24"/>
          <w:szCs w:val="24"/>
        </w:rPr>
      </w:pPr>
    </w:p>
    <w:p w14:paraId="6992A480" w14:textId="6441F3AA" w:rsidR="00C638E9" w:rsidRPr="00AE1970" w:rsidRDefault="006202BE" w:rsidP="00810639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E197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C</w:t>
      </w:r>
      <w:r w:rsidRPr="00AE1970">
        <w:rPr>
          <w:rFonts w:ascii="Times New Roman" w:hAnsi="Times New Roman" w:cs="Times New Roman"/>
          <w:b/>
          <w:bCs/>
          <w:sz w:val="24"/>
          <w:szCs w:val="24"/>
        </w:rPr>
        <w:t>alculating the mean and variance of returns and constructing the variance-covariance matrix from the collected data</w:t>
      </w:r>
    </w:p>
    <w:p w14:paraId="634DC439" w14:textId="499AFA3D" w:rsidR="00C111DA" w:rsidRDefault="00D21832" w:rsidP="00D61FB9">
      <w:pPr>
        <w:spacing w:line="480" w:lineRule="auto"/>
        <w:ind w:left="7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5C7486">
        <w:rPr>
          <w:rFonts w:ascii="Times New Roman" w:hAnsi="Times New Roman" w:cs="Times New Roman"/>
          <w:sz w:val="24"/>
          <w:szCs w:val="24"/>
        </w:rPr>
        <w:t>calculated</w:t>
      </w:r>
      <w:r w:rsidR="00873AE2">
        <w:rPr>
          <w:rFonts w:ascii="Times New Roman" w:hAnsi="Times New Roman" w:cs="Times New Roman"/>
          <w:sz w:val="24"/>
          <w:szCs w:val="24"/>
        </w:rPr>
        <w:t xml:space="preserve"> daily</w:t>
      </w:r>
      <w:r w:rsidR="005C7486">
        <w:rPr>
          <w:rFonts w:ascii="Times New Roman" w:hAnsi="Times New Roman" w:cs="Times New Roman"/>
          <w:sz w:val="24"/>
          <w:szCs w:val="24"/>
        </w:rPr>
        <w:t xml:space="preserve"> mean returns for each stock </w:t>
      </w:r>
      <w:r w:rsidR="005A255B">
        <w:rPr>
          <w:rFonts w:ascii="Times New Roman" w:hAnsi="Times New Roman" w:cs="Times New Roman"/>
          <w:sz w:val="24"/>
          <w:szCs w:val="24"/>
        </w:rPr>
        <w:t xml:space="preserve">also confirmed to be positive </w:t>
      </w:r>
      <w:r w:rsidR="00873AE2">
        <w:rPr>
          <w:rFonts w:ascii="Times New Roman" w:hAnsi="Times New Roman" w:cs="Times New Roman"/>
          <w:sz w:val="24"/>
          <w:szCs w:val="24"/>
        </w:rPr>
        <w:t>for all.</w:t>
      </w:r>
      <w:r w:rsidR="009642D8">
        <w:rPr>
          <w:rFonts w:ascii="Times New Roman" w:hAnsi="Times New Roman" w:cs="Times New Roman"/>
          <w:sz w:val="24"/>
          <w:szCs w:val="24"/>
        </w:rPr>
        <w:t xml:space="preserve"> This is an important</w:t>
      </w:r>
      <w:r w:rsidR="000270DB">
        <w:rPr>
          <w:rFonts w:ascii="Times New Roman" w:hAnsi="Times New Roman" w:cs="Times New Roman"/>
          <w:sz w:val="24"/>
          <w:szCs w:val="24"/>
        </w:rPr>
        <w:t xml:space="preserve"> observation because we are </w:t>
      </w:r>
      <w:r w:rsidR="00D54720">
        <w:rPr>
          <w:rFonts w:ascii="Times New Roman" w:hAnsi="Times New Roman" w:cs="Times New Roman"/>
          <w:sz w:val="24"/>
          <w:szCs w:val="24"/>
        </w:rPr>
        <w:t>assuming the mean return of a stock is the proxy for expected return of that stock</w:t>
      </w:r>
      <w:r w:rsidR="0085200F">
        <w:rPr>
          <w:rFonts w:ascii="Times New Roman" w:hAnsi="Times New Roman" w:cs="Times New Roman"/>
          <w:sz w:val="24"/>
          <w:szCs w:val="24"/>
        </w:rPr>
        <w:t xml:space="preserve"> </w:t>
      </w:r>
      <w:r w:rsidR="00966730">
        <w:rPr>
          <w:rFonts w:ascii="Times New Roman" w:hAnsi="Times New Roman" w:cs="Times New Roman"/>
          <w:sz w:val="24"/>
          <w:szCs w:val="24"/>
        </w:rPr>
        <w:t>for the purpose of</w:t>
      </w:r>
      <w:r w:rsidR="0085200F">
        <w:rPr>
          <w:rFonts w:ascii="Times New Roman" w:hAnsi="Times New Roman" w:cs="Times New Roman"/>
          <w:sz w:val="24"/>
          <w:szCs w:val="24"/>
        </w:rPr>
        <w:t xml:space="preserve"> this research.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1980"/>
      </w:tblGrid>
      <w:tr w:rsidR="005C55B8" w:rsidRPr="005C55B8" w14:paraId="3530E1EE" w14:textId="77777777" w:rsidTr="00E40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3BFE5C" w14:textId="77777777" w:rsidR="005C55B8" w:rsidRPr="005C55B8" w:rsidRDefault="005C55B8" w:rsidP="00E4068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5B8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1980" w:type="dxa"/>
          </w:tcPr>
          <w:p w14:paraId="5799EF2E" w14:textId="0E86C040" w:rsidR="005C55B8" w:rsidRPr="005C55B8" w:rsidRDefault="005C55B8" w:rsidP="00E4068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5B8">
              <w:rPr>
                <w:rFonts w:ascii="Times New Roman" w:hAnsi="Times New Roman" w:cs="Times New Roman"/>
                <w:sz w:val="24"/>
                <w:szCs w:val="24"/>
              </w:rPr>
              <w:t>Mean Return</w:t>
            </w:r>
          </w:p>
        </w:tc>
      </w:tr>
      <w:tr w:rsidR="005C55B8" w:rsidRPr="00873AE2" w14:paraId="1C9CE998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F58298D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>나노신소재</w:t>
            </w:r>
            <w:proofErr w:type="spellEnd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       </w:t>
            </w:r>
          </w:p>
        </w:tc>
        <w:tc>
          <w:tcPr>
            <w:tcW w:w="1980" w:type="dxa"/>
          </w:tcPr>
          <w:p w14:paraId="643EC1A4" w14:textId="77777777" w:rsidR="005C55B8" w:rsidRPr="00873AE2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0.004757</w:t>
            </w:r>
          </w:p>
        </w:tc>
      </w:tr>
      <w:tr w:rsidR="005C55B8" w:rsidRPr="00873AE2" w14:paraId="38DEBC92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ABA1BF3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>대성파인텍</w:t>
            </w:r>
            <w:proofErr w:type="spellEnd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       </w:t>
            </w:r>
          </w:p>
        </w:tc>
        <w:tc>
          <w:tcPr>
            <w:tcW w:w="1980" w:type="dxa"/>
          </w:tcPr>
          <w:p w14:paraId="60CF07CD" w14:textId="77777777" w:rsidR="005C55B8" w:rsidRPr="00873AE2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0.002192</w:t>
            </w:r>
          </w:p>
        </w:tc>
      </w:tr>
      <w:tr w:rsidR="005C55B8" w:rsidRPr="00873AE2" w14:paraId="28D769BB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3F4FEF9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>대주전자재료</w:t>
            </w:r>
            <w:proofErr w:type="spellEnd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      </w:t>
            </w:r>
          </w:p>
        </w:tc>
        <w:tc>
          <w:tcPr>
            <w:tcW w:w="1980" w:type="dxa"/>
          </w:tcPr>
          <w:p w14:paraId="78E67503" w14:textId="77777777" w:rsidR="005C55B8" w:rsidRPr="00873AE2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0.003695</w:t>
            </w:r>
          </w:p>
        </w:tc>
      </w:tr>
      <w:tr w:rsidR="005C55B8" w:rsidRPr="00873AE2" w14:paraId="7AA4855D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AFFFAE1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>신성이엔지보통주</w:t>
            </w:r>
            <w:proofErr w:type="spellEnd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1980" w:type="dxa"/>
          </w:tcPr>
          <w:p w14:paraId="794882AB" w14:textId="77777777" w:rsidR="005C55B8" w:rsidRPr="00873AE2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0.002707</w:t>
            </w:r>
          </w:p>
        </w:tc>
      </w:tr>
      <w:tr w:rsidR="005C55B8" w:rsidRPr="00873AE2" w14:paraId="35300ED3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49D32E7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>아바코</w:t>
            </w:r>
            <w:proofErr w:type="spellEnd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         </w:t>
            </w:r>
          </w:p>
        </w:tc>
        <w:tc>
          <w:tcPr>
            <w:tcW w:w="1980" w:type="dxa"/>
          </w:tcPr>
          <w:p w14:paraId="6DB693F8" w14:textId="211ECFDF" w:rsidR="005C55B8" w:rsidRPr="005C55B8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0.001824</w:t>
            </w:r>
          </w:p>
        </w:tc>
      </w:tr>
      <w:tr w:rsidR="005C55B8" w:rsidRPr="00873AE2" w14:paraId="34388517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FB573F8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>알에스오토메이션</w:t>
            </w:r>
            <w:proofErr w:type="spellEnd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1980" w:type="dxa"/>
          </w:tcPr>
          <w:p w14:paraId="3F2EB73A" w14:textId="77777777" w:rsidR="005C55B8" w:rsidRPr="00873AE2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0.002266</w:t>
            </w:r>
          </w:p>
        </w:tc>
      </w:tr>
      <w:tr w:rsidR="005C55B8" w:rsidRPr="00873AE2" w14:paraId="1B6BE79C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756A283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주성엔지니어링     </w:t>
            </w:r>
          </w:p>
        </w:tc>
        <w:tc>
          <w:tcPr>
            <w:tcW w:w="1980" w:type="dxa"/>
          </w:tcPr>
          <w:p w14:paraId="51A56FA7" w14:textId="77777777" w:rsidR="005C55B8" w:rsidRPr="00873AE2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0.003249</w:t>
            </w:r>
          </w:p>
        </w:tc>
      </w:tr>
      <w:tr w:rsidR="005C55B8" w:rsidRPr="00873AE2" w14:paraId="666A28C4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A112DB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>주식회사케이씨씨</w:t>
            </w:r>
            <w:proofErr w:type="spellEnd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1980" w:type="dxa"/>
          </w:tcPr>
          <w:p w14:paraId="5F5D2476" w14:textId="77777777" w:rsidR="005C55B8" w:rsidRPr="00873AE2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0.002001</w:t>
            </w:r>
          </w:p>
        </w:tc>
      </w:tr>
      <w:tr w:rsidR="005C55B8" w:rsidRPr="00873AE2" w14:paraId="6DC67A49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1AACF95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>코미코</w:t>
            </w:r>
            <w:proofErr w:type="spellEnd"/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         </w:t>
            </w:r>
          </w:p>
        </w:tc>
        <w:tc>
          <w:tcPr>
            <w:tcW w:w="1980" w:type="dxa"/>
          </w:tcPr>
          <w:p w14:paraId="60EA470B" w14:textId="565ECD2B" w:rsidR="005C55B8" w:rsidRPr="005C55B8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0.002298</w:t>
            </w:r>
          </w:p>
        </w:tc>
      </w:tr>
      <w:tr w:rsidR="005C55B8" w:rsidRPr="00873AE2" w14:paraId="657F2470" w14:textId="77777777" w:rsidTr="00E406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24E2B7E" w14:textId="77777777" w:rsidR="005C55B8" w:rsidRPr="00872000" w:rsidRDefault="005C55B8" w:rsidP="00223840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b w:val="0"/>
                <w:bCs w:val="0"/>
                <w:kern w:val="0"/>
                <w:sz w:val="24"/>
                <w:szCs w:val="24"/>
              </w:rPr>
              <w:t xml:space="preserve">한화솔루션보통주    </w:t>
            </w:r>
          </w:p>
        </w:tc>
        <w:tc>
          <w:tcPr>
            <w:tcW w:w="1980" w:type="dxa"/>
          </w:tcPr>
          <w:p w14:paraId="3BE76D0C" w14:textId="77777777" w:rsidR="005C55B8" w:rsidRPr="00873AE2" w:rsidRDefault="005C55B8" w:rsidP="00872000">
            <w:pPr>
              <w:widowControl/>
              <w:wordWrap/>
              <w:autoSpaceDE/>
              <w:autoSpaceDN/>
              <w:ind w:firstLineChars="50" w:firstLin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73AE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0.002515</w:t>
            </w:r>
          </w:p>
        </w:tc>
      </w:tr>
    </w:tbl>
    <w:p w14:paraId="0D2BA58D" w14:textId="09CE8DE8" w:rsidR="00873AE2" w:rsidRDefault="00873AE2" w:rsidP="00D61FB9">
      <w:pPr>
        <w:spacing w:line="480" w:lineRule="auto"/>
        <w:ind w:left="760"/>
        <w:jc w:val="left"/>
        <w:rPr>
          <w:rFonts w:ascii="Times New Roman" w:hAnsi="Times New Roman" w:cs="Times New Roman"/>
          <w:sz w:val="24"/>
          <w:szCs w:val="24"/>
        </w:rPr>
      </w:pPr>
    </w:p>
    <w:p w14:paraId="5426C13E" w14:textId="36B9181F" w:rsidR="00873AE2" w:rsidRDefault="00B423A6" w:rsidP="00D61FB9">
      <w:pPr>
        <w:spacing w:line="480" w:lineRule="auto"/>
        <w:ind w:left="7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step, the variance of each </w:t>
      </w:r>
      <w:r w:rsidR="001A1B49">
        <w:rPr>
          <w:rFonts w:ascii="Times New Roman" w:hAnsi="Times New Roman" w:cs="Times New Roman"/>
          <w:sz w:val="24"/>
          <w:szCs w:val="24"/>
        </w:rPr>
        <w:t>stock</w:t>
      </w:r>
      <w:r>
        <w:rPr>
          <w:rFonts w:ascii="Times New Roman" w:hAnsi="Times New Roman" w:cs="Times New Roman"/>
          <w:sz w:val="24"/>
          <w:szCs w:val="24"/>
        </w:rPr>
        <w:t xml:space="preserve"> were calculated </w:t>
      </w:r>
      <w:r w:rsidR="00782A8B">
        <w:rPr>
          <w:rFonts w:ascii="Times New Roman" w:hAnsi="Times New Roman" w:cs="Times New Roman"/>
          <w:sz w:val="24"/>
          <w:szCs w:val="24"/>
        </w:rPr>
        <w:t xml:space="preserve">to start </w:t>
      </w:r>
      <w:r w:rsidR="00CC3901">
        <w:rPr>
          <w:rFonts w:ascii="Times New Roman" w:hAnsi="Times New Roman" w:cs="Times New Roman"/>
          <w:sz w:val="24"/>
          <w:szCs w:val="24"/>
        </w:rPr>
        <w:t>constructing</w:t>
      </w:r>
      <w:r w:rsidR="00782A8B">
        <w:rPr>
          <w:rFonts w:ascii="Times New Roman" w:hAnsi="Times New Roman" w:cs="Times New Roman"/>
          <w:sz w:val="24"/>
          <w:szCs w:val="24"/>
        </w:rPr>
        <w:t xml:space="preserve"> the variance-covariance matrix</w:t>
      </w:r>
      <w:r w:rsidR="00CC390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1757"/>
      </w:tblGrid>
      <w:tr w:rsidR="00BC7374" w:rsidRPr="00BC7374" w14:paraId="6F65C71C" w14:textId="77777777" w:rsidTr="00BC7374">
        <w:trPr>
          <w:jc w:val="center"/>
        </w:trPr>
        <w:tc>
          <w:tcPr>
            <w:tcW w:w="2136" w:type="dxa"/>
          </w:tcPr>
          <w:p w14:paraId="06EDEEFD" w14:textId="77777777" w:rsidR="00BC7374" w:rsidRPr="00BC7374" w:rsidRDefault="00BC7374" w:rsidP="00BC737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37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BC7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tock</w:t>
            </w:r>
          </w:p>
        </w:tc>
        <w:tc>
          <w:tcPr>
            <w:tcW w:w="1757" w:type="dxa"/>
          </w:tcPr>
          <w:p w14:paraId="2BA5EAE3" w14:textId="11A23811" w:rsidR="00BC7374" w:rsidRPr="00BC7374" w:rsidRDefault="00BC7374" w:rsidP="00BC737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Daily Variance</w:t>
            </w:r>
          </w:p>
        </w:tc>
      </w:tr>
      <w:tr w:rsidR="00BC7374" w:rsidRPr="00BC7374" w14:paraId="16EE326C" w14:textId="77777777" w:rsidTr="00BC7374">
        <w:trPr>
          <w:jc w:val="center"/>
        </w:trPr>
        <w:tc>
          <w:tcPr>
            <w:tcW w:w="2136" w:type="dxa"/>
          </w:tcPr>
          <w:p w14:paraId="2E948026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872000">
              <w:t>나노신소재</w:t>
            </w:r>
            <w:proofErr w:type="spellEnd"/>
            <w:r w:rsidRPr="00872000">
              <w:t xml:space="preserve">      </w:t>
            </w:r>
          </w:p>
        </w:tc>
        <w:tc>
          <w:tcPr>
            <w:tcW w:w="1757" w:type="dxa"/>
          </w:tcPr>
          <w:p w14:paraId="63C82B34" w14:textId="77777777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0.001786</w:t>
            </w:r>
          </w:p>
        </w:tc>
      </w:tr>
      <w:tr w:rsidR="00BC7374" w:rsidRPr="00BC7374" w14:paraId="512F12F7" w14:textId="77777777" w:rsidTr="00BC7374">
        <w:trPr>
          <w:jc w:val="center"/>
        </w:trPr>
        <w:tc>
          <w:tcPr>
            <w:tcW w:w="2136" w:type="dxa"/>
          </w:tcPr>
          <w:p w14:paraId="4B110C56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872000">
              <w:t>대성파인텍</w:t>
            </w:r>
            <w:proofErr w:type="spellEnd"/>
            <w:r w:rsidRPr="00872000">
              <w:t xml:space="preserve">      </w:t>
            </w:r>
          </w:p>
        </w:tc>
        <w:tc>
          <w:tcPr>
            <w:tcW w:w="1757" w:type="dxa"/>
          </w:tcPr>
          <w:p w14:paraId="3F03D452" w14:textId="77777777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0.002075</w:t>
            </w:r>
          </w:p>
        </w:tc>
      </w:tr>
      <w:tr w:rsidR="00BC7374" w:rsidRPr="00BC7374" w14:paraId="16500C13" w14:textId="77777777" w:rsidTr="00BC7374">
        <w:trPr>
          <w:jc w:val="center"/>
        </w:trPr>
        <w:tc>
          <w:tcPr>
            <w:tcW w:w="2136" w:type="dxa"/>
          </w:tcPr>
          <w:p w14:paraId="15F76540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872000">
              <w:t>대주전자재료</w:t>
            </w:r>
            <w:proofErr w:type="spellEnd"/>
            <w:r w:rsidRPr="00872000">
              <w:t xml:space="preserve">     </w:t>
            </w:r>
          </w:p>
        </w:tc>
        <w:tc>
          <w:tcPr>
            <w:tcW w:w="1757" w:type="dxa"/>
          </w:tcPr>
          <w:p w14:paraId="01F2D5E6" w14:textId="77777777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0.001431</w:t>
            </w:r>
          </w:p>
        </w:tc>
      </w:tr>
      <w:tr w:rsidR="00BC7374" w:rsidRPr="00BC7374" w14:paraId="1D05580A" w14:textId="77777777" w:rsidTr="00BC7374">
        <w:trPr>
          <w:jc w:val="center"/>
        </w:trPr>
        <w:tc>
          <w:tcPr>
            <w:tcW w:w="2136" w:type="dxa"/>
          </w:tcPr>
          <w:p w14:paraId="17EBF904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872000">
              <w:t>신성이엔지보통주</w:t>
            </w:r>
            <w:proofErr w:type="spellEnd"/>
            <w:r w:rsidRPr="00872000">
              <w:t xml:space="preserve">   </w:t>
            </w:r>
          </w:p>
        </w:tc>
        <w:tc>
          <w:tcPr>
            <w:tcW w:w="1757" w:type="dxa"/>
          </w:tcPr>
          <w:p w14:paraId="2F0C71C3" w14:textId="77777777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0.001855</w:t>
            </w:r>
          </w:p>
        </w:tc>
      </w:tr>
      <w:tr w:rsidR="00BC7374" w:rsidRPr="00BC7374" w14:paraId="6EC19B19" w14:textId="77777777" w:rsidTr="00BC7374">
        <w:trPr>
          <w:jc w:val="center"/>
        </w:trPr>
        <w:tc>
          <w:tcPr>
            <w:tcW w:w="2136" w:type="dxa"/>
          </w:tcPr>
          <w:p w14:paraId="710F2C01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872000">
              <w:t>아바코</w:t>
            </w:r>
            <w:proofErr w:type="spellEnd"/>
            <w:r w:rsidRPr="00872000">
              <w:t xml:space="preserve">        </w:t>
            </w:r>
          </w:p>
        </w:tc>
        <w:tc>
          <w:tcPr>
            <w:tcW w:w="1757" w:type="dxa"/>
          </w:tcPr>
          <w:p w14:paraId="2EC208B3" w14:textId="77777777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0.001010</w:t>
            </w:r>
          </w:p>
        </w:tc>
      </w:tr>
      <w:tr w:rsidR="00BC7374" w:rsidRPr="00BC7374" w14:paraId="3CA984BC" w14:textId="77777777" w:rsidTr="00BC7374">
        <w:trPr>
          <w:jc w:val="center"/>
        </w:trPr>
        <w:tc>
          <w:tcPr>
            <w:tcW w:w="2136" w:type="dxa"/>
          </w:tcPr>
          <w:p w14:paraId="1467FEC7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872000">
              <w:t>알에스오토메이션</w:t>
            </w:r>
            <w:proofErr w:type="spellEnd"/>
            <w:r w:rsidRPr="00872000">
              <w:t xml:space="preserve">   </w:t>
            </w:r>
          </w:p>
        </w:tc>
        <w:tc>
          <w:tcPr>
            <w:tcW w:w="1757" w:type="dxa"/>
          </w:tcPr>
          <w:p w14:paraId="189B09D3" w14:textId="77777777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0.001167</w:t>
            </w:r>
          </w:p>
        </w:tc>
      </w:tr>
      <w:tr w:rsidR="00BC7374" w:rsidRPr="00BC7374" w14:paraId="490309D3" w14:textId="77777777" w:rsidTr="00BC7374">
        <w:trPr>
          <w:jc w:val="center"/>
        </w:trPr>
        <w:tc>
          <w:tcPr>
            <w:tcW w:w="2136" w:type="dxa"/>
          </w:tcPr>
          <w:p w14:paraId="4E55FDCF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872000">
              <w:t xml:space="preserve">주성엔지니어링    </w:t>
            </w:r>
          </w:p>
        </w:tc>
        <w:tc>
          <w:tcPr>
            <w:tcW w:w="1757" w:type="dxa"/>
          </w:tcPr>
          <w:p w14:paraId="3B990DFF" w14:textId="77777777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0.001102</w:t>
            </w:r>
          </w:p>
        </w:tc>
      </w:tr>
      <w:tr w:rsidR="00BC7374" w:rsidRPr="00BC7374" w14:paraId="7895341A" w14:textId="77777777" w:rsidTr="00BC7374">
        <w:trPr>
          <w:jc w:val="center"/>
        </w:trPr>
        <w:tc>
          <w:tcPr>
            <w:tcW w:w="2136" w:type="dxa"/>
          </w:tcPr>
          <w:p w14:paraId="149CAD3C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872000">
              <w:t>주식회사케이씨씨</w:t>
            </w:r>
            <w:proofErr w:type="spellEnd"/>
            <w:r w:rsidRPr="00872000">
              <w:t xml:space="preserve">  </w:t>
            </w:r>
          </w:p>
        </w:tc>
        <w:tc>
          <w:tcPr>
            <w:tcW w:w="1757" w:type="dxa"/>
          </w:tcPr>
          <w:p w14:paraId="1A1D9888" w14:textId="41B4D155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0.000964</w:t>
            </w:r>
          </w:p>
        </w:tc>
      </w:tr>
      <w:tr w:rsidR="00BC7374" w:rsidRPr="00BC7374" w14:paraId="1191B1C4" w14:textId="77777777" w:rsidTr="00BC7374">
        <w:trPr>
          <w:jc w:val="center"/>
        </w:trPr>
        <w:tc>
          <w:tcPr>
            <w:tcW w:w="2136" w:type="dxa"/>
          </w:tcPr>
          <w:p w14:paraId="0EFCC7C7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872000">
              <w:t>코미코</w:t>
            </w:r>
            <w:proofErr w:type="spellEnd"/>
            <w:r w:rsidRPr="00872000">
              <w:t xml:space="preserve">        </w:t>
            </w:r>
          </w:p>
        </w:tc>
        <w:tc>
          <w:tcPr>
            <w:tcW w:w="1757" w:type="dxa"/>
          </w:tcPr>
          <w:p w14:paraId="272DD6B0" w14:textId="77777777" w:rsidR="00BC7374" w:rsidRPr="00BC7374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BC7374">
              <w:t xml:space="preserve"> 0.001006</w:t>
            </w:r>
          </w:p>
        </w:tc>
      </w:tr>
      <w:tr w:rsidR="00BC7374" w:rsidRPr="00BC7374" w14:paraId="36906B6D" w14:textId="77777777" w:rsidTr="00BC7374">
        <w:trPr>
          <w:jc w:val="center"/>
        </w:trPr>
        <w:tc>
          <w:tcPr>
            <w:tcW w:w="2136" w:type="dxa"/>
          </w:tcPr>
          <w:p w14:paraId="1D5D5B69" w14:textId="77777777" w:rsidR="00BC7374" w:rsidRPr="00872000" w:rsidRDefault="00BC7374" w:rsidP="002771D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872000">
              <w:t xml:space="preserve">한화솔루션보통주    </w:t>
            </w:r>
          </w:p>
        </w:tc>
        <w:tc>
          <w:tcPr>
            <w:tcW w:w="1757" w:type="dxa"/>
          </w:tcPr>
          <w:p w14:paraId="0EEC8EBA" w14:textId="77777777" w:rsidR="00BC7374" w:rsidRPr="00BC7374" w:rsidRDefault="00BC7374" w:rsidP="00BC737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Chars="50" w:firstLine="120"/>
            </w:pPr>
            <w:r w:rsidRPr="00BC7374">
              <w:t>0.000992</w:t>
            </w:r>
          </w:p>
        </w:tc>
      </w:tr>
    </w:tbl>
    <w:p w14:paraId="3408D13C" w14:textId="0459F802" w:rsidR="00CC3901" w:rsidRDefault="00CC3901" w:rsidP="00BC737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A8C2937" w14:textId="3E15D735" w:rsidR="00B821CE" w:rsidRDefault="00B821CE" w:rsidP="00BC737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6EDD6E1" w14:textId="55E01172" w:rsidR="00B821CE" w:rsidRDefault="00B821CE" w:rsidP="00BC737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Finally, the full covariance matrix is shown below.</w:t>
      </w:r>
    </w:p>
    <w:p w14:paraId="100A2553" w14:textId="373B60C5" w:rsidR="00CF5B0D" w:rsidRDefault="00CF5B0D" w:rsidP="00CF5B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C264D" wp14:editId="135655C8">
            <wp:extent cx="1933845" cy="724001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5AE" w14:textId="27A8AF0A" w:rsidR="00CF5B0D" w:rsidRDefault="00B2245F" w:rsidP="00BC737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24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E9756" wp14:editId="7C63C352">
            <wp:extent cx="6457950" cy="2219325"/>
            <wp:effectExtent l="0" t="0" r="0" b="952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825" cy="22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C8A9" w14:textId="3E57299E" w:rsidR="00B2245F" w:rsidRDefault="004F5EE3" w:rsidP="008D79DE">
      <w:pPr>
        <w:spacing w:line="480" w:lineRule="auto"/>
        <w:ind w:left="79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8D09C7">
        <w:rPr>
          <w:rFonts w:ascii="Times New Roman" w:hAnsi="Times New Roman" w:cs="Times New Roman"/>
          <w:sz w:val="24"/>
          <w:szCs w:val="24"/>
        </w:rPr>
        <w:t>a bonus</w:t>
      </w:r>
      <w:r w:rsidR="00020B42">
        <w:rPr>
          <w:rFonts w:ascii="Times New Roman" w:hAnsi="Times New Roman" w:cs="Times New Roman"/>
          <w:sz w:val="24"/>
          <w:szCs w:val="24"/>
        </w:rPr>
        <w:t xml:space="preserve">, </w:t>
      </w:r>
      <w:r w:rsidR="008D09C7">
        <w:rPr>
          <w:rFonts w:ascii="Times New Roman" w:hAnsi="Times New Roman" w:cs="Times New Roman"/>
          <w:sz w:val="24"/>
          <w:szCs w:val="24"/>
        </w:rPr>
        <w:t>the correlation matrix can be constructed to</w:t>
      </w:r>
      <w:r w:rsidR="008D79DE">
        <w:rPr>
          <w:rFonts w:ascii="Times New Roman" w:hAnsi="Times New Roman" w:cs="Times New Roman"/>
          <w:sz w:val="24"/>
          <w:szCs w:val="24"/>
        </w:rPr>
        <w:t xml:space="preserve"> help see the</w:t>
      </w:r>
      <w:r w:rsidR="00E76FC5">
        <w:rPr>
          <w:rFonts w:ascii="Times New Roman" w:hAnsi="Times New Roman" w:cs="Times New Roman"/>
          <w:sz w:val="24"/>
          <w:szCs w:val="24"/>
        </w:rPr>
        <w:t xml:space="preserve"> directional</w:t>
      </w:r>
      <w:r w:rsidR="008D79DE">
        <w:rPr>
          <w:rFonts w:ascii="Times New Roman" w:hAnsi="Times New Roman" w:cs="Times New Roman"/>
          <w:sz w:val="24"/>
          <w:szCs w:val="24"/>
        </w:rPr>
        <w:t xml:space="preserve"> relationship between them</w:t>
      </w:r>
      <w:r w:rsidR="00F0307B">
        <w:rPr>
          <w:rFonts w:ascii="Times New Roman" w:hAnsi="Times New Roman" w:cs="Times New Roman"/>
          <w:sz w:val="24"/>
          <w:szCs w:val="24"/>
        </w:rPr>
        <w:t>.</w:t>
      </w:r>
    </w:p>
    <w:p w14:paraId="295773C8" w14:textId="39B1CED0" w:rsidR="00F0307B" w:rsidRDefault="00B42659" w:rsidP="00B42659">
      <w:pPr>
        <w:spacing w:line="480" w:lineRule="auto"/>
        <w:ind w:left="795"/>
        <w:jc w:val="center"/>
        <w:rPr>
          <w:rFonts w:ascii="Times New Roman" w:hAnsi="Times New Roman" w:cs="Times New Roman"/>
          <w:sz w:val="24"/>
          <w:szCs w:val="24"/>
        </w:rPr>
      </w:pPr>
      <w:r w:rsidRPr="00B42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7D9E6" wp14:editId="464F52AD">
            <wp:extent cx="1190791" cy="666843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D524" w14:textId="3E699090" w:rsidR="00B2245F" w:rsidRDefault="004F04F2" w:rsidP="00BC737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F0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BC3FE" wp14:editId="3B035D43">
            <wp:extent cx="6443499" cy="1724025"/>
            <wp:effectExtent l="0" t="0" r="0" b="0"/>
            <wp:docPr id="8" name="그림 8" descr="텍스트, 점수판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점수판, 여러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0271" cy="17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DD72" w14:textId="6A7632A5" w:rsidR="003A2BB8" w:rsidRDefault="003A2BB8" w:rsidP="00BC737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381E4BE" w14:textId="39313014" w:rsidR="00B82E96" w:rsidRDefault="00B82E96" w:rsidP="00BC737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F0E4E0D" w14:textId="78589746" w:rsidR="00B82E96" w:rsidRPr="00820E19" w:rsidRDefault="00820E19" w:rsidP="00810639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Efficient Frontier</w:t>
      </w:r>
    </w:p>
    <w:p w14:paraId="79B04E97" w14:textId="549F4CD6" w:rsidR="00820E19" w:rsidRDefault="00A93209" w:rsidP="00820E19">
      <w:pPr>
        <w:spacing w:line="480" w:lineRule="auto"/>
        <w:ind w:left="7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to the main point of this paper, </w:t>
      </w:r>
      <w:r w:rsidR="00717026">
        <w:rPr>
          <w:rFonts w:ascii="Times New Roman" w:hAnsi="Times New Roman" w:cs="Times New Roman"/>
          <w:sz w:val="24"/>
          <w:szCs w:val="24"/>
        </w:rPr>
        <w:t>we will first show the Markowitz</w:t>
      </w:r>
      <w:r w:rsidR="008E0DDC">
        <w:rPr>
          <w:rFonts w:ascii="Times New Roman" w:hAnsi="Times New Roman" w:cs="Times New Roman"/>
          <w:sz w:val="24"/>
          <w:szCs w:val="24"/>
        </w:rPr>
        <w:t xml:space="preserve"> Efficient Frontier by </w:t>
      </w:r>
      <w:r w:rsidR="00EE4A82">
        <w:rPr>
          <w:rFonts w:ascii="Times New Roman" w:hAnsi="Times New Roman" w:cs="Times New Roman"/>
          <w:sz w:val="24"/>
          <w:szCs w:val="24"/>
        </w:rPr>
        <w:t xml:space="preserve">building portfolios with random weight assigned to each stock, </w:t>
      </w:r>
      <w:r w:rsidR="0087322D">
        <w:rPr>
          <w:rFonts w:ascii="Times New Roman" w:hAnsi="Times New Roman" w:cs="Times New Roman"/>
          <w:sz w:val="24"/>
          <w:szCs w:val="24"/>
        </w:rPr>
        <w:t xml:space="preserve">draw the </w:t>
      </w:r>
      <w:r w:rsidR="00B253E3">
        <w:rPr>
          <w:rFonts w:ascii="Times New Roman" w:hAnsi="Times New Roman" w:cs="Times New Roman"/>
          <w:sz w:val="24"/>
          <w:szCs w:val="24"/>
        </w:rPr>
        <w:t>efficient frontier line by using the optimization function</w:t>
      </w:r>
      <w:r w:rsidR="00961B8A">
        <w:rPr>
          <w:rFonts w:ascii="Times New Roman" w:hAnsi="Times New Roman" w:cs="Times New Roman"/>
          <w:sz w:val="24"/>
          <w:szCs w:val="24"/>
        </w:rPr>
        <w:t>, and finally</w:t>
      </w:r>
      <w:r w:rsidR="0069258D">
        <w:rPr>
          <w:rFonts w:ascii="Times New Roman" w:hAnsi="Times New Roman" w:cs="Times New Roman"/>
          <w:sz w:val="24"/>
          <w:szCs w:val="24"/>
        </w:rPr>
        <w:t xml:space="preserve"> mark the maximum Sharpe ratio portfolio (tangent portfolio) and the globa</w:t>
      </w:r>
      <w:r w:rsidR="00DC7E85">
        <w:rPr>
          <w:rFonts w:ascii="Times New Roman" w:hAnsi="Times New Roman" w:cs="Times New Roman"/>
          <w:sz w:val="24"/>
          <w:szCs w:val="24"/>
        </w:rPr>
        <w:t xml:space="preserve">l minimum variance </w:t>
      </w:r>
      <w:r w:rsidR="00C04DB6">
        <w:rPr>
          <w:rFonts w:ascii="Times New Roman" w:hAnsi="Times New Roman" w:cs="Times New Roman"/>
          <w:sz w:val="24"/>
          <w:szCs w:val="24"/>
        </w:rPr>
        <w:t>portfolio (</w:t>
      </w:r>
      <w:r w:rsidR="007C5990">
        <w:rPr>
          <w:rFonts w:ascii="Times New Roman" w:hAnsi="Times New Roman" w:cs="Times New Roman"/>
          <w:sz w:val="24"/>
          <w:szCs w:val="24"/>
        </w:rPr>
        <w:t>GMVP)</w:t>
      </w:r>
      <w:r w:rsidR="00DC7E85">
        <w:rPr>
          <w:rFonts w:ascii="Times New Roman" w:hAnsi="Times New Roman" w:cs="Times New Roman"/>
          <w:sz w:val="24"/>
          <w:szCs w:val="24"/>
        </w:rPr>
        <w:t xml:space="preserve">. The graph and the general optimization function is </w:t>
      </w:r>
      <w:r w:rsidR="00F54B05">
        <w:rPr>
          <w:rFonts w:ascii="Times New Roman" w:hAnsi="Times New Roman" w:cs="Times New Roman"/>
          <w:sz w:val="24"/>
          <w:szCs w:val="24"/>
        </w:rPr>
        <w:t>as follows.</w:t>
      </w:r>
    </w:p>
    <w:p w14:paraId="57A0FFF6" w14:textId="2F863C47" w:rsidR="00F54B05" w:rsidRPr="00F54B05" w:rsidRDefault="00F54B05" w:rsidP="00F54B05">
      <w:pPr>
        <w:spacing w:line="480" w:lineRule="auto"/>
        <w:ind w:left="760"/>
        <w:jc w:val="center"/>
        <w:rPr>
          <w:rFonts w:ascii="Times New Roman" w:hAnsi="Times New Roman" w:cs="Times New Roman"/>
          <w:sz w:val="24"/>
          <w:szCs w:val="24"/>
        </w:rPr>
      </w:pPr>
      <w:r w:rsidRPr="00F54B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3322E" wp14:editId="1A68E601">
            <wp:extent cx="2257740" cy="1343212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262F" w14:textId="19DB4072" w:rsidR="00F54B05" w:rsidRDefault="00F54B05" w:rsidP="00820E19">
      <w:pPr>
        <w:spacing w:line="480" w:lineRule="auto"/>
        <w:ind w:left="7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4EB175" wp14:editId="0F61EF3A">
            <wp:extent cx="5445520" cy="360045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83" cy="361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2C4D" w14:textId="3E43F15E" w:rsidR="00F54B05" w:rsidRDefault="00655AE6" w:rsidP="006D6B21">
      <w:pPr>
        <w:spacing w:line="480" w:lineRule="auto"/>
        <w:ind w:left="760" w:firstLine="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capital allocation line (CAL) is also drawn</w:t>
      </w:r>
      <w:r w:rsidR="00912136">
        <w:rPr>
          <w:rFonts w:ascii="Times New Roman" w:hAnsi="Times New Roman" w:cs="Times New Roman"/>
          <w:sz w:val="24"/>
          <w:szCs w:val="24"/>
        </w:rPr>
        <w:t xml:space="preserve"> as a dashed line</w:t>
      </w:r>
      <w:r>
        <w:rPr>
          <w:rFonts w:ascii="Times New Roman" w:hAnsi="Times New Roman" w:cs="Times New Roman"/>
          <w:sz w:val="24"/>
          <w:szCs w:val="24"/>
        </w:rPr>
        <w:t xml:space="preserve"> with a </w:t>
      </w:r>
      <w:r w:rsidR="00912136">
        <w:rPr>
          <w:rFonts w:ascii="Times New Roman" w:hAnsi="Times New Roman" w:cs="Times New Roman"/>
          <w:sz w:val="24"/>
          <w:szCs w:val="24"/>
        </w:rPr>
        <w:t>risk-free</w:t>
      </w:r>
      <w:r>
        <w:rPr>
          <w:rFonts w:ascii="Times New Roman" w:hAnsi="Times New Roman" w:cs="Times New Roman"/>
          <w:sz w:val="24"/>
          <w:szCs w:val="24"/>
        </w:rPr>
        <w:t xml:space="preserve"> rate assumption of 2%.</w:t>
      </w:r>
      <w:r w:rsidR="00912136">
        <w:rPr>
          <w:rFonts w:ascii="Times New Roman" w:hAnsi="Times New Roman" w:cs="Times New Roman"/>
          <w:sz w:val="24"/>
          <w:szCs w:val="24"/>
        </w:rPr>
        <w:t xml:space="preserve"> As we can see, the </w:t>
      </w:r>
      <w:r w:rsidR="007D3393">
        <w:rPr>
          <w:rFonts w:ascii="Times New Roman" w:hAnsi="Times New Roman" w:cs="Times New Roman"/>
          <w:sz w:val="24"/>
          <w:szCs w:val="24"/>
        </w:rPr>
        <w:t>frontier curve forms a semi</w:t>
      </w:r>
      <w:r w:rsidR="00B65E30">
        <w:rPr>
          <w:rFonts w:ascii="Times New Roman" w:hAnsi="Times New Roman" w:cs="Times New Roman"/>
          <w:sz w:val="24"/>
          <w:szCs w:val="24"/>
        </w:rPr>
        <w:t>-</w:t>
      </w:r>
      <w:r w:rsidR="007D3393">
        <w:rPr>
          <w:rFonts w:ascii="Times New Roman" w:hAnsi="Times New Roman" w:cs="Times New Roman"/>
          <w:sz w:val="24"/>
          <w:szCs w:val="24"/>
        </w:rPr>
        <w:t>hyper</w:t>
      </w:r>
      <w:r w:rsidR="00B65E30">
        <w:rPr>
          <w:rFonts w:ascii="Times New Roman" w:hAnsi="Times New Roman" w:cs="Times New Roman"/>
          <w:sz w:val="24"/>
          <w:szCs w:val="24"/>
        </w:rPr>
        <w:t xml:space="preserve">bole shape, and </w:t>
      </w:r>
      <w:r w:rsidR="004568D3">
        <w:rPr>
          <w:rFonts w:ascii="Times New Roman" w:hAnsi="Times New Roman" w:cs="Times New Roman"/>
          <w:sz w:val="24"/>
          <w:szCs w:val="24"/>
        </w:rPr>
        <w:t>connecting below the GMVP would show the full frontier as a hyperbole.</w:t>
      </w:r>
    </w:p>
    <w:p w14:paraId="4F8F7100" w14:textId="3DD1D4E0" w:rsidR="00243454" w:rsidRDefault="00D17AEB" w:rsidP="006D6B21">
      <w:pPr>
        <w:spacing w:line="480" w:lineRule="auto"/>
        <w:ind w:firstLineChars="50" w:firstLine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902F1A">
        <w:rPr>
          <w:rFonts w:ascii="Times New Roman" w:hAnsi="Times New Roman" w:cs="Times New Roman"/>
          <w:sz w:val="24"/>
          <w:szCs w:val="24"/>
        </w:rPr>
        <w:t xml:space="preserve"> resulting </w:t>
      </w:r>
      <w:r w:rsidR="00BB08A9">
        <w:rPr>
          <w:rFonts w:ascii="Times New Roman" w:hAnsi="Times New Roman" w:cs="Times New Roman"/>
          <w:sz w:val="24"/>
          <w:szCs w:val="24"/>
        </w:rPr>
        <w:t xml:space="preserve">expected return, expected volatility, </w:t>
      </w:r>
      <w:r w:rsidR="004E6E06">
        <w:rPr>
          <w:rFonts w:ascii="Times New Roman" w:hAnsi="Times New Roman" w:cs="Times New Roman"/>
          <w:sz w:val="24"/>
          <w:szCs w:val="24"/>
        </w:rPr>
        <w:t xml:space="preserve">Sharpe ratio, and the weight allocations to each stock is </w:t>
      </w:r>
      <w:r w:rsidR="00C04DB6">
        <w:rPr>
          <w:rFonts w:ascii="Times New Roman" w:hAnsi="Times New Roman" w:cs="Times New Roman"/>
          <w:sz w:val="24"/>
          <w:szCs w:val="24"/>
        </w:rPr>
        <w:t xml:space="preserve">suggested </w:t>
      </w:r>
      <w:r w:rsidR="00902F1A">
        <w:rPr>
          <w:rFonts w:ascii="Times New Roman" w:hAnsi="Times New Roman" w:cs="Times New Roman"/>
          <w:sz w:val="24"/>
          <w:szCs w:val="24"/>
        </w:rPr>
        <w:t xml:space="preserve">from the optimization for both </w:t>
      </w:r>
      <w:r w:rsidR="00902F1A">
        <w:rPr>
          <w:rFonts w:ascii="Times New Roman" w:hAnsi="Times New Roman" w:cs="Times New Roman"/>
          <w:sz w:val="24"/>
          <w:szCs w:val="24"/>
        </w:rPr>
        <w:t>Tangent Portfolio and the GMVP</w:t>
      </w:r>
      <w:r w:rsidR="001A035F">
        <w:rPr>
          <w:rFonts w:ascii="Times New Roman" w:hAnsi="Times New Roman" w:cs="Times New Roman"/>
          <w:sz w:val="24"/>
          <w:szCs w:val="24"/>
        </w:rPr>
        <w:t>.</w:t>
      </w:r>
    </w:p>
    <w:p w14:paraId="77A990D7" w14:textId="07F41D50" w:rsidR="00DB51C7" w:rsidRPr="00D62F0F" w:rsidRDefault="001A035F" w:rsidP="00DB51C7">
      <w:pPr>
        <w:pStyle w:val="HTML"/>
        <w:rPr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="00DB51C7" w:rsidRPr="00D62F0F">
        <w:rPr>
          <w:b/>
          <w:bCs/>
          <w:u w:val="single"/>
        </w:rPr>
        <w:t>Maximum Sharpe Ratio Portfolio Allocation</w:t>
      </w:r>
      <w:r w:rsidR="00D62F0F">
        <w:rPr>
          <w:b/>
          <w:bCs/>
          <w:u w:val="single"/>
        </w:rPr>
        <w:t xml:space="preserve"> </w:t>
      </w:r>
      <w:r w:rsidR="00DB51C7" w:rsidRPr="00D62F0F">
        <w:rPr>
          <w:b/>
          <w:bCs/>
          <w:u w:val="single"/>
        </w:rPr>
        <w:t>(Tangent Portfolio)</w:t>
      </w:r>
    </w:p>
    <w:p w14:paraId="3F268AA2" w14:textId="77777777" w:rsidR="00DB51C7" w:rsidRDefault="00DB51C7" w:rsidP="00DB51C7">
      <w:pPr>
        <w:pStyle w:val="HTML"/>
      </w:pPr>
    </w:p>
    <w:p w14:paraId="44A12C83" w14:textId="5B1EC872" w:rsidR="00DB51C7" w:rsidRDefault="00DB51C7" w:rsidP="002976FB">
      <w:pPr>
        <w:pStyle w:val="HTML"/>
        <w:tabs>
          <w:tab w:val="clear" w:pos="2748"/>
        </w:tabs>
      </w:pPr>
      <w:r>
        <w:t>Expected annual retur</w:t>
      </w:r>
      <w:r w:rsidR="008939BF">
        <w:t xml:space="preserve">n </w:t>
      </w:r>
      <w:r>
        <w:t>: 82.7%</w:t>
      </w:r>
    </w:p>
    <w:p w14:paraId="76357840" w14:textId="2D91235A" w:rsidR="00DB51C7" w:rsidRDefault="00DB51C7" w:rsidP="002976FB">
      <w:pPr>
        <w:pStyle w:val="HTML"/>
      </w:pPr>
      <w:r>
        <w:t>Annual volatility</w:t>
      </w:r>
      <w:r w:rsidR="008939BF">
        <w:tab/>
      </w:r>
      <w:r>
        <w:t>: 34.8%</w:t>
      </w:r>
    </w:p>
    <w:p w14:paraId="1D14151E" w14:textId="7D47D31B" w:rsidR="00DB51C7" w:rsidRDefault="00DB51C7" w:rsidP="00DB51C7">
      <w:pPr>
        <w:pStyle w:val="HTML"/>
      </w:pPr>
      <w:r>
        <w:t>Sharpe Ratio</w:t>
      </w:r>
      <w:r w:rsidR="008939BF">
        <w:tab/>
      </w:r>
      <w:r w:rsidR="008939BF">
        <w:tab/>
      </w:r>
      <w:r>
        <w:t>: 2.32</w:t>
      </w:r>
    </w:p>
    <w:p w14:paraId="477AB209" w14:textId="77777777" w:rsidR="00371000" w:rsidRDefault="00371000" w:rsidP="00DB51C7">
      <w:pPr>
        <w:pStyle w:val="HTML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056"/>
      </w:tblGrid>
      <w:tr w:rsidR="000B62F5" w:rsidRPr="000B62F5" w14:paraId="121FBEB9" w14:textId="77777777" w:rsidTr="000B62F5">
        <w:tc>
          <w:tcPr>
            <w:tcW w:w="3432" w:type="dxa"/>
            <w:gridSpan w:val="2"/>
          </w:tcPr>
          <w:p w14:paraId="0467832B" w14:textId="77777777" w:rsidR="000B62F5" w:rsidRPr="000B62F5" w:rsidRDefault="000B62F5" w:rsidP="000B62F5">
            <w:pPr>
              <w:pStyle w:val="HTML"/>
              <w:jc w:val="center"/>
              <w:rPr>
                <w:b/>
                <w:bCs/>
              </w:rPr>
            </w:pPr>
            <w:r w:rsidRPr="000B62F5">
              <w:rPr>
                <w:b/>
                <w:bCs/>
              </w:rPr>
              <w:t>Weights for each stock</w:t>
            </w:r>
          </w:p>
        </w:tc>
      </w:tr>
      <w:tr w:rsidR="000B62F5" w:rsidRPr="000B62F5" w14:paraId="6BFCF44C" w14:textId="77777777" w:rsidTr="000B62F5">
        <w:tc>
          <w:tcPr>
            <w:tcW w:w="2376" w:type="dxa"/>
          </w:tcPr>
          <w:p w14:paraId="39DE8DF0" w14:textId="7AA7F31D" w:rsidR="000B62F5" w:rsidRPr="000B62F5" w:rsidRDefault="000B62F5" w:rsidP="007B204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0B62F5">
              <w:t>나노신소재</w:t>
            </w:r>
            <w:proofErr w:type="spellEnd"/>
          </w:p>
        </w:tc>
        <w:tc>
          <w:tcPr>
            <w:tcW w:w="1056" w:type="dxa"/>
          </w:tcPr>
          <w:p w14:paraId="2AAE4B57" w14:textId="05D0486B" w:rsidR="000B62F5" w:rsidRPr="000B62F5" w:rsidRDefault="000B62F5" w:rsidP="007B204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0.25659</w:t>
            </w:r>
          </w:p>
        </w:tc>
      </w:tr>
      <w:tr w:rsidR="000B62F5" w:rsidRPr="000B62F5" w14:paraId="5246C727" w14:textId="77777777" w:rsidTr="000B62F5">
        <w:tc>
          <w:tcPr>
            <w:tcW w:w="2376" w:type="dxa"/>
          </w:tcPr>
          <w:p w14:paraId="6234F5D4" w14:textId="0D51DEC6" w:rsidR="000B62F5" w:rsidRPr="000B62F5" w:rsidRDefault="000B62F5" w:rsidP="007B204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0B62F5">
              <w:t>대성파인텍</w:t>
            </w:r>
            <w:proofErr w:type="spellEnd"/>
          </w:p>
        </w:tc>
        <w:tc>
          <w:tcPr>
            <w:tcW w:w="1056" w:type="dxa"/>
          </w:tcPr>
          <w:p w14:paraId="1A6BD94D" w14:textId="77777777" w:rsidR="000B62F5" w:rsidRPr="000B62F5" w:rsidRDefault="000B62F5" w:rsidP="007B204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0.0</w:t>
            </w:r>
          </w:p>
        </w:tc>
      </w:tr>
      <w:tr w:rsidR="000B62F5" w:rsidRPr="000B62F5" w14:paraId="1D0B0824" w14:textId="77777777" w:rsidTr="000B62F5">
        <w:tc>
          <w:tcPr>
            <w:tcW w:w="2376" w:type="dxa"/>
          </w:tcPr>
          <w:p w14:paraId="00530E65" w14:textId="2F9F62A1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0B62F5">
              <w:t>대주전자재료</w:t>
            </w:r>
            <w:proofErr w:type="spellEnd"/>
          </w:p>
        </w:tc>
        <w:tc>
          <w:tcPr>
            <w:tcW w:w="1056" w:type="dxa"/>
          </w:tcPr>
          <w:p w14:paraId="1A15A415" w14:textId="2F9CFE34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0.08883</w:t>
            </w:r>
          </w:p>
        </w:tc>
      </w:tr>
      <w:tr w:rsidR="000B62F5" w:rsidRPr="000B62F5" w14:paraId="21178069" w14:textId="77777777" w:rsidTr="000B62F5">
        <w:tc>
          <w:tcPr>
            <w:tcW w:w="2376" w:type="dxa"/>
          </w:tcPr>
          <w:p w14:paraId="4B441AB4" w14:textId="2144D626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0B62F5">
              <w:t>신성이엔지보통주</w:t>
            </w:r>
            <w:proofErr w:type="spellEnd"/>
            <w:r w:rsidRPr="000B62F5">
              <w:t xml:space="preserve"> </w:t>
            </w:r>
          </w:p>
        </w:tc>
        <w:tc>
          <w:tcPr>
            <w:tcW w:w="1056" w:type="dxa"/>
          </w:tcPr>
          <w:p w14:paraId="28922E36" w14:textId="77777777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0.0848</w:t>
            </w:r>
          </w:p>
        </w:tc>
      </w:tr>
      <w:tr w:rsidR="000B62F5" w:rsidRPr="000B62F5" w14:paraId="3FE6C2EF" w14:textId="77777777" w:rsidTr="000B62F5">
        <w:tc>
          <w:tcPr>
            <w:tcW w:w="2376" w:type="dxa"/>
          </w:tcPr>
          <w:p w14:paraId="1DA5F6D1" w14:textId="3EE16BDD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0B62F5">
              <w:t>아바코</w:t>
            </w:r>
            <w:proofErr w:type="spellEnd"/>
          </w:p>
        </w:tc>
        <w:tc>
          <w:tcPr>
            <w:tcW w:w="1056" w:type="dxa"/>
          </w:tcPr>
          <w:p w14:paraId="5C0EC937" w14:textId="1910657E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0.0</w:t>
            </w:r>
          </w:p>
        </w:tc>
      </w:tr>
      <w:tr w:rsidR="000B62F5" w:rsidRPr="000B62F5" w14:paraId="5D918719" w14:textId="77777777" w:rsidTr="000B62F5">
        <w:tc>
          <w:tcPr>
            <w:tcW w:w="2376" w:type="dxa"/>
          </w:tcPr>
          <w:p w14:paraId="12D11E86" w14:textId="6D8AF88E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0B62F5">
              <w:t>알에스오토메이션</w:t>
            </w:r>
            <w:proofErr w:type="spellEnd"/>
            <w:r w:rsidRPr="000B62F5">
              <w:t xml:space="preserve"> </w:t>
            </w:r>
          </w:p>
        </w:tc>
        <w:tc>
          <w:tcPr>
            <w:tcW w:w="1056" w:type="dxa"/>
          </w:tcPr>
          <w:p w14:paraId="5E63ED51" w14:textId="77777777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0.0304</w:t>
            </w:r>
          </w:p>
        </w:tc>
      </w:tr>
      <w:tr w:rsidR="000B62F5" w:rsidRPr="000B62F5" w14:paraId="777D6D00" w14:textId="77777777" w:rsidTr="000B62F5">
        <w:tc>
          <w:tcPr>
            <w:tcW w:w="2376" w:type="dxa"/>
          </w:tcPr>
          <w:p w14:paraId="32F8B9F3" w14:textId="51B600F4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주성엔지니어링</w:t>
            </w:r>
          </w:p>
        </w:tc>
        <w:tc>
          <w:tcPr>
            <w:tcW w:w="1056" w:type="dxa"/>
          </w:tcPr>
          <w:p w14:paraId="7A041906" w14:textId="77777777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0.26275</w:t>
            </w:r>
          </w:p>
        </w:tc>
      </w:tr>
      <w:tr w:rsidR="000B62F5" w:rsidRPr="000B62F5" w14:paraId="00D078E7" w14:textId="77777777" w:rsidTr="000B62F5">
        <w:tc>
          <w:tcPr>
            <w:tcW w:w="2376" w:type="dxa"/>
          </w:tcPr>
          <w:p w14:paraId="21CB9CBA" w14:textId="5B2FDA43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0B62F5">
              <w:t>주식회사케이씨씨</w:t>
            </w:r>
            <w:proofErr w:type="spellEnd"/>
            <w:r w:rsidRPr="000B62F5">
              <w:t xml:space="preserve"> </w:t>
            </w:r>
          </w:p>
        </w:tc>
        <w:tc>
          <w:tcPr>
            <w:tcW w:w="1056" w:type="dxa"/>
          </w:tcPr>
          <w:p w14:paraId="3F8A6B4E" w14:textId="77777777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0.13478</w:t>
            </w:r>
          </w:p>
        </w:tc>
      </w:tr>
      <w:tr w:rsidR="000B62F5" w:rsidRPr="000B62F5" w14:paraId="4FE4A247" w14:textId="77777777" w:rsidTr="000B62F5">
        <w:tc>
          <w:tcPr>
            <w:tcW w:w="2376" w:type="dxa"/>
          </w:tcPr>
          <w:p w14:paraId="58BAF17C" w14:textId="1EA68682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0B62F5">
              <w:t>코미코</w:t>
            </w:r>
            <w:proofErr w:type="spellEnd"/>
          </w:p>
        </w:tc>
        <w:tc>
          <w:tcPr>
            <w:tcW w:w="1056" w:type="dxa"/>
          </w:tcPr>
          <w:p w14:paraId="1FF515D5" w14:textId="6CE47464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0.09001</w:t>
            </w:r>
          </w:p>
        </w:tc>
      </w:tr>
      <w:tr w:rsidR="000B62F5" w:rsidRPr="000B62F5" w14:paraId="0925DF93" w14:textId="77777777" w:rsidTr="000B62F5">
        <w:tc>
          <w:tcPr>
            <w:tcW w:w="2376" w:type="dxa"/>
          </w:tcPr>
          <w:p w14:paraId="11325C6E" w14:textId="3922EE03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 xml:space="preserve">한화솔루션보통주 </w:t>
            </w:r>
          </w:p>
        </w:tc>
        <w:tc>
          <w:tcPr>
            <w:tcW w:w="1056" w:type="dxa"/>
          </w:tcPr>
          <w:p w14:paraId="1E866E13" w14:textId="77777777" w:rsidR="000B62F5" w:rsidRPr="000B62F5" w:rsidRDefault="000B62F5" w:rsidP="000B62F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0B62F5">
              <w:t>0.05184</w:t>
            </w:r>
          </w:p>
        </w:tc>
      </w:tr>
    </w:tbl>
    <w:p w14:paraId="48CFC256" w14:textId="77777777" w:rsidR="00371000" w:rsidRDefault="00371000" w:rsidP="000B62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440907" w14:textId="5BB84F87" w:rsidR="001A035F" w:rsidRDefault="009453AE" w:rsidP="000B62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D58D4" wp14:editId="6F8C0C90">
            <wp:extent cx="4081563" cy="27146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55" cy="27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021F" w14:textId="2D78837D" w:rsidR="009453AE" w:rsidRDefault="009453AE" w:rsidP="000B62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E33E726" w14:textId="77777777" w:rsidR="006560FA" w:rsidRDefault="006560FA" w:rsidP="000B62F5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36AE107" w14:textId="66AF4618" w:rsidR="00AB53C0" w:rsidRPr="00AB53C0" w:rsidRDefault="00AB53C0" w:rsidP="00AB53C0">
      <w:pPr>
        <w:pStyle w:val="HTML"/>
        <w:jc w:val="center"/>
        <w:rPr>
          <w:b/>
          <w:bCs/>
          <w:u w:val="single"/>
        </w:rPr>
      </w:pPr>
      <w:r w:rsidRPr="00AB53C0">
        <w:rPr>
          <w:b/>
          <w:bCs/>
          <w:u w:val="single"/>
        </w:rPr>
        <w:lastRenderedPageBreak/>
        <w:t>Minimum Volatility Portfolio Allocation</w:t>
      </w:r>
      <w:r>
        <w:rPr>
          <w:b/>
          <w:bCs/>
          <w:u w:val="single"/>
        </w:rPr>
        <w:t xml:space="preserve"> </w:t>
      </w:r>
      <w:r w:rsidRPr="00AB53C0">
        <w:rPr>
          <w:b/>
          <w:bCs/>
          <w:u w:val="single"/>
        </w:rPr>
        <w:t>(GMVP</w:t>
      </w:r>
      <w:r w:rsidRPr="00AB53C0">
        <w:rPr>
          <w:b/>
          <w:bCs/>
          <w:u w:val="single"/>
        </w:rPr>
        <w:t>)</w:t>
      </w:r>
    </w:p>
    <w:p w14:paraId="6553EBC1" w14:textId="665019A3" w:rsidR="00910955" w:rsidRDefault="00910955" w:rsidP="000B62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939FD6" w14:textId="43C6C08C" w:rsidR="00BB57D6" w:rsidRDefault="00BB57D6" w:rsidP="00BB57D6">
      <w:pPr>
        <w:pStyle w:val="HTML"/>
      </w:pPr>
      <w:r>
        <w:t>Expected annual return</w:t>
      </w:r>
      <w:r w:rsidR="008D3AA2">
        <w:tab/>
      </w:r>
      <w:r>
        <w:t>: 61.9%</w:t>
      </w:r>
    </w:p>
    <w:p w14:paraId="15678F44" w14:textId="061737DD" w:rsidR="00BB57D6" w:rsidRDefault="00BB57D6" w:rsidP="00BB57D6">
      <w:pPr>
        <w:pStyle w:val="HTML"/>
      </w:pPr>
      <w:r>
        <w:t>Annual volatility</w:t>
      </w:r>
      <w:r w:rsidR="008D3AA2">
        <w:tab/>
      </w:r>
      <w:r>
        <w:t>: 30.2%</w:t>
      </w:r>
    </w:p>
    <w:p w14:paraId="29F47D19" w14:textId="2FBEDCCD" w:rsidR="00BB57D6" w:rsidRDefault="00BB57D6" w:rsidP="0031660C">
      <w:pPr>
        <w:pStyle w:val="HTML"/>
      </w:pPr>
      <w:r>
        <w:t>Sharpe Ratio</w:t>
      </w:r>
      <w:r w:rsidR="008D3AA2">
        <w:tab/>
      </w:r>
      <w:r w:rsidR="008D3AA2">
        <w:tab/>
      </w:r>
      <w:r>
        <w:t>: 1.99</w:t>
      </w:r>
    </w:p>
    <w:p w14:paraId="2C6C2B6E" w14:textId="77777777" w:rsidR="0053755E" w:rsidRPr="0031660C" w:rsidRDefault="0053755E" w:rsidP="0031660C">
      <w:pPr>
        <w:pStyle w:val="HTML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056"/>
      </w:tblGrid>
      <w:tr w:rsidR="0031660C" w:rsidRPr="0031660C" w14:paraId="2FABD929" w14:textId="77777777" w:rsidTr="0031660C">
        <w:tc>
          <w:tcPr>
            <w:tcW w:w="3432" w:type="dxa"/>
            <w:gridSpan w:val="2"/>
          </w:tcPr>
          <w:p w14:paraId="04544370" w14:textId="77777777" w:rsidR="0031660C" w:rsidRPr="0031660C" w:rsidRDefault="0031660C" w:rsidP="0031660C">
            <w:pPr>
              <w:spacing w:line="48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31660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W</w:t>
            </w:r>
            <w:r w:rsidRPr="00316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eights for each stock</w:t>
            </w:r>
          </w:p>
        </w:tc>
      </w:tr>
      <w:tr w:rsidR="005B2ED3" w:rsidRPr="005B2ED3" w14:paraId="2F51C094" w14:textId="77777777" w:rsidTr="0031660C">
        <w:tc>
          <w:tcPr>
            <w:tcW w:w="2376" w:type="dxa"/>
          </w:tcPr>
          <w:p w14:paraId="5B598125" w14:textId="2B4C24EB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5B2ED3">
              <w:t>나노신소재</w:t>
            </w:r>
            <w:proofErr w:type="spellEnd"/>
            <w:r w:rsidRPr="005B2ED3">
              <w:t xml:space="preserve"> </w:t>
            </w:r>
          </w:p>
        </w:tc>
        <w:tc>
          <w:tcPr>
            <w:tcW w:w="1056" w:type="dxa"/>
          </w:tcPr>
          <w:p w14:paraId="13BC401C" w14:textId="008651F3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0.04246</w:t>
            </w:r>
          </w:p>
        </w:tc>
      </w:tr>
      <w:tr w:rsidR="005B2ED3" w:rsidRPr="005B2ED3" w14:paraId="6D23FC89" w14:textId="77777777" w:rsidTr="0031660C">
        <w:tc>
          <w:tcPr>
            <w:tcW w:w="2376" w:type="dxa"/>
          </w:tcPr>
          <w:p w14:paraId="6E55B120" w14:textId="2B348AEB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5B2ED3">
              <w:t>대성파인텍</w:t>
            </w:r>
            <w:proofErr w:type="spellEnd"/>
            <w:r w:rsidRPr="005B2ED3">
              <w:t xml:space="preserve"> </w:t>
            </w:r>
          </w:p>
        </w:tc>
        <w:tc>
          <w:tcPr>
            <w:tcW w:w="1056" w:type="dxa"/>
          </w:tcPr>
          <w:p w14:paraId="6878FDC7" w14:textId="3C028D73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0.0066</w:t>
            </w:r>
          </w:p>
        </w:tc>
      </w:tr>
      <w:tr w:rsidR="005B2ED3" w:rsidRPr="005B2ED3" w14:paraId="08C6ACE6" w14:textId="77777777" w:rsidTr="0031660C">
        <w:tc>
          <w:tcPr>
            <w:tcW w:w="2376" w:type="dxa"/>
          </w:tcPr>
          <w:p w14:paraId="189C1253" w14:textId="46A1596A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5B2ED3">
              <w:t>대주전자재료</w:t>
            </w:r>
            <w:proofErr w:type="spellEnd"/>
            <w:r w:rsidRPr="005B2ED3">
              <w:t xml:space="preserve"> </w:t>
            </w:r>
          </w:p>
        </w:tc>
        <w:tc>
          <w:tcPr>
            <w:tcW w:w="1056" w:type="dxa"/>
          </w:tcPr>
          <w:p w14:paraId="3677CC0D" w14:textId="48F95B21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0.06083</w:t>
            </w:r>
          </w:p>
        </w:tc>
      </w:tr>
      <w:tr w:rsidR="005B2ED3" w:rsidRPr="005B2ED3" w14:paraId="6E238BAD" w14:textId="77777777" w:rsidTr="0031660C">
        <w:tc>
          <w:tcPr>
            <w:tcW w:w="2376" w:type="dxa"/>
          </w:tcPr>
          <w:p w14:paraId="48E39A11" w14:textId="36F0170B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5B2ED3">
              <w:t>신성이엔지보통주</w:t>
            </w:r>
            <w:proofErr w:type="spellEnd"/>
            <w:r w:rsidRPr="005B2ED3">
              <w:t xml:space="preserve">  </w:t>
            </w:r>
          </w:p>
        </w:tc>
        <w:tc>
          <w:tcPr>
            <w:tcW w:w="1056" w:type="dxa"/>
          </w:tcPr>
          <w:p w14:paraId="5E9A65F3" w14:textId="77777777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0.04912</w:t>
            </w:r>
          </w:p>
        </w:tc>
      </w:tr>
      <w:tr w:rsidR="005B2ED3" w:rsidRPr="005B2ED3" w14:paraId="041D5127" w14:textId="77777777" w:rsidTr="0031660C">
        <w:tc>
          <w:tcPr>
            <w:tcW w:w="2376" w:type="dxa"/>
          </w:tcPr>
          <w:p w14:paraId="64B25964" w14:textId="206F5072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5B2ED3">
              <w:t>아바코</w:t>
            </w:r>
            <w:proofErr w:type="spellEnd"/>
            <w:r w:rsidRPr="005B2ED3">
              <w:t xml:space="preserve"> </w:t>
            </w:r>
          </w:p>
        </w:tc>
        <w:tc>
          <w:tcPr>
            <w:tcW w:w="1056" w:type="dxa"/>
          </w:tcPr>
          <w:p w14:paraId="291C40C0" w14:textId="77777777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0.14443</w:t>
            </w:r>
          </w:p>
        </w:tc>
      </w:tr>
      <w:tr w:rsidR="005B2ED3" w:rsidRPr="005B2ED3" w14:paraId="3B583BE0" w14:textId="77777777" w:rsidTr="0031660C">
        <w:tc>
          <w:tcPr>
            <w:tcW w:w="2376" w:type="dxa"/>
          </w:tcPr>
          <w:p w14:paraId="73BEE5D5" w14:textId="696DE9BF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5B2ED3">
              <w:t>알에스오토메이션</w:t>
            </w:r>
            <w:proofErr w:type="spellEnd"/>
            <w:r w:rsidRPr="005B2ED3">
              <w:t xml:space="preserve">  </w:t>
            </w:r>
          </w:p>
        </w:tc>
        <w:tc>
          <w:tcPr>
            <w:tcW w:w="1056" w:type="dxa"/>
          </w:tcPr>
          <w:p w14:paraId="7D842412" w14:textId="77777777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0.09256</w:t>
            </w:r>
          </w:p>
        </w:tc>
      </w:tr>
      <w:tr w:rsidR="005B2ED3" w:rsidRPr="005B2ED3" w14:paraId="3D7E0C85" w14:textId="77777777" w:rsidTr="0031660C">
        <w:tc>
          <w:tcPr>
            <w:tcW w:w="2376" w:type="dxa"/>
          </w:tcPr>
          <w:p w14:paraId="42FDD08C" w14:textId="68333D49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 xml:space="preserve">주성엔지니어링 </w:t>
            </w:r>
          </w:p>
        </w:tc>
        <w:tc>
          <w:tcPr>
            <w:tcW w:w="1056" w:type="dxa"/>
          </w:tcPr>
          <w:p w14:paraId="1E367256" w14:textId="77777777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0.09036</w:t>
            </w:r>
          </w:p>
        </w:tc>
      </w:tr>
      <w:tr w:rsidR="005B2ED3" w:rsidRPr="005B2ED3" w14:paraId="46B3E9D6" w14:textId="77777777" w:rsidTr="0031660C">
        <w:tc>
          <w:tcPr>
            <w:tcW w:w="2376" w:type="dxa"/>
          </w:tcPr>
          <w:p w14:paraId="27B31000" w14:textId="10C315AE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5B2ED3">
              <w:t>주식회사케이씨씨</w:t>
            </w:r>
            <w:proofErr w:type="spellEnd"/>
            <w:r w:rsidRPr="005B2ED3">
              <w:t xml:space="preserve">  </w:t>
            </w:r>
          </w:p>
        </w:tc>
        <w:tc>
          <w:tcPr>
            <w:tcW w:w="1056" w:type="dxa"/>
          </w:tcPr>
          <w:p w14:paraId="1B79A6FF" w14:textId="77777777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0.22594</w:t>
            </w:r>
          </w:p>
        </w:tc>
      </w:tr>
      <w:tr w:rsidR="005B2ED3" w:rsidRPr="005B2ED3" w14:paraId="0054A83F" w14:textId="77777777" w:rsidTr="0031660C">
        <w:tc>
          <w:tcPr>
            <w:tcW w:w="2376" w:type="dxa"/>
          </w:tcPr>
          <w:p w14:paraId="7F1E9D17" w14:textId="43775944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5B2ED3">
              <w:t>코미코</w:t>
            </w:r>
            <w:proofErr w:type="spellEnd"/>
            <w:r w:rsidRPr="005B2ED3">
              <w:t xml:space="preserve"> </w:t>
            </w:r>
          </w:p>
        </w:tc>
        <w:tc>
          <w:tcPr>
            <w:tcW w:w="1056" w:type="dxa"/>
          </w:tcPr>
          <w:p w14:paraId="547D8034" w14:textId="77777777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0.18017</w:t>
            </w:r>
          </w:p>
        </w:tc>
      </w:tr>
      <w:tr w:rsidR="005B2ED3" w:rsidRPr="005B2ED3" w14:paraId="1F57FCDD" w14:textId="77777777" w:rsidTr="0031660C">
        <w:tc>
          <w:tcPr>
            <w:tcW w:w="2376" w:type="dxa"/>
          </w:tcPr>
          <w:p w14:paraId="4AC733DB" w14:textId="272366DD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 xml:space="preserve">한화솔루션보통주  </w:t>
            </w:r>
          </w:p>
        </w:tc>
        <w:tc>
          <w:tcPr>
            <w:tcW w:w="1056" w:type="dxa"/>
          </w:tcPr>
          <w:p w14:paraId="571D3086" w14:textId="77777777" w:rsidR="005B2ED3" w:rsidRPr="005B2ED3" w:rsidRDefault="005B2ED3" w:rsidP="005B2E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5B2ED3">
              <w:t>0.10753</w:t>
            </w:r>
          </w:p>
        </w:tc>
      </w:tr>
    </w:tbl>
    <w:p w14:paraId="6B337BE7" w14:textId="5B601C0E" w:rsidR="005567B3" w:rsidRDefault="005567B3" w:rsidP="005B2ED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121291E" w14:textId="4A42881B" w:rsidR="0053755E" w:rsidRDefault="00564606" w:rsidP="005B2ED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918151A" wp14:editId="3AA30655">
            <wp:extent cx="4038600" cy="2686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5A9" w14:textId="5AAF6FD2" w:rsidR="00143BAB" w:rsidRDefault="007B4DC8" w:rsidP="005B2ED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annualized expected return and Sharpe ratios </w:t>
      </w:r>
      <w:r w:rsidR="009E5167">
        <w:rPr>
          <w:rFonts w:ascii="Times New Roman" w:hAnsi="Times New Roman" w:cs="Times New Roman"/>
          <w:sz w:val="24"/>
          <w:szCs w:val="24"/>
        </w:rPr>
        <w:t xml:space="preserve">for both tangent portfolio and GMVP look extremely attractive. However, it should be noted that </w:t>
      </w:r>
      <w:r w:rsidR="00BB5627">
        <w:rPr>
          <w:rFonts w:ascii="Times New Roman" w:hAnsi="Times New Roman" w:cs="Times New Roman"/>
          <w:sz w:val="24"/>
          <w:szCs w:val="24"/>
        </w:rPr>
        <w:t xml:space="preserve">these stocks were chosen with “known” </w:t>
      </w:r>
      <w:r w:rsidR="00051F4A">
        <w:rPr>
          <w:rFonts w:ascii="Times New Roman" w:hAnsi="Times New Roman" w:cs="Times New Roman"/>
          <w:sz w:val="24"/>
          <w:szCs w:val="24"/>
        </w:rPr>
        <w:t>historical returns</w:t>
      </w:r>
      <w:r w:rsidR="00521C79">
        <w:rPr>
          <w:rFonts w:ascii="Times New Roman" w:hAnsi="Times New Roman" w:cs="Times New Roman"/>
          <w:sz w:val="24"/>
          <w:szCs w:val="24"/>
        </w:rPr>
        <w:t xml:space="preserve"> </w:t>
      </w:r>
      <w:r w:rsidR="001A70B7">
        <w:rPr>
          <w:rFonts w:ascii="Times New Roman" w:hAnsi="Times New Roman" w:cs="Times New Roman"/>
          <w:sz w:val="24"/>
          <w:szCs w:val="24"/>
        </w:rPr>
        <w:t xml:space="preserve">that is being used as proxy for the expectations. In other words, there </w:t>
      </w:r>
      <w:r w:rsidR="005D0F6A">
        <w:rPr>
          <w:rFonts w:ascii="Times New Roman" w:hAnsi="Times New Roman" w:cs="Times New Roman"/>
          <w:sz w:val="24"/>
          <w:szCs w:val="24"/>
        </w:rPr>
        <w:t>exists</w:t>
      </w:r>
      <w:r w:rsidR="001A70B7">
        <w:rPr>
          <w:rFonts w:ascii="Times New Roman" w:hAnsi="Times New Roman" w:cs="Times New Roman"/>
          <w:sz w:val="24"/>
          <w:szCs w:val="24"/>
        </w:rPr>
        <w:t xml:space="preserve"> heavy survivor</w:t>
      </w:r>
      <w:r w:rsidR="009B4AA3">
        <w:rPr>
          <w:rFonts w:ascii="Times New Roman" w:hAnsi="Times New Roman" w:cs="Times New Roman"/>
          <w:sz w:val="24"/>
          <w:szCs w:val="24"/>
        </w:rPr>
        <w:t>ship bias embedded in the selection process.</w:t>
      </w:r>
    </w:p>
    <w:p w14:paraId="41795496" w14:textId="1E59612C" w:rsidR="00143BAB" w:rsidRPr="009B3F10" w:rsidRDefault="009B3F10" w:rsidP="009B3F10">
      <w:pPr>
        <w:pStyle w:val="a3"/>
        <w:numPr>
          <w:ilvl w:val="0"/>
          <w:numId w:val="2"/>
        </w:numPr>
        <w:spacing w:line="480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ptimal Portfolio Construction</w:t>
      </w:r>
    </w:p>
    <w:p w14:paraId="65F1901A" w14:textId="010D5782" w:rsidR="009B3F10" w:rsidRDefault="00AD39DA" w:rsidP="00EB3F83">
      <w:pPr>
        <w:spacing w:line="480" w:lineRule="auto"/>
        <w:ind w:left="760" w:firstLine="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experiment is to construct the optimal portfolio given </w:t>
      </w:r>
      <w:r w:rsidR="002C6ADA">
        <w:rPr>
          <w:rFonts w:ascii="Times New Roman" w:hAnsi="Times New Roman" w:cs="Times New Roman"/>
          <w:sz w:val="24"/>
          <w:szCs w:val="24"/>
        </w:rPr>
        <w:t>risk-free rate, risk aversion level</w:t>
      </w:r>
      <w:r w:rsidR="00EB3F83">
        <w:rPr>
          <w:rFonts w:ascii="Times New Roman" w:hAnsi="Times New Roman" w:cs="Times New Roman"/>
          <w:sz w:val="24"/>
          <w:szCs w:val="24"/>
        </w:rPr>
        <w:t>,</w:t>
      </w:r>
      <w:r w:rsidR="002C6ADA">
        <w:rPr>
          <w:rFonts w:ascii="Times New Roman" w:hAnsi="Times New Roman" w:cs="Times New Roman"/>
          <w:sz w:val="24"/>
          <w:szCs w:val="24"/>
        </w:rPr>
        <w:t xml:space="preserve"> and a utility function</w:t>
      </w:r>
      <w:r w:rsidR="00EB3F83">
        <w:rPr>
          <w:rFonts w:ascii="Times New Roman" w:hAnsi="Times New Roman" w:cs="Times New Roman"/>
          <w:sz w:val="24"/>
          <w:szCs w:val="24"/>
        </w:rPr>
        <w:t>.</w:t>
      </w:r>
    </w:p>
    <w:p w14:paraId="77E2C760" w14:textId="6243C634" w:rsidR="00EB3F83" w:rsidRDefault="00822F97" w:rsidP="00FB6873">
      <w:pPr>
        <w:spacing w:line="360" w:lineRule="auto"/>
        <w:ind w:left="760" w:firstLine="40"/>
        <w:jc w:val="left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R </w:t>
      </w:r>
      <w:r>
        <w:rPr>
          <w:rStyle w:val="markedcontent"/>
          <w:rFonts w:ascii="Arial" w:hAnsi="Arial" w:cs="Arial"/>
          <w:sz w:val="16"/>
          <w:szCs w:val="16"/>
        </w:rPr>
        <w:t xml:space="preserve">f </w:t>
      </w:r>
      <w:r>
        <w:rPr>
          <w:rStyle w:val="markedcontent"/>
          <w:rFonts w:ascii="Arial" w:hAnsi="Arial" w:cs="Arial"/>
          <w:sz w:val="25"/>
          <w:szCs w:val="25"/>
        </w:rPr>
        <w:t>= 2%</w:t>
      </w:r>
    </w:p>
    <w:p w14:paraId="7BFC4238" w14:textId="4A674CF2" w:rsidR="005878A7" w:rsidRDefault="00822F97" w:rsidP="00FB6873">
      <w:pPr>
        <w:spacing w:line="360" w:lineRule="auto"/>
        <w:ind w:left="760" w:firstLine="40"/>
        <w:jc w:val="left"/>
        <w:rPr>
          <w:rFonts w:ascii="Times New Roman" w:hAnsi="Times New Roman" w:cs="Times New Roman"/>
          <w:sz w:val="24"/>
          <w:szCs w:val="24"/>
        </w:rPr>
      </w:pPr>
      <w:r w:rsidRPr="00822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0E5C4D" wp14:editId="65F7E46A">
            <wp:extent cx="1800476" cy="562053"/>
            <wp:effectExtent l="0" t="0" r="9525" b="9525"/>
            <wp:docPr id="11" name="그림 11" descr="텍스트, 손목시계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손목시계, 시계, 게이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7E0" w14:textId="4C4C4D44" w:rsidR="007A5C6B" w:rsidRDefault="009F1CBA" w:rsidP="00284A24">
      <w:pPr>
        <w:spacing w:line="360" w:lineRule="auto"/>
        <w:ind w:left="760" w:firstLine="4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t xml:space="preserve">With slope of indifference curve </w:t>
      </w:r>
      <w:r>
        <w:rPr>
          <w:rStyle w:val="mjx-char"/>
          <w:sz w:val="27"/>
          <w:szCs w:val="27"/>
        </w:rPr>
        <w:t>= </w:t>
      </w:r>
      <w:proofErr w:type="spellStart"/>
      <w:r>
        <w:rPr>
          <w:rStyle w:val="mjx-char"/>
          <w:sz w:val="27"/>
          <w:szCs w:val="27"/>
        </w:rPr>
        <w:t>Aσ</w:t>
      </w:r>
      <w:proofErr w:type="spellEnd"/>
      <w:r>
        <w:rPr>
          <w:rStyle w:val="mjx-char"/>
          <w:sz w:val="27"/>
          <w:szCs w:val="27"/>
        </w:rPr>
        <w:t> =Ay</w:t>
      </w:r>
      <w:r>
        <w:rPr>
          <w:rStyle w:val="mjx-char"/>
          <w:rFonts w:ascii="MS Gothic" w:eastAsia="MS Gothic" w:hAnsi="MS Gothic" w:cs="MS Gothic" w:hint="eastAsia"/>
          <w:sz w:val="19"/>
          <w:szCs w:val="19"/>
        </w:rPr>
        <w:t>∗</w:t>
      </w:r>
      <w:proofErr w:type="spellStart"/>
      <w:r>
        <w:rPr>
          <w:rStyle w:val="mjx-char"/>
          <w:sz w:val="27"/>
          <w:szCs w:val="27"/>
        </w:rPr>
        <w:t>σ</w:t>
      </w:r>
      <w:r>
        <w:rPr>
          <w:rStyle w:val="mjx-char"/>
          <w:sz w:val="19"/>
          <w:szCs w:val="19"/>
        </w:rPr>
        <w:t>T</w:t>
      </w:r>
      <w:proofErr w:type="spellEnd"/>
      <w:r>
        <w:t xml:space="preserve"> and slope of CAL </w:t>
      </w:r>
      <w:r>
        <w:rPr>
          <w:rStyle w:val="mjx-char"/>
          <w:sz w:val="19"/>
          <w:szCs w:val="19"/>
        </w:rPr>
        <w:t>E(R</w:t>
      </w:r>
      <w:r>
        <w:rPr>
          <w:rStyle w:val="mjx-char"/>
          <w:sz w:val="13"/>
          <w:szCs w:val="13"/>
        </w:rPr>
        <w:t>T</w:t>
      </w:r>
      <w:r>
        <w:rPr>
          <w:rStyle w:val="mjx-char"/>
          <w:sz w:val="19"/>
          <w:szCs w:val="19"/>
        </w:rPr>
        <w:t>)</w:t>
      </w:r>
      <w:r>
        <w:rPr>
          <w:rStyle w:val="mjx-char"/>
          <w:rFonts w:ascii="바탕" w:eastAsia="바탕" w:hAnsi="바탕" w:cs="바탕" w:hint="eastAsia"/>
          <w:sz w:val="19"/>
          <w:szCs w:val="19"/>
        </w:rPr>
        <w:t>−</w:t>
      </w:r>
      <w:proofErr w:type="spellStart"/>
      <w:r>
        <w:rPr>
          <w:rStyle w:val="mjx-char"/>
          <w:sz w:val="19"/>
          <w:szCs w:val="19"/>
        </w:rPr>
        <w:t>R</w:t>
      </w:r>
      <w:r>
        <w:rPr>
          <w:rStyle w:val="mjx-char"/>
          <w:sz w:val="13"/>
          <w:szCs w:val="13"/>
        </w:rPr>
        <w:t>f</w:t>
      </w:r>
      <w:r>
        <w:rPr>
          <w:rStyle w:val="mjx-char"/>
          <w:sz w:val="19"/>
          <w:szCs w:val="19"/>
        </w:rPr>
        <w:t>σ</w:t>
      </w:r>
      <w:r>
        <w:rPr>
          <w:rStyle w:val="mjx-char"/>
          <w:sz w:val="13"/>
          <w:szCs w:val="13"/>
        </w:rPr>
        <w:t>T</w:t>
      </w:r>
      <w:proofErr w:type="spellEnd"/>
      <w:r>
        <w:t xml:space="preserve"> We can obtain for </w:t>
      </w:r>
      <w:r>
        <w:rPr>
          <w:rStyle w:val="mjx-char"/>
          <w:sz w:val="27"/>
          <w:szCs w:val="27"/>
        </w:rPr>
        <w:t>y</w:t>
      </w:r>
      <w:r>
        <w:rPr>
          <w:rStyle w:val="mjx-char"/>
          <w:rFonts w:ascii="MS Gothic" w:eastAsia="MS Gothic" w:hAnsi="MS Gothic" w:cs="MS Gothic" w:hint="eastAsia"/>
          <w:sz w:val="19"/>
          <w:szCs w:val="19"/>
        </w:rPr>
        <w:t>∗</w:t>
      </w:r>
      <w:r>
        <w:t xml:space="preserve"> which is the weight of tangent portfolio in final optimal portfolio given parameter "A"</w:t>
      </w:r>
      <w:r w:rsidR="00E51E47">
        <w:t>.</w:t>
      </w:r>
    </w:p>
    <w:p w14:paraId="7E8DD0E4" w14:textId="6D045A55" w:rsidR="009420F1" w:rsidRDefault="006327DB" w:rsidP="00831712">
      <w:pPr>
        <w:spacing w:line="480" w:lineRule="auto"/>
        <w:ind w:left="760" w:firstLine="4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32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20AA9" wp14:editId="6F2FB8D4">
            <wp:extent cx="1657581" cy="657317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B30E" w14:textId="1B23FD11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>Risk Aversion Parameter</w:t>
      </w:r>
      <w:r w:rsidR="00921A78">
        <w:tab/>
      </w:r>
      <w:r w:rsidR="009E090B">
        <w:tab/>
      </w:r>
      <w:r>
        <w:t xml:space="preserve">: </w:t>
      </w:r>
      <w:r w:rsidRPr="002E6575">
        <w:rPr>
          <w:b/>
          <w:bCs/>
        </w:rPr>
        <w:t>A = 50</w:t>
      </w:r>
    </w:p>
    <w:p w14:paraId="7F53041D" w14:textId="71966AD3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 xml:space="preserve">Portfolio Expected Return </w:t>
      </w:r>
      <w:r w:rsidR="00921A78">
        <w:tab/>
      </w:r>
      <w:r>
        <w:t>: 0.12756</w:t>
      </w:r>
    </w:p>
    <w:p w14:paraId="2ED1B92F" w14:textId="69D0B323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 xml:space="preserve">Portfolio Variance </w:t>
      </w:r>
      <w:r w:rsidR="00921A78">
        <w:tab/>
      </w:r>
      <w:r w:rsidR="00921A78">
        <w:tab/>
      </w:r>
      <w:r>
        <w:t>: 0.01614</w:t>
      </w:r>
    </w:p>
    <w:p w14:paraId="3EBA023C" w14:textId="06752746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 xml:space="preserve">Portfolio Standard Deviation </w:t>
      </w:r>
      <w:r w:rsidR="00921A78">
        <w:tab/>
      </w:r>
      <w:r>
        <w:t>: 0.12704</w:t>
      </w:r>
    </w:p>
    <w:p w14:paraId="00F4A08D" w14:textId="57706EF0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 xml:space="preserve">Tangent Portfolio Weight </w:t>
      </w:r>
      <w:r w:rsidR="00921A78">
        <w:tab/>
      </w:r>
      <w:r>
        <w:t>: 0.13329</w:t>
      </w:r>
    </w:p>
    <w:p w14:paraId="43BFF227" w14:textId="4EB0420D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 xml:space="preserve">Risk Free Asset Weight </w:t>
      </w:r>
      <w:r w:rsidR="00921A78">
        <w:tab/>
      </w:r>
      <w:r w:rsidR="009E090B">
        <w:tab/>
      </w:r>
      <w:r>
        <w:t>: 0.86671</w:t>
      </w:r>
    </w:p>
    <w:p w14:paraId="35B98D19" w14:textId="77777777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</w:p>
    <w:p w14:paraId="2A66CF9A" w14:textId="77777777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>*</w:t>
      </w:r>
      <w:r w:rsidRPr="00921A78">
        <w:rPr>
          <w:b/>
          <w:bCs/>
        </w:rPr>
        <w:t>Investment Weights for Each Stock</w:t>
      </w:r>
      <w:r>
        <w:t>*</w:t>
      </w:r>
    </w:p>
    <w:p w14:paraId="4537006A" w14:textId="4778C031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proofErr w:type="spellStart"/>
      <w:r>
        <w:t>나노신소재</w:t>
      </w:r>
      <w:proofErr w:type="spellEnd"/>
      <w:r>
        <w:t xml:space="preserve"> </w:t>
      </w:r>
      <w:r>
        <w:tab/>
      </w:r>
      <w:r>
        <w:tab/>
      </w:r>
      <w:r>
        <w:t>: 0.034</w:t>
      </w:r>
    </w:p>
    <w:p w14:paraId="6A17C88F" w14:textId="76EAD43E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proofErr w:type="spellStart"/>
      <w:r>
        <w:t>대성파인텍</w:t>
      </w:r>
      <w:proofErr w:type="spellEnd"/>
      <w:r>
        <w:t xml:space="preserve"> </w:t>
      </w:r>
      <w:r>
        <w:tab/>
      </w:r>
      <w:r>
        <w:tab/>
      </w:r>
      <w:r>
        <w:t>: 0.0</w:t>
      </w:r>
    </w:p>
    <w:p w14:paraId="2D75FEED" w14:textId="2A8982AA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proofErr w:type="spellStart"/>
      <w:r>
        <w:t>대주전자재료</w:t>
      </w:r>
      <w:proofErr w:type="spellEnd"/>
      <w:r>
        <w:t xml:space="preserve"> </w:t>
      </w:r>
      <w:r>
        <w:tab/>
      </w:r>
      <w:r>
        <w:tab/>
      </w:r>
      <w:r>
        <w:t>: 0.012</w:t>
      </w:r>
    </w:p>
    <w:p w14:paraId="22C18FEF" w14:textId="6ED9041C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proofErr w:type="spellStart"/>
      <w:r>
        <w:t>신성이엔지보통주</w:t>
      </w:r>
      <w:proofErr w:type="spellEnd"/>
      <w:r>
        <w:t xml:space="preserve"> </w:t>
      </w:r>
      <w:r>
        <w:tab/>
      </w:r>
      <w:r>
        <w:t>: 0.011</w:t>
      </w:r>
    </w:p>
    <w:p w14:paraId="76BB8263" w14:textId="47F86A41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proofErr w:type="spellStart"/>
      <w:r>
        <w:t>아바코</w:t>
      </w:r>
      <w:proofErr w:type="spellEnd"/>
      <w:r>
        <w:t xml:space="preserve"> </w:t>
      </w:r>
      <w:r>
        <w:tab/>
      </w:r>
      <w:r>
        <w:tab/>
      </w:r>
      <w:r>
        <w:tab/>
      </w:r>
      <w:r>
        <w:t>: 0.0</w:t>
      </w:r>
    </w:p>
    <w:p w14:paraId="12860382" w14:textId="20110C6B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proofErr w:type="spellStart"/>
      <w:r>
        <w:t>알에스오토메이션</w:t>
      </w:r>
      <w:proofErr w:type="spellEnd"/>
      <w:r>
        <w:t xml:space="preserve"> </w:t>
      </w:r>
      <w:r>
        <w:tab/>
      </w:r>
      <w:r>
        <w:t>: 0.004</w:t>
      </w:r>
    </w:p>
    <w:p w14:paraId="3A41494D" w14:textId="70BC33F9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 xml:space="preserve">주성엔지니어링 </w:t>
      </w:r>
      <w:r>
        <w:tab/>
      </w:r>
      <w:r>
        <w:tab/>
      </w:r>
      <w:r>
        <w:t>: 0.035</w:t>
      </w:r>
    </w:p>
    <w:p w14:paraId="75A5D5DA" w14:textId="7F22D795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proofErr w:type="spellStart"/>
      <w:r>
        <w:t>주식회사케이씨씨</w:t>
      </w:r>
      <w:proofErr w:type="spellEnd"/>
      <w:r>
        <w:t xml:space="preserve"> </w:t>
      </w:r>
      <w:r>
        <w:tab/>
      </w:r>
      <w:r>
        <w:t>: 0.018</w:t>
      </w:r>
    </w:p>
    <w:p w14:paraId="760A05F3" w14:textId="6C87EBFD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proofErr w:type="spellStart"/>
      <w:r>
        <w:t>코미코</w:t>
      </w:r>
      <w:proofErr w:type="spellEnd"/>
      <w:r>
        <w:t xml:space="preserve"> </w:t>
      </w:r>
      <w:r>
        <w:tab/>
      </w:r>
      <w:r>
        <w:tab/>
      </w:r>
      <w:r>
        <w:tab/>
      </w:r>
      <w:r>
        <w:t>:</w:t>
      </w:r>
      <w:r>
        <w:t xml:space="preserve"> </w:t>
      </w:r>
      <w:r>
        <w:t>0.012</w:t>
      </w:r>
    </w:p>
    <w:p w14:paraId="799341EC" w14:textId="0FE5DD6E" w:rsidR="006267C6" w:rsidRDefault="006267C6" w:rsidP="008317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</w:pPr>
      <w:r>
        <w:t xml:space="preserve">한화솔루션보통주 </w:t>
      </w:r>
      <w:r>
        <w:tab/>
      </w:r>
      <w:r>
        <w:t>: 0.007</w:t>
      </w:r>
    </w:p>
    <w:p w14:paraId="146F28E4" w14:textId="1F76E1F6" w:rsidR="00284A24" w:rsidRDefault="00284A24" w:rsidP="00EB3F83">
      <w:pPr>
        <w:spacing w:line="480" w:lineRule="auto"/>
        <w:ind w:left="760" w:firstLine="40"/>
        <w:jc w:val="left"/>
        <w:rPr>
          <w:rFonts w:ascii="Times New Roman" w:hAnsi="Times New Roman" w:cs="Times New Roman"/>
          <w:sz w:val="24"/>
          <w:szCs w:val="24"/>
        </w:rPr>
      </w:pPr>
    </w:p>
    <w:p w14:paraId="599BFCE9" w14:textId="6329E916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lastRenderedPageBreak/>
        <w:t>Risk Aversion Parameter</w:t>
      </w:r>
      <w:r>
        <w:tab/>
      </w:r>
      <w:r>
        <w:tab/>
      </w:r>
      <w:r>
        <w:t xml:space="preserve">: </w:t>
      </w:r>
      <w:r w:rsidRPr="002E6575">
        <w:rPr>
          <w:b/>
          <w:bCs/>
        </w:rPr>
        <w:t>A = 100</w:t>
      </w:r>
    </w:p>
    <w:p w14:paraId="504252A8" w14:textId="26D6A08A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496"/>
          <w:tab w:val="left" w:pos="5370"/>
        </w:tabs>
        <w:ind w:leftChars="300" w:left="600"/>
      </w:pPr>
      <w:r>
        <w:t xml:space="preserve">Portfolio Expected Return </w:t>
      </w:r>
      <w:r>
        <w:tab/>
      </w:r>
      <w:r>
        <w:t>: 0.07378</w:t>
      </w:r>
    </w:p>
    <w:p w14:paraId="1B69D2F9" w14:textId="54C10EFA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Portfolio Variance </w:t>
      </w:r>
      <w:r>
        <w:tab/>
      </w:r>
      <w:r>
        <w:tab/>
      </w:r>
      <w:r>
        <w:t>: 0.00807</w:t>
      </w:r>
    </w:p>
    <w:p w14:paraId="45CF4910" w14:textId="0D68623E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Portfolio Standard Deviation </w:t>
      </w:r>
      <w:r>
        <w:tab/>
      </w:r>
      <w:r>
        <w:t>: 0.08983</w:t>
      </w:r>
    </w:p>
    <w:p w14:paraId="3C32C3E7" w14:textId="6B748504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Tangent Portfolio Weight </w:t>
      </w:r>
      <w:r>
        <w:tab/>
      </w:r>
      <w:r>
        <w:tab/>
      </w:r>
      <w:r>
        <w:t>: 0.06665</w:t>
      </w:r>
    </w:p>
    <w:p w14:paraId="02924DA3" w14:textId="0E723AB8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Risk Free Asset Weight </w:t>
      </w:r>
      <w:r>
        <w:tab/>
      </w:r>
      <w:r>
        <w:tab/>
      </w:r>
      <w:r>
        <w:t>: 0.93335</w:t>
      </w:r>
    </w:p>
    <w:p w14:paraId="41B91C17" w14:textId="77777777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</w:p>
    <w:p w14:paraId="757768D5" w14:textId="77777777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>*</w:t>
      </w:r>
      <w:r w:rsidRPr="00A250F8">
        <w:rPr>
          <w:b/>
          <w:bCs/>
        </w:rPr>
        <w:t>Investment Weights for Each Stock</w:t>
      </w:r>
      <w:r>
        <w:t>*</w:t>
      </w:r>
    </w:p>
    <w:p w14:paraId="00FDB95B" w14:textId="42E64EA3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나노신소재</w:t>
      </w:r>
      <w:proofErr w:type="spellEnd"/>
      <w:r>
        <w:t xml:space="preserve"> </w:t>
      </w:r>
      <w:r>
        <w:tab/>
      </w:r>
      <w:r>
        <w:tab/>
      </w:r>
      <w:r>
        <w:t>: 0.017</w:t>
      </w:r>
    </w:p>
    <w:p w14:paraId="20BC82D8" w14:textId="1863A406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대성파인텍</w:t>
      </w:r>
      <w:proofErr w:type="spellEnd"/>
      <w:r>
        <w:t xml:space="preserve"> </w:t>
      </w:r>
      <w:r>
        <w:tab/>
      </w:r>
      <w:r>
        <w:tab/>
      </w:r>
      <w:r>
        <w:t>: 0.0</w:t>
      </w:r>
    </w:p>
    <w:p w14:paraId="7AF46771" w14:textId="0A04AAB4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대주전자재료</w:t>
      </w:r>
      <w:proofErr w:type="spellEnd"/>
      <w:r>
        <w:t xml:space="preserve"> </w:t>
      </w:r>
      <w:r>
        <w:tab/>
      </w:r>
      <w:r>
        <w:tab/>
      </w:r>
      <w:r>
        <w:t>: 0.006</w:t>
      </w:r>
    </w:p>
    <w:p w14:paraId="0D3150A1" w14:textId="7F066671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신성이엔지보통주</w:t>
      </w:r>
      <w:proofErr w:type="spellEnd"/>
      <w:r>
        <w:t xml:space="preserve"> </w:t>
      </w:r>
      <w:r>
        <w:tab/>
      </w:r>
      <w:r>
        <w:tab/>
      </w:r>
      <w:r>
        <w:t>: 0.006</w:t>
      </w:r>
    </w:p>
    <w:p w14:paraId="37EEE204" w14:textId="21481347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아바코</w:t>
      </w:r>
      <w:proofErr w:type="spellEnd"/>
      <w:r>
        <w:t xml:space="preserve"> </w:t>
      </w:r>
      <w:r>
        <w:tab/>
      </w:r>
      <w:r>
        <w:tab/>
      </w:r>
      <w:r>
        <w:tab/>
      </w:r>
      <w:r>
        <w:t>: 0.0</w:t>
      </w:r>
    </w:p>
    <w:p w14:paraId="62618FC3" w14:textId="6E47ACAB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알에스오토메이션</w:t>
      </w:r>
      <w:proofErr w:type="spellEnd"/>
      <w:r>
        <w:t xml:space="preserve"> </w:t>
      </w:r>
      <w:r>
        <w:tab/>
      </w:r>
      <w:r>
        <w:tab/>
      </w:r>
      <w:r>
        <w:t>: 0.002</w:t>
      </w:r>
    </w:p>
    <w:p w14:paraId="53D523A6" w14:textId="03F05E45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주성엔지니어링 </w:t>
      </w:r>
      <w:r>
        <w:tab/>
      </w:r>
      <w:r>
        <w:tab/>
      </w:r>
      <w:r>
        <w:t>: 0.018</w:t>
      </w:r>
    </w:p>
    <w:p w14:paraId="32C58227" w14:textId="0F18DF48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주식회사케이씨씨</w:t>
      </w:r>
      <w:proofErr w:type="spellEnd"/>
      <w:r>
        <w:t xml:space="preserve"> </w:t>
      </w:r>
      <w:r>
        <w:tab/>
      </w:r>
      <w:r>
        <w:tab/>
      </w:r>
      <w:r>
        <w:t>: 0.009</w:t>
      </w:r>
    </w:p>
    <w:p w14:paraId="5E1EECC1" w14:textId="4605C57E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코미코</w:t>
      </w:r>
      <w:proofErr w:type="spellEnd"/>
      <w:r>
        <w:t xml:space="preserve"> </w:t>
      </w:r>
      <w:r>
        <w:tab/>
      </w:r>
      <w:r>
        <w:tab/>
      </w:r>
      <w:r>
        <w:tab/>
      </w:r>
      <w:r>
        <w:t>: 0.006</w:t>
      </w:r>
    </w:p>
    <w:p w14:paraId="636D991A" w14:textId="60ED9128" w:rsidR="00E6476F" w:rsidRDefault="00E6476F" w:rsidP="00E647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한화솔루션보통주 </w:t>
      </w:r>
      <w:r>
        <w:tab/>
      </w:r>
      <w:r>
        <w:tab/>
      </w:r>
      <w:r>
        <w:t>: 0.003</w:t>
      </w:r>
    </w:p>
    <w:p w14:paraId="349BEB9A" w14:textId="2AFCBE0F" w:rsidR="00205E9D" w:rsidRDefault="00205E9D" w:rsidP="00EB3F83">
      <w:pPr>
        <w:spacing w:line="480" w:lineRule="auto"/>
        <w:ind w:left="760" w:firstLine="40"/>
        <w:jc w:val="left"/>
        <w:rPr>
          <w:rFonts w:ascii="Times New Roman" w:hAnsi="Times New Roman" w:cs="Times New Roman"/>
          <w:sz w:val="24"/>
          <w:szCs w:val="24"/>
        </w:rPr>
      </w:pPr>
    </w:p>
    <w:p w14:paraId="3AF31F37" w14:textId="05DECFEE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>Risk Aversion Parameter</w:t>
      </w:r>
      <w:r w:rsidR="000638D0">
        <w:tab/>
      </w:r>
      <w:r w:rsidR="000638D0">
        <w:tab/>
      </w:r>
      <w:r>
        <w:t xml:space="preserve">: </w:t>
      </w:r>
      <w:r w:rsidRPr="002E6575">
        <w:rPr>
          <w:b/>
          <w:bCs/>
        </w:rPr>
        <w:t>A = 200</w:t>
      </w:r>
    </w:p>
    <w:p w14:paraId="1C014B16" w14:textId="4FDB7E5B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Portfolio Expected Return </w:t>
      </w:r>
      <w:r w:rsidR="000638D0">
        <w:tab/>
      </w:r>
      <w:r>
        <w:t>: 0.04689</w:t>
      </w:r>
    </w:p>
    <w:p w14:paraId="78AA571E" w14:textId="2213F46E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Portfolio Variance </w:t>
      </w:r>
      <w:r w:rsidR="000638D0">
        <w:tab/>
      </w:r>
      <w:r w:rsidR="000638D0">
        <w:tab/>
      </w:r>
      <w:r>
        <w:t>: 0.00403</w:t>
      </w:r>
    </w:p>
    <w:p w14:paraId="39DD08B8" w14:textId="7294DE00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Portfolio Standard Deviation </w:t>
      </w:r>
      <w:r w:rsidR="000638D0">
        <w:tab/>
      </w:r>
      <w:r>
        <w:t>: 0.06352</w:t>
      </w:r>
    </w:p>
    <w:p w14:paraId="6FA44731" w14:textId="5A209278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Tangent Portfolio Weight </w:t>
      </w:r>
      <w:r w:rsidR="000638D0">
        <w:tab/>
      </w:r>
      <w:r w:rsidR="000638D0">
        <w:tab/>
      </w:r>
      <w:r>
        <w:t>: 0.03332</w:t>
      </w:r>
    </w:p>
    <w:p w14:paraId="0C4C2687" w14:textId="47C4060E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Risk Free Asset Weight </w:t>
      </w:r>
      <w:r w:rsidR="000638D0">
        <w:tab/>
      </w:r>
      <w:r w:rsidR="000638D0">
        <w:tab/>
      </w:r>
      <w:r>
        <w:t>: 0.96668</w:t>
      </w:r>
    </w:p>
    <w:p w14:paraId="606EC91B" w14:textId="77777777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</w:p>
    <w:p w14:paraId="1525F644" w14:textId="77777777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>*</w:t>
      </w:r>
      <w:r w:rsidRPr="0038155B">
        <w:rPr>
          <w:b/>
          <w:bCs/>
        </w:rPr>
        <w:t>Investment Weights for Each Stock</w:t>
      </w:r>
      <w:r>
        <w:t>*</w:t>
      </w:r>
    </w:p>
    <w:p w14:paraId="6C653FEE" w14:textId="6A891F4E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나노신소재</w:t>
      </w:r>
      <w:proofErr w:type="spellEnd"/>
      <w:r>
        <w:t xml:space="preserve"> </w:t>
      </w:r>
      <w:r w:rsidR="006C0839">
        <w:tab/>
      </w:r>
      <w:r w:rsidR="006C0839">
        <w:tab/>
      </w:r>
      <w:r>
        <w:t>: 0.009</w:t>
      </w:r>
    </w:p>
    <w:p w14:paraId="03527444" w14:textId="1FA3485C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대성파인텍</w:t>
      </w:r>
      <w:proofErr w:type="spellEnd"/>
      <w:r>
        <w:t xml:space="preserve"> </w:t>
      </w:r>
      <w:r w:rsidR="006C0839">
        <w:tab/>
      </w:r>
      <w:r w:rsidR="006C0839">
        <w:tab/>
      </w:r>
      <w:r>
        <w:t>: 0.0</w:t>
      </w:r>
    </w:p>
    <w:p w14:paraId="0D431046" w14:textId="7F2A0ADC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대주전자재료</w:t>
      </w:r>
      <w:proofErr w:type="spellEnd"/>
      <w:r>
        <w:t xml:space="preserve"> </w:t>
      </w:r>
      <w:r w:rsidR="006C0839">
        <w:tab/>
      </w:r>
      <w:r w:rsidR="006C0839">
        <w:tab/>
      </w:r>
      <w:r>
        <w:t>: 0.003</w:t>
      </w:r>
    </w:p>
    <w:p w14:paraId="60D4106B" w14:textId="2371A0F6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신성이엔지보통주</w:t>
      </w:r>
      <w:proofErr w:type="spellEnd"/>
      <w:r>
        <w:t xml:space="preserve"> </w:t>
      </w:r>
      <w:r w:rsidR="006C0839">
        <w:tab/>
      </w:r>
      <w:r w:rsidR="006C0839">
        <w:tab/>
      </w:r>
      <w:r>
        <w:t>: 0.003</w:t>
      </w:r>
    </w:p>
    <w:p w14:paraId="4286B22D" w14:textId="46CDE8D8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아바코</w:t>
      </w:r>
      <w:proofErr w:type="spellEnd"/>
      <w:r>
        <w:t xml:space="preserve"> </w:t>
      </w:r>
      <w:r w:rsidR="006C0839">
        <w:tab/>
      </w:r>
      <w:r w:rsidR="006C0839">
        <w:tab/>
      </w:r>
      <w:r w:rsidR="006C0839">
        <w:tab/>
      </w:r>
      <w:r>
        <w:t>: 0.0</w:t>
      </w:r>
    </w:p>
    <w:p w14:paraId="446E46AF" w14:textId="62734345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알에스오토메이션</w:t>
      </w:r>
      <w:proofErr w:type="spellEnd"/>
      <w:r>
        <w:t xml:space="preserve"> </w:t>
      </w:r>
      <w:r w:rsidR="006C0839">
        <w:tab/>
      </w:r>
      <w:r w:rsidR="006C0839">
        <w:tab/>
      </w:r>
      <w:r>
        <w:t>: 0.001</w:t>
      </w:r>
    </w:p>
    <w:p w14:paraId="559A7559" w14:textId="479B4AF8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주성엔지니어링 </w:t>
      </w:r>
      <w:r w:rsidR="006C0839">
        <w:tab/>
      </w:r>
      <w:r w:rsidR="006C0839">
        <w:tab/>
      </w:r>
      <w:r>
        <w:t>: 0.009</w:t>
      </w:r>
    </w:p>
    <w:p w14:paraId="2194C601" w14:textId="7BCA6599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주식회사케이씨씨</w:t>
      </w:r>
      <w:proofErr w:type="spellEnd"/>
      <w:r>
        <w:t xml:space="preserve"> </w:t>
      </w:r>
      <w:r w:rsidR="006C0839">
        <w:tab/>
      </w:r>
      <w:r w:rsidR="006C0839">
        <w:tab/>
      </w:r>
      <w:r>
        <w:t>: 0.004</w:t>
      </w:r>
    </w:p>
    <w:p w14:paraId="637CD2B4" w14:textId="52474808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proofErr w:type="spellStart"/>
      <w:r>
        <w:t>코미코</w:t>
      </w:r>
      <w:proofErr w:type="spellEnd"/>
      <w:r>
        <w:t xml:space="preserve"> </w:t>
      </w:r>
      <w:r w:rsidR="006C0839">
        <w:tab/>
      </w:r>
      <w:r w:rsidR="006C0839">
        <w:tab/>
      </w:r>
      <w:r w:rsidR="006C0839">
        <w:tab/>
      </w:r>
      <w:r>
        <w:t>: 0.003</w:t>
      </w:r>
    </w:p>
    <w:p w14:paraId="46AC2206" w14:textId="7598E729" w:rsidR="00205E9D" w:rsidRDefault="00205E9D" w:rsidP="00205E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00"/>
      </w:pPr>
      <w:r>
        <w:t xml:space="preserve">한화솔루션보통주 </w:t>
      </w:r>
      <w:r w:rsidR="006C0839">
        <w:tab/>
      </w:r>
      <w:r w:rsidR="006C0839">
        <w:tab/>
      </w:r>
      <w:r>
        <w:t>: 0.002</w:t>
      </w:r>
    </w:p>
    <w:p w14:paraId="3D142176" w14:textId="07464C62" w:rsidR="00205E9D" w:rsidRDefault="00205E9D" w:rsidP="00EB3F83">
      <w:pPr>
        <w:spacing w:line="480" w:lineRule="auto"/>
        <w:ind w:left="760" w:firstLine="40"/>
        <w:jc w:val="left"/>
        <w:rPr>
          <w:rFonts w:ascii="Times New Roman" w:hAnsi="Times New Roman" w:cs="Times New Roman"/>
          <w:sz w:val="24"/>
          <w:szCs w:val="24"/>
        </w:rPr>
      </w:pPr>
    </w:p>
    <w:p w14:paraId="2EECF616" w14:textId="12AF306C" w:rsidR="00A06E2D" w:rsidRPr="007143E4" w:rsidRDefault="00684E56" w:rsidP="007143E4">
      <w:pPr>
        <w:spacing w:line="480" w:lineRule="auto"/>
        <w:ind w:left="760" w:firstLine="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conclude, i</w:t>
      </w:r>
      <w:r w:rsidR="00931DB4">
        <w:rPr>
          <w:rFonts w:ascii="Times New Roman" w:hAnsi="Times New Roman" w:cs="Times New Roman"/>
          <w:sz w:val="24"/>
          <w:szCs w:val="24"/>
        </w:rPr>
        <w:t xml:space="preserve">n the case of optimal portfolios, </w:t>
      </w:r>
      <w:r w:rsidR="00626FF2">
        <w:rPr>
          <w:rFonts w:ascii="Times New Roman" w:hAnsi="Times New Roman" w:cs="Times New Roman"/>
          <w:sz w:val="24"/>
          <w:szCs w:val="24"/>
        </w:rPr>
        <w:t>the observed allocation shows, the higher the risk aversion level, the less allocations are made to the Tangent Portfolio</w:t>
      </w:r>
      <w:r w:rsidR="00432B93">
        <w:rPr>
          <w:rFonts w:ascii="Times New Roman" w:hAnsi="Times New Roman" w:cs="Times New Roman"/>
          <w:sz w:val="24"/>
          <w:szCs w:val="24"/>
        </w:rPr>
        <w:t xml:space="preserve"> </w:t>
      </w:r>
      <w:r w:rsidR="00DC757B">
        <w:rPr>
          <w:rFonts w:ascii="Times New Roman" w:hAnsi="Times New Roman" w:cs="Times New Roman"/>
          <w:sz w:val="24"/>
          <w:szCs w:val="24"/>
        </w:rPr>
        <w:t>to</w:t>
      </w:r>
      <w:r w:rsidR="00432B93">
        <w:rPr>
          <w:rFonts w:ascii="Times New Roman" w:hAnsi="Times New Roman" w:cs="Times New Roman"/>
          <w:sz w:val="24"/>
          <w:szCs w:val="24"/>
        </w:rPr>
        <w:t xml:space="preserve"> </w:t>
      </w:r>
      <w:r w:rsidR="00432B93">
        <w:rPr>
          <w:rFonts w:ascii="Times New Roman" w:hAnsi="Times New Roman" w:cs="Times New Roman"/>
          <w:sz w:val="24"/>
          <w:szCs w:val="24"/>
        </w:rPr>
        <w:lastRenderedPageBreak/>
        <w:t>lower</w:t>
      </w:r>
      <w:r w:rsidR="00DC757B">
        <w:rPr>
          <w:rFonts w:ascii="Times New Roman" w:hAnsi="Times New Roman" w:cs="Times New Roman"/>
          <w:sz w:val="24"/>
          <w:szCs w:val="24"/>
        </w:rPr>
        <w:t xml:space="preserve"> the</w:t>
      </w:r>
      <w:r w:rsidR="00432B93">
        <w:rPr>
          <w:rFonts w:ascii="Times New Roman" w:hAnsi="Times New Roman" w:cs="Times New Roman"/>
          <w:sz w:val="24"/>
          <w:szCs w:val="24"/>
        </w:rPr>
        <w:t xml:space="preserve"> expected volatility</w:t>
      </w:r>
      <w:r w:rsidR="00626FF2">
        <w:rPr>
          <w:rFonts w:ascii="Times New Roman" w:hAnsi="Times New Roman" w:cs="Times New Roman"/>
          <w:sz w:val="24"/>
          <w:szCs w:val="24"/>
        </w:rPr>
        <w:t>.</w:t>
      </w:r>
      <w:r w:rsidR="00966F84">
        <w:rPr>
          <w:rFonts w:ascii="Times New Roman" w:hAnsi="Times New Roman" w:cs="Times New Roman"/>
          <w:sz w:val="24"/>
          <w:szCs w:val="24"/>
        </w:rPr>
        <w:t xml:space="preserve"> Consequently, weights suggested </w:t>
      </w:r>
      <w:r w:rsidR="00EE7BEE">
        <w:rPr>
          <w:rFonts w:ascii="Times New Roman" w:hAnsi="Times New Roman" w:cs="Times New Roman"/>
          <w:sz w:val="24"/>
          <w:szCs w:val="24"/>
        </w:rPr>
        <w:t>for each stock is lowered as a result</w:t>
      </w:r>
      <w:r w:rsidR="00432B93">
        <w:rPr>
          <w:rFonts w:ascii="Times New Roman" w:hAnsi="Times New Roman" w:cs="Times New Roman"/>
          <w:sz w:val="24"/>
          <w:szCs w:val="24"/>
        </w:rPr>
        <w:t>.</w:t>
      </w:r>
      <w:r w:rsidR="00541C62">
        <w:rPr>
          <w:rFonts w:ascii="Times New Roman" w:hAnsi="Times New Roman" w:cs="Times New Roman"/>
          <w:sz w:val="24"/>
          <w:szCs w:val="24"/>
        </w:rPr>
        <w:t xml:space="preserve"> </w:t>
      </w:r>
      <w:r w:rsidR="00B52D3C">
        <w:rPr>
          <w:rFonts w:ascii="Times New Roman" w:hAnsi="Times New Roman" w:cs="Times New Roman"/>
          <w:sz w:val="24"/>
          <w:szCs w:val="24"/>
        </w:rPr>
        <w:t xml:space="preserve">However, the </w:t>
      </w:r>
      <w:r w:rsidR="0002204B">
        <w:rPr>
          <w:rFonts w:ascii="Times New Roman" w:hAnsi="Times New Roman" w:cs="Times New Roman"/>
          <w:sz w:val="24"/>
          <w:szCs w:val="24"/>
        </w:rPr>
        <w:t>attractive quality of this type of portfolio construction method, appears to be the ability to match an investor’s risk</w:t>
      </w:r>
      <w:r w:rsidR="00DB43BA">
        <w:rPr>
          <w:rFonts w:ascii="Times New Roman" w:hAnsi="Times New Roman" w:cs="Times New Roman"/>
          <w:sz w:val="24"/>
          <w:szCs w:val="24"/>
        </w:rPr>
        <w:t xml:space="preserve"> management objective. Simply by </w:t>
      </w:r>
      <w:r w:rsidR="00AE59D7">
        <w:rPr>
          <w:rFonts w:ascii="Times New Roman" w:hAnsi="Times New Roman" w:cs="Times New Roman"/>
          <w:sz w:val="24"/>
          <w:szCs w:val="24"/>
        </w:rPr>
        <w:t xml:space="preserve">shifting weights between the best </w:t>
      </w:r>
      <w:r w:rsidR="00EC5CC5">
        <w:rPr>
          <w:rFonts w:ascii="Times New Roman" w:hAnsi="Times New Roman" w:cs="Times New Roman"/>
          <w:sz w:val="24"/>
          <w:szCs w:val="24"/>
        </w:rPr>
        <w:t xml:space="preserve">rewarding risky portfolio and the risk-free asset, we can </w:t>
      </w:r>
      <w:r w:rsidR="00D90C3E">
        <w:rPr>
          <w:rFonts w:ascii="Times New Roman" w:hAnsi="Times New Roman" w:cs="Times New Roman"/>
          <w:sz w:val="24"/>
          <w:szCs w:val="24"/>
        </w:rPr>
        <w:t xml:space="preserve">increase or decrease </w:t>
      </w:r>
      <w:r w:rsidR="000B7997">
        <w:rPr>
          <w:rFonts w:ascii="Times New Roman" w:hAnsi="Times New Roman" w:cs="Times New Roman"/>
          <w:sz w:val="24"/>
          <w:szCs w:val="24"/>
        </w:rPr>
        <w:t>expected volatility of the optimal portfolio and in return expect to be rewarded</w:t>
      </w:r>
      <w:r w:rsidR="00557C87">
        <w:rPr>
          <w:rFonts w:ascii="Times New Roman" w:hAnsi="Times New Roman" w:cs="Times New Roman"/>
          <w:sz w:val="24"/>
          <w:szCs w:val="24"/>
        </w:rPr>
        <w:t xml:space="preserve"> accordingly</w:t>
      </w:r>
      <w:r w:rsidR="000B7997">
        <w:rPr>
          <w:rFonts w:ascii="Times New Roman" w:hAnsi="Times New Roman" w:cs="Times New Roman"/>
          <w:sz w:val="24"/>
          <w:szCs w:val="24"/>
        </w:rPr>
        <w:t xml:space="preserve"> </w:t>
      </w:r>
      <w:r w:rsidR="00557C87">
        <w:rPr>
          <w:rFonts w:ascii="Times New Roman" w:hAnsi="Times New Roman" w:cs="Times New Roman"/>
          <w:sz w:val="24"/>
          <w:szCs w:val="24"/>
        </w:rPr>
        <w:t>depending</w:t>
      </w:r>
      <w:r w:rsidR="00DF6669">
        <w:rPr>
          <w:rFonts w:ascii="Times New Roman" w:hAnsi="Times New Roman" w:cs="Times New Roman"/>
          <w:sz w:val="24"/>
          <w:szCs w:val="24"/>
        </w:rPr>
        <w:t xml:space="preserve"> on the structure of our portfolio.</w:t>
      </w:r>
    </w:p>
    <w:sectPr w:rsidR="00A06E2D" w:rsidRPr="007143E4" w:rsidSect="00091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5B32" w14:textId="77777777" w:rsidR="00E76FC5" w:rsidRDefault="00E76FC5" w:rsidP="00E76FC5">
      <w:pPr>
        <w:spacing w:after="0" w:line="240" w:lineRule="auto"/>
      </w:pPr>
      <w:r>
        <w:separator/>
      </w:r>
    </w:p>
  </w:endnote>
  <w:endnote w:type="continuationSeparator" w:id="0">
    <w:p w14:paraId="369DC413" w14:textId="77777777" w:rsidR="00E76FC5" w:rsidRDefault="00E76FC5" w:rsidP="00E7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5A43" w14:textId="77777777" w:rsidR="00E76FC5" w:rsidRDefault="00E76FC5" w:rsidP="00E76FC5">
      <w:pPr>
        <w:spacing w:after="0" w:line="240" w:lineRule="auto"/>
      </w:pPr>
      <w:r>
        <w:separator/>
      </w:r>
    </w:p>
  </w:footnote>
  <w:footnote w:type="continuationSeparator" w:id="0">
    <w:p w14:paraId="5C369E6B" w14:textId="77777777" w:rsidR="00E76FC5" w:rsidRDefault="00E76FC5" w:rsidP="00E76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7E1"/>
    <w:multiLevelType w:val="hybridMultilevel"/>
    <w:tmpl w:val="15B8A35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156F023F"/>
    <w:multiLevelType w:val="hybridMultilevel"/>
    <w:tmpl w:val="AE743FD8"/>
    <w:lvl w:ilvl="0" w:tplc="A956E242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C1697F"/>
    <w:multiLevelType w:val="hybridMultilevel"/>
    <w:tmpl w:val="383A6214"/>
    <w:lvl w:ilvl="0" w:tplc="39E6890C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5044AD4"/>
    <w:multiLevelType w:val="hybridMultilevel"/>
    <w:tmpl w:val="905C7E6E"/>
    <w:lvl w:ilvl="0" w:tplc="F2FC5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35118"/>
    <w:multiLevelType w:val="hybridMultilevel"/>
    <w:tmpl w:val="8FEEFF70"/>
    <w:lvl w:ilvl="0" w:tplc="09BEFBF6">
      <w:start w:val="4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D3005A"/>
    <w:multiLevelType w:val="hybridMultilevel"/>
    <w:tmpl w:val="B67666B4"/>
    <w:lvl w:ilvl="0" w:tplc="9708B0BC">
      <w:start w:val="1"/>
      <w:numFmt w:val="decimal"/>
      <w:lvlText w:val="%1)"/>
      <w:lvlJc w:val="left"/>
      <w:pPr>
        <w:ind w:left="11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40D2343"/>
    <w:multiLevelType w:val="hybridMultilevel"/>
    <w:tmpl w:val="E3DE7AE0"/>
    <w:lvl w:ilvl="0" w:tplc="D2581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019112">
    <w:abstractNumId w:val="3"/>
  </w:num>
  <w:num w:numId="2" w16cid:durableId="1887524158">
    <w:abstractNumId w:val="6"/>
  </w:num>
  <w:num w:numId="3" w16cid:durableId="1661888672">
    <w:abstractNumId w:val="5"/>
  </w:num>
  <w:num w:numId="4" w16cid:durableId="1880775174">
    <w:abstractNumId w:val="1"/>
  </w:num>
  <w:num w:numId="5" w16cid:durableId="609943895">
    <w:abstractNumId w:val="2"/>
  </w:num>
  <w:num w:numId="6" w16cid:durableId="2003773235">
    <w:abstractNumId w:val="0"/>
  </w:num>
  <w:num w:numId="7" w16cid:durableId="2082408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8B"/>
    <w:rsid w:val="00001FBB"/>
    <w:rsid w:val="00020B42"/>
    <w:rsid w:val="0002204B"/>
    <w:rsid w:val="000270DB"/>
    <w:rsid w:val="00051F4A"/>
    <w:rsid w:val="000638D0"/>
    <w:rsid w:val="0008016A"/>
    <w:rsid w:val="00085B77"/>
    <w:rsid w:val="00091530"/>
    <w:rsid w:val="000B62F5"/>
    <w:rsid w:val="000B7997"/>
    <w:rsid w:val="00107D7A"/>
    <w:rsid w:val="00111E70"/>
    <w:rsid w:val="001315DD"/>
    <w:rsid w:val="001404CE"/>
    <w:rsid w:val="00143BAB"/>
    <w:rsid w:val="00165547"/>
    <w:rsid w:val="00181FA8"/>
    <w:rsid w:val="001832AE"/>
    <w:rsid w:val="001A035F"/>
    <w:rsid w:val="001A1B49"/>
    <w:rsid w:val="001A70B7"/>
    <w:rsid w:val="001C54D6"/>
    <w:rsid w:val="00204915"/>
    <w:rsid w:val="00205E9D"/>
    <w:rsid w:val="00243454"/>
    <w:rsid w:val="00245961"/>
    <w:rsid w:val="00284A24"/>
    <w:rsid w:val="002976FB"/>
    <w:rsid w:val="002C6ADA"/>
    <w:rsid w:val="002E6575"/>
    <w:rsid w:val="0031660C"/>
    <w:rsid w:val="003337B3"/>
    <w:rsid w:val="00367F4B"/>
    <w:rsid w:val="00371000"/>
    <w:rsid w:val="0038155B"/>
    <w:rsid w:val="003A2BB8"/>
    <w:rsid w:val="003B436D"/>
    <w:rsid w:val="003D1AD0"/>
    <w:rsid w:val="003D6CD3"/>
    <w:rsid w:val="003F6827"/>
    <w:rsid w:val="00413DE4"/>
    <w:rsid w:val="00432B93"/>
    <w:rsid w:val="00452C46"/>
    <w:rsid w:val="004542BE"/>
    <w:rsid w:val="004568D3"/>
    <w:rsid w:val="00483A8F"/>
    <w:rsid w:val="004C6F87"/>
    <w:rsid w:val="004D58BC"/>
    <w:rsid w:val="004E6E06"/>
    <w:rsid w:val="004F04F2"/>
    <w:rsid w:val="004F5EE3"/>
    <w:rsid w:val="00521C79"/>
    <w:rsid w:val="0053755E"/>
    <w:rsid w:val="00541C62"/>
    <w:rsid w:val="005421EF"/>
    <w:rsid w:val="005567B3"/>
    <w:rsid w:val="00557C87"/>
    <w:rsid w:val="00564606"/>
    <w:rsid w:val="00577AC5"/>
    <w:rsid w:val="005878A7"/>
    <w:rsid w:val="005A255B"/>
    <w:rsid w:val="005A5195"/>
    <w:rsid w:val="005B11D8"/>
    <w:rsid w:val="005B2ED3"/>
    <w:rsid w:val="005C55B8"/>
    <w:rsid w:val="005C7486"/>
    <w:rsid w:val="005D0F6A"/>
    <w:rsid w:val="006202BE"/>
    <w:rsid w:val="006267C6"/>
    <w:rsid w:val="00626FF2"/>
    <w:rsid w:val="006327DB"/>
    <w:rsid w:val="006526EC"/>
    <w:rsid w:val="00655AE6"/>
    <w:rsid w:val="006560FA"/>
    <w:rsid w:val="00657C82"/>
    <w:rsid w:val="00663E22"/>
    <w:rsid w:val="00670F7F"/>
    <w:rsid w:val="00682E6F"/>
    <w:rsid w:val="00684E56"/>
    <w:rsid w:val="0069258D"/>
    <w:rsid w:val="006B6A49"/>
    <w:rsid w:val="006C0839"/>
    <w:rsid w:val="006D6B21"/>
    <w:rsid w:val="00702BB5"/>
    <w:rsid w:val="007143E4"/>
    <w:rsid w:val="00717026"/>
    <w:rsid w:val="007238E9"/>
    <w:rsid w:val="0074015C"/>
    <w:rsid w:val="007720BB"/>
    <w:rsid w:val="00772EBF"/>
    <w:rsid w:val="00782A8B"/>
    <w:rsid w:val="00790CE8"/>
    <w:rsid w:val="007A5C6B"/>
    <w:rsid w:val="007B2BF1"/>
    <w:rsid w:val="007B4DC8"/>
    <w:rsid w:val="007B526F"/>
    <w:rsid w:val="007C5990"/>
    <w:rsid w:val="007D3393"/>
    <w:rsid w:val="00810639"/>
    <w:rsid w:val="00820E19"/>
    <w:rsid w:val="00822F97"/>
    <w:rsid w:val="00831712"/>
    <w:rsid w:val="0085200F"/>
    <w:rsid w:val="00872000"/>
    <w:rsid w:val="0087322D"/>
    <w:rsid w:val="00873AE2"/>
    <w:rsid w:val="008939BF"/>
    <w:rsid w:val="008A6F87"/>
    <w:rsid w:val="008D09C7"/>
    <w:rsid w:val="008D3AA2"/>
    <w:rsid w:val="008D79DE"/>
    <w:rsid w:val="008E0DDC"/>
    <w:rsid w:val="00900879"/>
    <w:rsid w:val="00902F1A"/>
    <w:rsid w:val="00910955"/>
    <w:rsid w:val="00912136"/>
    <w:rsid w:val="00921A78"/>
    <w:rsid w:val="00931DB4"/>
    <w:rsid w:val="009420F1"/>
    <w:rsid w:val="009453AE"/>
    <w:rsid w:val="00961B8A"/>
    <w:rsid w:val="009642D8"/>
    <w:rsid w:val="00966730"/>
    <w:rsid w:val="00966F84"/>
    <w:rsid w:val="00977EE9"/>
    <w:rsid w:val="009A5E23"/>
    <w:rsid w:val="009B3F10"/>
    <w:rsid w:val="009B4AA3"/>
    <w:rsid w:val="009E090B"/>
    <w:rsid w:val="009E5167"/>
    <w:rsid w:val="009F1CBA"/>
    <w:rsid w:val="00A06E2D"/>
    <w:rsid w:val="00A14A52"/>
    <w:rsid w:val="00A250F8"/>
    <w:rsid w:val="00A436C4"/>
    <w:rsid w:val="00A80545"/>
    <w:rsid w:val="00A93209"/>
    <w:rsid w:val="00AB53C0"/>
    <w:rsid w:val="00AD0BF9"/>
    <w:rsid w:val="00AD39DA"/>
    <w:rsid w:val="00AE1970"/>
    <w:rsid w:val="00AE59D7"/>
    <w:rsid w:val="00AF29D2"/>
    <w:rsid w:val="00AF48E5"/>
    <w:rsid w:val="00B12AEE"/>
    <w:rsid w:val="00B1448E"/>
    <w:rsid w:val="00B14AD2"/>
    <w:rsid w:val="00B2245F"/>
    <w:rsid w:val="00B23E3D"/>
    <w:rsid w:val="00B253E3"/>
    <w:rsid w:val="00B414EF"/>
    <w:rsid w:val="00B423A6"/>
    <w:rsid w:val="00B42659"/>
    <w:rsid w:val="00B52D3C"/>
    <w:rsid w:val="00B54E9C"/>
    <w:rsid w:val="00B56B2D"/>
    <w:rsid w:val="00B6107E"/>
    <w:rsid w:val="00B65E30"/>
    <w:rsid w:val="00B75591"/>
    <w:rsid w:val="00B821CE"/>
    <w:rsid w:val="00B82E96"/>
    <w:rsid w:val="00BA5FD8"/>
    <w:rsid w:val="00BB08A9"/>
    <w:rsid w:val="00BB5627"/>
    <w:rsid w:val="00BB57D6"/>
    <w:rsid w:val="00BC2535"/>
    <w:rsid w:val="00BC7374"/>
    <w:rsid w:val="00BD3C3E"/>
    <w:rsid w:val="00C04DB6"/>
    <w:rsid w:val="00C111DA"/>
    <w:rsid w:val="00C638E9"/>
    <w:rsid w:val="00CC3901"/>
    <w:rsid w:val="00CF5B0D"/>
    <w:rsid w:val="00D17AEB"/>
    <w:rsid w:val="00D21832"/>
    <w:rsid w:val="00D54720"/>
    <w:rsid w:val="00D61FB9"/>
    <w:rsid w:val="00D62F0F"/>
    <w:rsid w:val="00D8066E"/>
    <w:rsid w:val="00D90C3E"/>
    <w:rsid w:val="00DB0E7D"/>
    <w:rsid w:val="00DB43BA"/>
    <w:rsid w:val="00DB4E63"/>
    <w:rsid w:val="00DB51C7"/>
    <w:rsid w:val="00DC757B"/>
    <w:rsid w:val="00DC7E85"/>
    <w:rsid w:val="00DE37D8"/>
    <w:rsid w:val="00DE4207"/>
    <w:rsid w:val="00DF318E"/>
    <w:rsid w:val="00DF6669"/>
    <w:rsid w:val="00E40684"/>
    <w:rsid w:val="00E51E47"/>
    <w:rsid w:val="00E6476F"/>
    <w:rsid w:val="00E76FC5"/>
    <w:rsid w:val="00E95A14"/>
    <w:rsid w:val="00EB3F83"/>
    <w:rsid w:val="00EC31A3"/>
    <w:rsid w:val="00EC5CC5"/>
    <w:rsid w:val="00EE4A82"/>
    <w:rsid w:val="00EE770D"/>
    <w:rsid w:val="00EE7BEE"/>
    <w:rsid w:val="00EF586D"/>
    <w:rsid w:val="00F0307B"/>
    <w:rsid w:val="00F1077E"/>
    <w:rsid w:val="00F2378B"/>
    <w:rsid w:val="00F34B71"/>
    <w:rsid w:val="00F367BA"/>
    <w:rsid w:val="00F439EE"/>
    <w:rsid w:val="00F46FC3"/>
    <w:rsid w:val="00F50397"/>
    <w:rsid w:val="00F54B05"/>
    <w:rsid w:val="00FA1E65"/>
    <w:rsid w:val="00FB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F1246C"/>
  <w15:chartTrackingRefBased/>
  <w15:docId w15:val="{3083C0C0-C308-43C8-8818-8D7763CE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78B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873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73AE2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5C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C55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Char"/>
    <w:uiPriority w:val="99"/>
    <w:unhideWhenUsed/>
    <w:rsid w:val="00E76F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6FC5"/>
  </w:style>
  <w:style w:type="paragraph" w:styleId="a6">
    <w:name w:val="footer"/>
    <w:basedOn w:val="a"/>
    <w:link w:val="Char0"/>
    <w:uiPriority w:val="99"/>
    <w:unhideWhenUsed/>
    <w:rsid w:val="00E76F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6FC5"/>
  </w:style>
  <w:style w:type="character" w:customStyle="1" w:styleId="markedcontent">
    <w:name w:val="markedcontent"/>
    <w:basedOn w:val="a0"/>
    <w:rsid w:val="00822F97"/>
  </w:style>
  <w:style w:type="character" w:customStyle="1" w:styleId="mjx-char">
    <w:name w:val="mjx-char"/>
    <w:basedOn w:val="a0"/>
    <w:rsid w:val="009F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Sungil Heo</dc:creator>
  <cp:keywords/>
  <dc:description/>
  <cp:lastModifiedBy>Jason Sungil Heo</cp:lastModifiedBy>
  <cp:revision>216</cp:revision>
  <dcterms:created xsi:type="dcterms:W3CDTF">2022-12-06T13:22:00Z</dcterms:created>
  <dcterms:modified xsi:type="dcterms:W3CDTF">2022-12-09T12:15:00Z</dcterms:modified>
</cp:coreProperties>
</file>