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Martin Simonson</w:t>
      </w:r>
    </w:p>
    <w:p w:rsidR="00000000" w:rsidDel="00000000" w:rsidP="00000000" w:rsidRDefault="00000000" w:rsidRPr="00000000" w14:paraId="00000002">
      <w:pPr>
        <w:rPr/>
      </w:pPr>
      <w:r w:rsidDel="00000000" w:rsidR="00000000" w:rsidRPr="00000000">
        <w:rPr>
          <w:rtl w:val="0"/>
        </w:rPr>
        <w:t xml:space="preserve">NREM 585</w:t>
      </w:r>
    </w:p>
    <w:p w:rsidR="00000000" w:rsidDel="00000000" w:rsidP="00000000" w:rsidRDefault="00000000" w:rsidRPr="00000000" w14:paraId="00000003">
      <w:pPr>
        <w:rPr/>
      </w:pPr>
      <w:r w:rsidDel="00000000" w:rsidR="00000000" w:rsidRPr="00000000">
        <w:rPr>
          <w:rtl w:val="0"/>
        </w:rPr>
        <w:t xml:space="preserve">January 28,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Reading Activity 4: Chapter 5 in Cubbage et al., 2017</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Three Big Things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Top-down vs. bottom-up policy implementation: the top-down approach begins with a statute or directive, where a chain of objectives and solutions are sought, while bottom-up approaches begin with a problem and issue and seek to identify a set of policies that achieve objectives.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Interesting that the book’s statement on the Paris Climate Agreement is already outdated.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Army Corps of Engineers and US Geological Survey as natural resource managers and policy enforcers is certainly complex.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emphasis on monitoring and evaluation, particularly the parts about efficiency and equity as metrics of success, seem to be helpful in identifying project objectives that are inclusive and equitable. This chapter also highlighted the realities of policy change, namely, the reluctance to adopt new policies that are very different than the status quo (in the absence of a galvanizing event/disturbance).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Using the stick instead of the carrot certainly seems to be the American model of enforcement. How can the US evolve to be more proactive in enforcement and less reactive?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