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Martin Simonson</w:t>
      </w:r>
    </w:p>
    <w:p w:rsidR="00000000" w:rsidDel="00000000" w:rsidP="00000000" w:rsidRDefault="00000000" w:rsidRPr="00000000" w14:paraId="00000002">
      <w:pPr>
        <w:rPr/>
      </w:pPr>
      <w:r w:rsidDel="00000000" w:rsidR="00000000" w:rsidRPr="00000000">
        <w:rPr>
          <w:rtl w:val="0"/>
        </w:rPr>
        <w:t xml:space="preserve">NREM 585</w:t>
      </w:r>
    </w:p>
    <w:p w:rsidR="00000000" w:rsidDel="00000000" w:rsidP="00000000" w:rsidRDefault="00000000" w:rsidRPr="00000000" w14:paraId="00000003">
      <w:pPr>
        <w:rPr/>
      </w:pPr>
      <w:r w:rsidDel="00000000" w:rsidR="00000000" w:rsidRPr="00000000">
        <w:rPr>
          <w:rtl w:val="0"/>
        </w:rPr>
        <w:t xml:space="preserve">January 27, 2020</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t xml:space="preserve">Reading Assignment 3</w:t>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Three Interesting Things</w:t>
      </w:r>
    </w:p>
    <w:p w:rsidR="00000000" w:rsidDel="00000000" w:rsidP="00000000" w:rsidRDefault="00000000" w:rsidRPr="00000000" w14:paraId="00000008">
      <w:pPr>
        <w:numPr>
          <w:ilvl w:val="1"/>
          <w:numId w:val="1"/>
        </w:numPr>
        <w:ind w:left="1440" w:hanging="360"/>
        <w:rPr>
          <w:u w:val="none"/>
        </w:rPr>
      </w:pPr>
      <w:r w:rsidDel="00000000" w:rsidR="00000000" w:rsidRPr="00000000">
        <w:rPr>
          <w:rtl w:val="0"/>
        </w:rPr>
        <w:t xml:space="preserve">I’m glad they brought up decision criteria, and using risks and competing values to evaluate different outcomes of policy.</w:t>
      </w:r>
    </w:p>
    <w:p w:rsidR="00000000" w:rsidDel="00000000" w:rsidP="00000000" w:rsidRDefault="00000000" w:rsidRPr="00000000" w14:paraId="00000009">
      <w:pPr>
        <w:numPr>
          <w:ilvl w:val="1"/>
          <w:numId w:val="1"/>
        </w:numPr>
        <w:ind w:left="1440" w:hanging="360"/>
        <w:rPr>
          <w:u w:val="none"/>
        </w:rPr>
      </w:pPr>
      <w:r w:rsidDel="00000000" w:rsidR="00000000" w:rsidRPr="00000000">
        <w:rPr>
          <w:rtl w:val="0"/>
        </w:rPr>
        <w:t xml:space="preserve">The strong sustainability model, with the economy on top of a pyramid over society and environment, is interesting… environment is the largest base and the other factors are nested within the environment.</w:t>
      </w:r>
    </w:p>
    <w:p w:rsidR="00000000" w:rsidDel="00000000" w:rsidP="00000000" w:rsidRDefault="00000000" w:rsidRPr="00000000" w14:paraId="0000000A">
      <w:pPr>
        <w:numPr>
          <w:ilvl w:val="1"/>
          <w:numId w:val="1"/>
        </w:numPr>
        <w:ind w:left="1440" w:hanging="360"/>
        <w:rPr>
          <w:u w:val="none"/>
        </w:rPr>
      </w:pPr>
      <w:r w:rsidDel="00000000" w:rsidR="00000000" w:rsidRPr="00000000">
        <w:rPr>
          <w:rtl w:val="0"/>
        </w:rPr>
        <w:t xml:space="preserve">“There is seldom complete consensus within the scientific community.” - Cubbage et al., 2017, page 82. That understatement of the millenium is going in my dissertation somewhere.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This chapter does a great job highlighting the different criteria that can be used to evaluate policy outcomes, the different ways those criteria can be valued, and touches on the economic and political realities of policy implementation. It was interesting to learn how much emphasis is put on the status quo being preferable to change.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Is the strong sustainability model sufficient in all situations? I can imagine many stakeholders that value economic criteria that could be considered independent from society or environment.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