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A88B" w14:textId="6252C770" w:rsidR="00945BD0" w:rsidRPr="00DC65A6" w:rsidRDefault="009D3E09" w:rsidP="009D3E09">
      <w:pPr>
        <w:jc w:val="center"/>
        <w:rPr>
          <w:b/>
          <w:bCs/>
          <w:u w:val="single"/>
        </w:rPr>
      </w:pPr>
      <w:r w:rsidRPr="00DC65A6">
        <w:rPr>
          <w:b/>
          <w:bCs/>
          <w:u w:val="single"/>
        </w:rPr>
        <w:t>Preliminary Exam Questions: Dr. Dinsmore</w:t>
      </w:r>
    </w:p>
    <w:p w14:paraId="1CB9F0FA" w14:textId="3E6131E6" w:rsidR="009D3E09" w:rsidRPr="00DC65A6" w:rsidRDefault="009D3E09" w:rsidP="009D3E09">
      <w:pPr>
        <w:pStyle w:val="NoSpacing"/>
        <w:jc w:val="center"/>
        <w:rPr>
          <w:b/>
          <w:bCs/>
        </w:rPr>
      </w:pPr>
      <w:r w:rsidRPr="00DC65A6">
        <w:rPr>
          <w:b/>
          <w:bCs/>
        </w:rPr>
        <w:t>Marty Simonson</w:t>
      </w:r>
    </w:p>
    <w:p w14:paraId="31C40AB0" w14:textId="77777777" w:rsidR="009D3E09" w:rsidRPr="00DC65A6" w:rsidRDefault="009D3E09" w:rsidP="009D3E09">
      <w:pPr>
        <w:pStyle w:val="NoSpacing"/>
        <w:jc w:val="center"/>
        <w:rPr>
          <w:b/>
          <w:bCs/>
        </w:rPr>
      </w:pPr>
    </w:p>
    <w:p w14:paraId="4CB307EC" w14:textId="50947882" w:rsidR="009D3E09" w:rsidRPr="00DC65A6" w:rsidRDefault="00DB7136" w:rsidP="009D3E09">
      <w:pPr>
        <w:pStyle w:val="NoSpacing"/>
        <w:jc w:val="center"/>
        <w:rPr>
          <w:b/>
          <w:bCs/>
        </w:rPr>
      </w:pPr>
      <w:r>
        <w:rPr>
          <w:b/>
          <w:bCs/>
        </w:rPr>
        <w:t>April 9</w:t>
      </w:r>
      <w:r w:rsidR="009D3E09" w:rsidRPr="00DC65A6">
        <w:rPr>
          <w:b/>
          <w:bCs/>
        </w:rPr>
        <w:t>, 2020</w:t>
      </w:r>
    </w:p>
    <w:p w14:paraId="66377E3B" w14:textId="4EA3BD22" w:rsidR="00F3477B" w:rsidRPr="00DC65A6" w:rsidRDefault="00F3477B" w:rsidP="00F3477B">
      <w:pPr>
        <w:pStyle w:val="NoSpacing"/>
        <w:rPr>
          <w:b/>
          <w:bCs/>
        </w:rPr>
      </w:pPr>
    </w:p>
    <w:p w14:paraId="4BF60DB7" w14:textId="269F1E2E" w:rsidR="00F3477B" w:rsidRPr="00DC65A6" w:rsidRDefault="00F3477B" w:rsidP="00F3477B">
      <w:pPr>
        <w:pStyle w:val="NoSpacing"/>
        <w:rPr>
          <w:b/>
          <w:bCs/>
        </w:rPr>
      </w:pPr>
      <w:r w:rsidRPr="00DC65A6">
        <w:rPr>
          <w:b/>
          <w:bCs/>
        </w:rPr>
        <w:t xml:space="preserve">3. Below is a 2x2 contingency table showing the observed breeding status (B=breeding, NB = non-breeding) for a hypothetical fish </w:t>
      </w:r>
      <w:proofErr w:type="gramStart"/>
      <w:r w:rsidRPr="00DC65A6">
        <w:rPr>
          <w:b/>
          <w:bCs/>
        </w:rPr>
        <w:t>in a given year</w:t>
      </w:r>
      <w:proofErr w:type="gramEnd"/>
      <w:r w:rsidRPr="00DC65A6">
        <w:rPr>
          <w:b/>
          <w:bCs/>
        </w:rPr>
        <w:t>. Furthermore, there are two classes of fish in each breeding category: fish attempting to breed for the first time (First), and experienced breeders (Exp).</w:t>
      </w:r>
    </w:p>
    <w:p w14:paraId="415596EA" w14:textId="0B8B5E6F" w:rsidR="00F3477B" w:rsidRDefault="00F3477B" w:rsidP="00F3477B">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F3477B" w14:paraId="2E7CAE3F" w14:textId="77777777" w:rsidTr="00DB7136">
        <w:tc>
          <w:tcPr>
            <w:tcW w:w="1870" w:type="dxa"/>
          </w:tcPr>
          <w:p w14:paraId="22F1467E" w14:textId="77777777" w:rsidR="00F3477B" w:rsidRDefault="00F3477B" w:rsidP="00F3477B">
            <w:pPr>
              <w:pStyle w:val="NoSpacing"/>
            </w:pPr>
          </w:p>
        </w:tc>
        <w:tc>
          <w:tcPr>
            <w:tcW w:w="1870" w:type="dxa"/>
            <w:tcBorders>
              <w:bottom w:val="single" w:sz="18" w:space="0" w:color="auto"/>
            </w:tcBorders>
          </w:tcPr>
          <w:p w14:paraId="1D2A0427" w14:textId="5D4DD307" w:rsidR="00F3477B" w:rsidRDefault="00F3477B" w:rsidP="00F3477B">
            <w:pPr>
              <w:pStyle w:val="NoSpacing"/>
            </w:pPr>
            <w:r>
              <w:t>B</w:t>
            </w:r>
          </w:p>
        </w:tc>
        <w:tc>
          <w:tcPr>
            <w:tcW w:w="1870" w:type="dxa"/>
            <w:tcBorders>
              <w:bottom w:val="single" w:sz="18" w:space="0" w:color="auto"/>
            </w:tcBorders>
          </w:tcPr>
          <w:p w14:paraId="6FEDFE5E" w14:textId="267234A4" w:rsidR="00F3477B" w:rsidRDefault="00F3477B" w:rsidP="00F3477B">
            <w:pPr>
              <w:pStyle w:val="NoSpacing"/>
            </w:pPr>
            <w:r>
              <w:t>NB</w:t>
            </w:r>
          </w:p>
        </w:tc>
        <w:tc>
          <w:tcPr>
            <w:tcW w:w="1870" w:type="dxa"/>
          </w:tcPr>
          <w:p w14:paraId="184450D1" w14:textId="785DE3D6" w:rsidR="00F3477B" w:rsidRDefault="00F3477B" w:rsidP="00F3477B">
            <w:pPr>
              <w:pStyle w:val="NoSpacing"/>
            </w:pPr>
            <w:r>
              <w:t>Total</w:t>
            </w:r>
          </w:p>
        </w:tc>
        <w:tc>
          <w:tcPr>
            <w:tcW w:w="1870" w:type="dxa"/>
          </w:tcPr>
          <w:p w14:paraId="0FDD0E5D" w14:textId="3465689A" w:rsidR="00F3477B" w:rsidRDefault="00F3477B" w:rsidP="00F3477B">
            <w:pPr>
              <w:pStyle w:val="NoSpacing"/>
            </w:pPr>
            <w:r>
              <w:t>% B</w:t>
            </w:r>
          </w:p>
        </w:tc>
      </w:tr>
      <w:tr w:rsidR="00F3477B" w14:paraId="383BA417" w14:textId="77777777" w:rsidTr="00DB7136">
        <w:tc>
          <w:tcPr>
            <w:tcW w:w="1870" w:type="dxa"/>
            <w:tcBorders>
              <w:right w:val="single" w:sz="18" w:space="0" w:color="auto"/>
            </w:tcBorders>
          </w:tcPr>
          <w:p w14:paraId="00358407" w14:textId="653C339E" w:rsidR="00F3477B" w:rsidRDefault="00F3477B" w:rsidP="00F3477B">
            <w:pPr>
              <w:pStyle w:val="NoSpacing"/>
            </w:pPr>
            <w:r>
              <w:t>First</w:t>
            </w:r>
          </w:p>
        </w:tc>
        <w:tc>
          <w:tcPr>
            <w:tcW w:w="1870" w:type="dxa"/>
            <w:tcBorders>
              <w:top w:val="single" w:sz="18" w:space="0" w:color="auto"/>
              <w:left w:val="single" w:sz="18" w:space="0" w:color="auto"/>
              <w:bottom w:val="single" w:sz="18" w:space="0" w:color="auto"/>
              <w:right w:val="single" w:sz="18" w:space="0" w:color="auto"/>
            </w:tcBorders>
          </w:tcPr>
          <w:p w14:paraId="2016AB8E" w14:textId="3078E49E" w:rsidR="00F3477B" w:rsidRPr="00DB7136" w:rsidRDefault="00F3477B" w:rsidP="00F3477B">
            <w:pPr>
              <w:pStyle w:val="NoSpacing"/>
              <w:rPr>
                <w:b/>
                <w:bCs/>
              </w:rPr>
            </w:pPr>
            <w:r w:rsidRPr="00DB7136">
              <w:rPr>
                <w:b/>
                <w:bCs/>
              </w:rPr>
              <w:t>110</w:t>
            </w:r>
          </w:p>
        </w:tc>
        <w:tc>
          <w:tcPr>
            <w:tcW w:w="1870" w:type="dxa"/>
            <w:tcBorders>
              <w:top w:val="single" w:sz="18" w:space="0" w:color="auto"/>
              <w:left w:val="single" w:sz="18" w:space="0" w:color="auto"/>
              <w:bottom w:val="single" w:sz="18" w:space="0" w:color="auto"/>
              <w:right w:val="single" w:sz="18" w:space="0" w:color="auto"/>
            </w:tcBorders>
          </w:tcPr>
          <w:p w14:paraId="20C0241B" w14:textId="1A1F7EC4" w:rsidR="00F3477B" w:rsidRPr="00DB7136" w:rsidRDefault="00F3477B" w:rsidP="00F3477B">
            <w:pPr>
              <w:pStyle w:val="NoSpacing"/>
              <w:rPr>
                <w:b/>
                <w:bCs/>
              </w:rPr>
            </w:pPr>
            <w:r w:rsidRPr="00DB7136">
              <w:rPr>
                <w:b/>
                <w:bCs/>
              </w:rPr>
              <w:t>45</w:t>
            </w:r>
          </w:p>
        </w:tc>
        <w:tc>
          <w:tcPr>
            <w:tcW w:w="1870" w:type="dxa"/>
            <w:tcBorders>
              <w:left w:val="single" w:sz="18" w:space="0" w:color="auto"/>
            </w:tcBorders>
          </w:tcPr>
          <w:p w14:paraId="0635E68B" w14:textId="1EA57800" w:rsidR="00F3477B" w:rsidRDefault="00F3477B" w:rsidP="00F3477B">
            <w:pPr>
              <w:pStyle w:val="NoSpacing"/>
            </w:pPr>
            <w:r>
              <w:t>155</w:t>
            </w:r>
          </w:p>
        </w:tc>
        <w:tc>
          <w:tcPr>
            <w:tcW w:w="1870" w:type="dxa"/>
          </w:tcPr>
          <w:p w14:paraId="5CDA27F4" w14:textId="29598586" w:rsidR="00F3477B" w:rsidRDefault="00F3477B" w:rsidP="00F3477B">
            <w:pPr>
              <w:pStyle w:val="NoSpacing"/>
            </w:pPr>
            <w:r>
              <w:t>71%</w:t>
            </w:r>
          </w:p>
        </w:tc>
      </w:tr>
      <w:tr w:rsidR="00F3477B" w14:paraId="00D3AF1F" w14:textId="77777777" w:rsidTr="00DB7136">
        <w:tc>
          <w:tcPr>
            <w:tcW w:w="1870" w:type="dxa"/>
            <w:tcBorders>
              <w:right w:val="single" w:sz="18" w:space="0" w:color="auto"/>
            </w:tcBorders>
          </w:tcPr>
          <w:p w14:paraId="6312E823" w14:textId="2D8D9C20" w:rsidR="00F3477B" w:rsidRDefault="00F3477B" w:rsidP="00F3477B">
            <w:pPr>
              <w:pStyle w:val="NoSpacing"/>
            </w:pPr>
            <w:r>
              <w:t>Exp</w:t>
            </w:r>
          </w:p>
        </w:tc>
        <w:tc>
          <w:tcPr>
            <w:tcW w:w="1870" w:type="dxa"/>
            <w:tcBorders>
              <w:top w:val="single" w:sz="18" w:space="0" w:color="auto"/>
              <w:left w:val="single" w:sz="18" w:space="0" w:color="auto"/>
              <w:bottom w:val="single" w:sz="18" w:space="0" w:color="auto"/>
              <w:right w:val="single" w:sz="18" w:space="0" w:color="auto"/>
            </w:tcBorders>
          </w:tcPr>
          <w:p w14:paraId="67606220" w14:textId="4DC0EF0C" w:rsidR="00F3477B" w:rsidRPr="00DB7136" w:rsidRDefault="00F3477B" w:rsidP="00F3477B">
            <w:pPr>
              <w:pStyle w:val="NoSpacing"/>
              <w:rPr>
                <w:b/>
                <w:bCs/>
              </w:rPr>
            </w:pPr>
            <w:r w:rsidRPr="00DB7136">
              <w:rPr>
                <w:b/>
                <w:bCs/>
              </w:rPr>
              <w:t>92</w:t>
            </w:r>
          </w:p>
        </w:tc>
        <w:tc>
          <w:tcPr>
            <w:tcW w:w="1870" w:type="dxa"/>
            <w:tcBorders>
              <w:top w:val="single" w:sz="18" w:space="0" w:color="auto"/>
              <w:left w:val="single" w:sz="18" w:space="0" w:color="auto"/>
              <w:bottom w:val="single" w:sz="18" w:space="0" w:color="auto"/>
              <w:right w:val="single" w:sz="18" w:space="0" w:color="auto"/>
            </w:tcBorders>
          </w:tcPr>
          <w:p w14:paraId="77A1568A" w14:textId="7CFDDB54" w:rsidR="00F3477B" w:rsidRPr="00DB7136" w:rsidRDefault="00F3477B" w:rsidP="00F3477B">
            <w:pPr>
              <w:pStyle w:val="NoSpacing"/>
              <w:rPr>
                <w:b/>
                <w:bCs/>
              </w:rPr>
            </w:pPr>
            <w:r w:rsidRPr="00DB7136">
              <w:rPr>
                <w:b/>
                <w:bCs/>
              </w:rPr>
              <w:t>63</w:t>
            </w:r>
          </w:p>
        </w:tc>
        <w:tc>
          <w:tcPr>
            <w:tcW w:w="1870" w:type="dxa"/>
            <w:tcBorders>
              <w:left w:val="single" w:sz="18" w:space="0" w:color="auto"/>
            </w:tcBorders>
          </w:tcPr>
          <w:p w14:paraId="0381E213" w14:textId="56827CDE" w:rsidR="00F3477B" w:rsidRDefault="00F3477B" w:rsidP="00F3477B">
            <w:pPr>
              <w:pStyle w:val="NoSpacing"/>
            </w:pPr>
            <w:r>
              <w:t>155</w:t>
            </w:r>
          </w:p>
        </w:tc>
        <w:tc>
          <w:tcPr>
            <w:tcW w:w="1870" w:type="dxa"/>
          </w:tcPr>
          <w:p w14:paraId="28CAA2C9" w14:textId="4574940B" w:rsidR="00F3477B" w:rsidRDefault="00F3477B" w:rsidP="00F3477B">
            <w:pPr>
              <w:pStyle w:val="NoSpacing"/>
            </w:pPr>
            <w:r>
              <w:t>59%</w:t>
            </w:r>
          </w:p>
        </w:tc>
      </w:tr>
      <w:tr w:rsidR="00F3477B" w14:paraId="5B134513" w14:textId="77777777" w:rsidTr="00DB7136">
        <w:tc>
          <w:tcPr>
            <w:tcW w:w="1870" w:type="dxa"/>
          </w:tcPr>
          <w:p w14:paraId="53F1F148" w14:textId="04056058" w:rsidR="00F3477B" w:rsidRDefault="00F3477B" w:rsidP="00F3477B">
            <w:pPr>
              <w:pStyle w:val="NoSpacing"/>
            </w:pPr>
            <w:r>
              <w:t>Total</w:t>
            </w:r>
          </w:p>
        </w:tc>
        <w:tc>
          <w:tcPr>
            <w:tcW w:w="1870" w:type="dxa"/>
            <w:tcBorders>
              <w:top w:val="single" w:sz="18" w:space="0" w:color="auto"/>
            </w:tcBorders>
          </w:tcPr>
          <w:p w14:paraId="03C239C4" w14:textId="4D68E06C" w:rsidR="00F3477B" w:rsidRDefault="00F3477B" w:rsidP="00F3477B">
            <w:pPr>
              <w:pStyle w:val="NoSpacing"/>
            </w:pPr>
            <w:r>
              <w:t>202</w:t>
            </w:r>
          </w:p>
        </w:tc>
        <w:tc>
          <w:tcPr>
            <w:tcW w:w="1870" w:type="dxa"/>
            <w:tcBorders>
              <w:top w:val="single" w:sz="18" w:space="0" w:color="auto"/>
            </w:tcBorders>
          </w:tcPr>
          <w:p w14:paraId="4D2ED4A4" w14:textId="7B2E2F0C" w:rsidR="00F3477B" w:rsidRDefault="00F3477B" w:rsidP="00F3477B">
            <w:pPr>
              <w:pStyle w:val="NoSpacing"/>
            </w:pPr>
            <w:r>
              <w:t>108</w:t>
            </w:r>
          </w:p>
        </w:tc>
        <w:tc>
          <w:tcPr>
            <w:tcW w:w="1870" w:type="dxa"/>
          </w:tcPr>
          <w:p w14:paraId="18A07983" w14:textId="4161504C" w:rsidR="00F3477B" w:rsidRDefault="00F3477B" w:rsidP="00F3477B">
            <w:pPr>
              <w:pStyle w:val="NoSpacing"/>
            </w:pPr>
            <w:r>
              <w:t>310</w:t>
            </w:r>
          </w:p>
        </w:tc>
        <w:tc>
          <w:tcPr>
            <w:tcW w:w="1870" w:type="dxa"/>
          </w:tcPr>
          <w:p w14:paraId="5F625993" w14:textId="19201299" w:rsidR="00F3477B" w:rsidRDefault="00F3477B" w:rsidP="00F3477B">
            <w:pPr>
              <w:pStyle w:val="NoSpacing"/>
            </w:pPr>
            <w:r>
              <w:t>65%</w:t>
            </w:r>
          </w:p>
        </w:tc>
      </w:tr>
    </w:tbl>
    <w:p w14:paraId="7CB2907A" w14:textId="7E762C1A" w:rsidR="00F3477B" w:rsidRDefault="00F3477B" w:rsidP="00F3477B">
      <w:pPr>
        <w:pStyle w:val="NoSpacing"/>
      </w:pPr>
    </w:p>
    <w:p w14:paraId="1F8657DD" w14:textId="707CC6A4" w:rsidR="00DB7136" w:rsidRDefault="00F3477B" w:rsidP="00DB7136">
      <w:pPr>
        <w:pStyle w:val="NoSpacing"/>
        <w:numPr>
          <w:ilvl w:val="0"/>
          <w:numId w:val="5"/>
        </w:numPr>
        <w:rPr>
          <w:b/>
          <w:bCs/>
        </w:rPr>
      </w:pPr>
      <w:r w:rsidRPr="00DC65A6">
        <w:rPr>
          <w:b/>
          <w:bCs/>
        </w:rPr>
        <w:t>Create a partition of the above table into two possible 2x2 tables (which must sum to the numbers in the above table) that constitute a good example of Simpson’s Paradox. (note: there is no unique solution to this).</w:t>
      </w:r>
    </w:p>
    <w:p w14:paraId="7DDD7FE7" w14:textId="77777777" w:rsidR="00DB7136" w:rsidRPr="00DB7136" w:rsidRDefault="00DB7136" w:rsidP="00DB7136">
      <w:pPr>
        <w:pStyle w:val="NoSpacing"/>
        <w:rPr>
          <w:b/>
          <w:bCs/>
        </w:rPr>
      </w:pPr>
    </w:p>
    <w:tbl>
      <w:tblPr>
        <w:tblStyle w:val="TableGrid"/>
        <w:tblpPr w:leftFromText="180" w:rightFromText="180" w:vertAnchor="text" w:horzAnchor="margin" w:tblpY="37"/>
        <w:tblW w:w="0" w:type="auto"/>
        <w:tblLook w:val="04A0" w:firstRow="1" w:lastRow="0" w:firstColumn="1" w:lastColumn="0" w:noHBand="0" w:noVBand="1"/>
      </w:tblPr>
      <w:tblGrid>
        <w:gridCol w:w="1665"/>
        <w:gridCol w:w="941"/>
        <w:gridCol w:w="941"/>
        <w:gridCol w:w="941"/>
      </w:tblGrid>
      <w:tr w:rsidR="003819F7" w14:paraId="5F02716B" w14:textId="4B0D2B97" w:rsidTr="009B3D03">
        <w:trPr>
          <w:trHeight w:val="265"/>
        </w:trPr>
        <w:tc>
          <w:tcPr>
            <w:tcW w:w="1665" w:type="dxa"/>
          </w:tcPr>
          <w:p w14:paraId="431ABD6E" w14:textId="77777777" w:rsidR="003819F7" w:rsidRPr="00DB7136" w:rsidRDefault="003819F7" w:rsidP="00DB7136">
            <w:pPr>
              <w:pStyle w:val="NoSpacing"/>
              <w:rPr>
                <w:b/>
                <w:bCs/>
              </w:rPr>
            </w:pPr>
            <w:r w:rsidRPr="00DB7136">
              <w:rPr>
                <w:b/>
                <w:bCs/>
              </w:rPr>
              <w:t>TABLE 1</w:t>
            </w:r>
          </w:p>
        </w:tc>
        <w:tc>
          <w:tcPr>
            <w:tcW w:w="941" w:type="dxa"/>
          </w:tcPr>
          <w:p w14:paraId="73E1FD13" w14:textId="77777777" w:rsidR="003819F7" w:rsidRDefault="003819F7" w:rsidP="00DB7136">
            <w:pPr>
              <w:pStyle w:val="NoSpacing"/>
            </w:pPr>
            <w:r>
              <w:t>B</w:t>
            </w:r>
          </w:p>
        </w:tc>
        <w:tc>
          <w:tcPr>
            <w:tcW w:w="941" w:type="dxa"/>
          </w:tcPr>
          <w:p w14:paraId="3FB6B31F" w14:textId="77777777" w:rsidR="003819F7" w:rsidRDefault="003819F7" w:rsidP="00DB7136">
            <w:pPr>
              <w:pStyle w:val="NoSpacing"/>
            </w:pPr>
            <w:r>
              <w:t>NB</w:t>
            </w:r>
          </w:p>
        </w:tc>
        <w:tc>
          <w:tcPr>
            <w:tcW w:w="941" w:type="dxa"/>
          </w:tcPr>
          <w:p w14:paraId="534E0BC2" w14:textId="09F3F3C9" w:rsidR="003819F7" w:rsidRDefault="003819F7" w:rsidP="00DB7136">
            <w:pPr>
              <w:pStyle w:val="NoSpacing"/>
            </w:pPr>
            <w:r>
              <w:t>%B</w:t>
            </w:r>
          </w:p>
        </w:tc>
      </w:tr>
      <w:tr w:rsidR="003819F7" w14:paraId="5032EE07" w14:textId="7425EB63" w:rsidTr="009B3D03">
        <w:trPr>
          <w:trHeight w:val="265"/>
        </w:trPr>
        <w:tc>
          <w:tcPr>
            <w:tcW w:w="1665" w:type="dxa"/>
          </w:tcPr>
          <w:p w14:paraId="7BC608CF" w14:textId="77777777" w:rsidR="003819F7" w:rsidRDefault="003819F7" w:rsidP="00DB7136">
            <w:pPr>
              <w:pStyle w:val="NoSpacing"/>
            </w:pPr>
            <w:r>
              <w:t>First</w:t>
            </w:r>
          </w:p>
        </w:tc>
        <w:tc>
          <w:tcPr>
            <w:tcW w:w="941" w:type="dxa"/>
          </w:tcPr>
          <w:p w14:paraId="774CDF76" w14:textId="65A427E2" w:rsidR="003819F7" w:rsidRDefault="003819F7" w:rsidP="00DB7136">
            <w:pPr>
              <w:pStyle w:val="NoSpacing"/>
            </w:pPr>
            <w:r>
              <w:t>108</w:t>
            </w:r>
          </w:p>
        </w:tc>
        <w:tc>
          <w:tcPr>
            <w:tcW w:w="941" w:type="dxa"/>
          </w:tcPr>
          <w:p w14:paraId="5B25B238" w14:textId="42D835C9" w:rsidR="003819F7" w:rsidRDefault="003819F7" w:rsidP="00DB7136">
            <w:pPr>
              <w:pStyle w:val="NoSpacing"/>
            </w:pPr>
            <w:r>
              <w:t>43</w:t>
            </w:r>
          </w:p>
        </w:tc>
        <w:tc>
          <w:tcPr>
            <w:tcW w:w="941" w:type="dxa"/>
          </w:tcPr>
          <w:p w14:paraId="6DC433F7" w14:textId="2215BE12" w:rsidR="003819F7" w:rsidRDefault="003819F7" w:rsidP="00DB7136">
            <w:pPr>
              <w:pStyle w:val="NoSpacing"/>
            </w:pPr>
            <w:r>
              <w:t>72%</w:t>
            </w:r>
          </w:p>
        </w:tc>
      </w:tr>
      <w:tr w:rsidR="003819F7" w14:paraId="1FB064DA" w14:textId="1B0A8671" w:rsidTr="009B3D03">
        <w:trPr>
          <w:trHeight w:val="265"/>
        </w:trPr>
        <w:tc>
          <w:tcPr>
            <w:tcW w:w="1665" w:type="dxa"/>
          </w:tcPr>
          <w:p w14:paraId="4CE25AA8" w14:textId="62821A11" w:rsidR="003819F7" w:rsidRDefault="003819F7" w:rsidP="00DB7136">
            <w:pPr>
              <w:pStyle w:val="NoSpacing"/>
            </w:pPr>
            <w:r>
              <w:t>Exp</w:t>
            </w:r>
          </w:p>
        </w:tc>
        <w:tc>
          <w:tcPr>
            <w:tcW w:w="941" w:type="dxa"/>
          </w:tcPr>
          <w:p w14:paraId="22BCD040" w14:textId="295EE913" w:rsidR="003819F7" w:rsidRDefault="003819F7" w:rsidP="00DB7136">
            <w:pPr>
              <w:pStyle w:val="NoSpacing"/>
            </w:pPr>
            <w:r>
              <w:t>12</w:t>
            </w:r>
          </w:p>
        </w:tc>
        <w:tc>
          <w:tcPr>
            <w:tcW w:w="941" w:type="dxa"/>
          </w:tcPr>
          <w:p w14:paraId="408DEC56" w14:textId="2657ADC8" w:rsidR="003819F7" w:rsidRDefault="003819F7" w:rsidP="00DB7136">
            <w:pPr>
              <w:pStyle w:val="NoSpacing"/>
            </w:pPr>
            <w:r>
              <w:t>3</w:t>
            </w:r>
          </w:p>
        </w:tc>
        <w:tc>
          <w:tcPr>
            <w:tcW w:w="941" w:type="dxa"/>
          </w:tcPr>
          <w:p w14:paraId="7DD44C54" w14:textId="372970E3" w:rsidR="003819F7" w:rsidRDefault="003819F7" w:rsidP="00DB7136">
            <w:pPr>
              <w:pStyle w:val="NoSpacing"/>
            </w:pPr>
            <w:r>
              <w:t>80%</w:t>
            </w:r>
          </w:p>
        </w:tc>
      </w:tr>
    </w:tbl>
    <w:tbl>
      <w:tblPr>
        <w:tblStyle w:val="TableGrid"/>
        <w:tblpPr w:leftFromText="180" w:rightFromText="180" w:vertAnchor="text" w:horzAnchor="margin" w:tblpXSpec="right" w:tblpY="61"/>
        <w:tblW w:w="0" w:type="auto"/>
        <w:tblLook w:val="04A0" w:firstRow="1" w:lastRow="0" w:firstColumn="1" w:lastColumn="0" w:noHBand="0" w:noVBand="1"/>
      </w:tblPr>
      <w:tblGrid>
        <w:gridCol w:w="1485"/>
        <w:gridCol w:w="953"/>
        <w:gridCol w:w="953"/>
        <w:gridCol w:w="953"/>
      </w:tblGrid>
      <w:tr w:rsidR="003819F7" w14:paraId="4D1D66E6" w14:textId="790F635E" w:rsidTr="00D52CCD">
        <w:trPr>
          <w:trHeight w:val="265"/>
        </w:trPr>
        <w:tc>
          <w:tcPr>
            <w:tcW w:w="1485" w:type="dxa"/>
          </w:tcPr>
          <w:p w14:paraId="1955D165" w14:textId="77777777" w:rsidR="003819F7" w:rsidRPr="00DB7136" w:rsidRDefault="003819F7" w:rsidP="00DB7136">
            <w:pPr>
              <w:pStyle w:val="NoSpacing"/>
              <w:rPr>
                <w:b/>
                <w:bCs/>
              </w:rPr>
            </w:pPr>
            <w:r>
              <w:rPr>
                <w:b/>
                <w:bCs/>
              </w:rPr>
              <w:t>TABLE 2</w:t>
            </w:r>
          </w:p>
        </w:tc>
        <w:tc>
          <w:tcPr>
            <w:tcW w:w="953" w:type="dxa"/>
          </w:tcPr>
          <w:p w14:paraId="0C4EC040" w14:textId="77777777" w:rsidR="003819F7" w:rsidRDefault="003819F7" w:rsidP="00DB7136">
            <w:pPr>
              <w:pStyle w:val="NoSpacing"/>
            </w:pPr>
            <w:r>
              <w:t>B</w:t>
            </w:r>
          </w:p>
        </w:tc>
        <w:tc>
          <w:tcPr>
            <w:tcW w:w="953" w:type="dxa"/>
          </w:tcPr>
          <w:p w14:paraId="4431FF56" w14:textId="77777777" w:rsidR="003819F7" w:rsidRDefault="003819F7" w:rsidP="00DB7136">
            <w:pPr>
              <w:pStyle w:val="NoSpacing"/>
            </w:pPr>
            <w:r>
              <w:t>NB</w:t>
            </w:r>
          </w:p>
        </w:tc>
        <w:tc>
          <w:tcPr>
            <w:tcW w:w="953" w:type="dxa"/>
          </w:tcPr>
          <w:p w14:paraId="5E640F4C" w14:textId="26FD775C" w:rsidR="003819F7" w:rsidRDefault="003819F7" w:rsidP="00DB7136">
            <w:pPr>
              <w:pStyle w:val="NoSpacing"/>
            </w:pPr>
            <w:r>
              <w:t>%B</w:t>
            </w:r>
          </w:p>
        </w:tc>
      </w:tr>
      <w:tr w:rsidR="003819F7" w14:paraId="4744C16C" w14:textId="3FABC414" w:rsidTr="00D52CCD">
        <w:trPr>
          <w:trHeight w:val="265"/>
        </w:trPr>
        <w:tc>
          <w:tcPr>
            <w:tcW w:w="1485" w:type="dxa"/>
          </w:tcPr>
          <w:p w14:paraId="7C016B87" w14:textId="77777777" w:rsidR="003819F7" w:rsidRDefault="003819F7" w:rsidP="00DB7136">
            <w:pPr>
              <w:pStyle w:val="NoSpacing"/>
            </w:pPr>
            <w:r>
              <w:t>First</w:t>
            </w:r>
          </w:p>
        </w:tc>
        <w:tc>
          <w:tcPr>
            <w:tcW w:w="953" w:type="dxa"/>
          </w:tcPr>
          <w:p w14:paraId="5D872269" w14:textId="7AE7848E" w:rsidR="003819F7" w:rsidRDefault="003819F7" w:rsidP="00DB7136">
            <w:pPr>
              <w:pStyle w:val="NoSpacing"/>
            </w:pPr>
            <w:r>
              <w:t>2</w:t>
            </w:r>
          </w:p>
        </w:tc>
        <w:tc>
          <w:tcPr>
            <w:tcW w:w="953" w:type="dxa"/>
          </w:tcPr>
          <w:p w14:paraId="24400677" w14:textId="73415EB3" w:rsidR="003819F7" w:rsidRDefault="003819F7" w:rsidP="00DB7136">
            <w:pPr>
              <w:pStyle w:val="NoSpacing"/>
            </w:pPr>
            <w:r>
              <w:t>2</w:t>
            </w:r>
          </w:p>
        </w:tc>
        <w:tc>
          <w:tcPr>
            <w:tcW w:w="953" w:type="dxa"/>
          </w:tcPr>
          <w:p w14:paraId="3B8E1B91" w14:textId="4BDC7EB8" w:rsidR="003819F7" w:rsidRDefault="003819F7" w:rsidP="00DB7136">
            <w:pPr>
              <w:pStyle w:val="NoSpacing"/>
            </w:pPr>
            <w:r>
              <w:t>50%</w:t>
            </w:r>
          </w:p>
        </w:tc>
      </w:tr>
      <w:tr w:rsidR="003819F7" w14:paraId="51E8994F" w14:textId="55C45D85" w:rsidTr="00D52CCD">
        <w:trPr>
          <w:trHeight w:val="265"/>
        </w:trPr>
        <w:tc>
          <w:tcPr>
            <w:tcW w:w="1485" w:type="dxa"/>
          </w:tcPr>
          <w:p w14:paraId="33BD1CEF" w14:textId="77777777" w:rsidR="003819F7" w:rsidRDefault="003819F7" w:rsidP="00DB7136">
            <w:pPr>
              <w:pStyle w:val="NoSpacing"/>
            </w:pPr>
            <w:r>
              <w:t>Exp</w:t>
            </w:r>
          </w:p>
        </w:tc>
        <w:tc>
          <w:tcPr>
            <w:tcW w:w="953" w:type="dxa"/>
          </w:tcPr>
          <w:p w14:paraId="790BC859" w14:textId="38B3D629" w:rsidR="003819F7" w:rsidRDefault="003819F7" w:rsidP="00DB7136">
            <w:pPr>
              <w:pStyle w:val="NoSpacing"/>
            </w:pPr>
            <w:r>
              <w:t>80</w:t>
            </w:r>
          </w:p>
        </w:tc>
        <w:tc>
          <w:tcPr>
            <w:tcW w:w="953" w:type="dxa"/>
          </w:tcPr>
          <w:p w14:paraId="54120221" w14:textId="203557B1" w:rsidR="003819F7" w:rsidRDefault="003819F7" w:rsidP="00DB7136">
            <w:pPr>
              <w:pStyle w:val="NoSpacing"/>
            </w:pPr>
            <w:r>
              <w:t>60</w:t>
            </w:r>
          </w:p>
        </w:tc>
        <w:tc>
          <w:tcPr>
            <w:tcW w:w="953" w:type="dxa"/>
          </w:tcPr>
          <w:p w14:paraId="69449AF8" w14:textId="64F632E8" w:rsidR="003819F7" w:rsidRDefault="003819F7" w:rsidP="00DB7136">
            <w:pPr>
              <w:pStyle w:val="NoSpacing"/>
            </w:pPr>
            <w:r>
              <w:t>57%</w:t>
            </w:r>
          </w:p>
        </w:tc>
      </w:tr>
    </w:tbl>
    <w:p w14:paraId="4CDC98B7" w14:textId="07FA0C44" w:rsidR="00DB7136" w:rsidRDefault="00DB7136" w:rsidP="00DB7136">
      <w:pPr>
        <w:pStyle w:val="NoSpacing"/>
        <w:spacing w:line="480" w:lineRule="auto"/>
      </w:pPr>
      <w:r>
        <w:t xml:space="preserve"> </w:t>
      </w:r>
    </w:p>
    <w:p w14:paraId="56B59493" w14:textId="7BE85D78" w:rsidR="00F3477B" w:rsidRDefault="00DB7136" w:rsidP="00DB7136">
      <w:pPr>
        <w:pStyle w:val="NoSpacing"/>
        <w:spacing w:line="480" w:lineRule="auto"/>
      </w:pPr>
      <w:r>
        <w:t>The two tables are set up such that they could be two independent samples of the same population, which together sum to the bolded part of the table above.</w:t>
      </w:r>
      <w:r w:rsidR="003F7A74">
        <w:t xml:space="preserve"> </w:t>
      </w:r>
      <w:r w:rsidR="003F7A74" w:rsidRPr="003819F7">
        <w:t xml:space="preserve">Simpson’s paradox is demonstrated </w:t>
      </w:r>
      <w:r w:rsidR="003819F7">
        <w:t>here because in the partitioned tables the experienced breeders are observed in the breeding state more often than first time breeders. When the data are aggregated, however, we see that</w:t>
      </w:r>
      <w:r w:rsidR="00587C36">
        <w:t>, overall,</w:t>
      </w:r>
      <w:r w:rsidR="003819F7">
        <w:t xml:space="preserve"> the first-time breeders are observed in the breeding state more often.</w:t>
      </w:r>
      <w:r w:rsidR="003F7A74">
        <w:t xml:space="preserve"> In Table 1, we observe that </w:t>
      </w:r>
      <w:r w:rsidR="003819F7">
        <w:t>72</w:t>
      </w:r>
      <w:r w:rsidR="003F7A74">
        <w:t xml:space="preserve">% of the first-time breeders fall into the breeding status, while </w:t>
      </w:r>
      <w:r w:rsidR="003819F7">
        <w:t>80</w:t>
      </w:r>
      <w:r w:rsidR="003F7A74">
        <w:t>% of experienced breeders fall into the breeding category</w:t>
      </w:r>
      <w:r w:rsidR="003819F7">
        <w:t xml:space="preserve">, and </w:t>
      </w:r>
      <w:r w:rsidR="00587C36">
        <w:t>in</w:t>
      </w:r>
      <w:r w:rsidR="003F7A74">
        <w:t xml:space="preserve"> Table 2,</w:t>
      </w:r>
      <w:r w:rsidR="00611176">
        <w:t xml:space="preserve"> </w:t>
      </w:r>
      <w:r w:rsidR="00587C36">
        <w:t>similarly,</w:t>
      </w:r>
      <w:r w:rsidR="003F7A74">
        <w:t xml:space="preserve"> shows that </w:t>
      </w:r>
      <w:r w:rsidR="00587C36">
        <w:t>50</w:t>
      </w:r>
      <w:r w:rsidR="003F7A74">
        <w:t>% of first-time breeders are in the breeding stat</w:t>
      </w:r>
      <w:r w:rsidR="00587C36">
        <w:t>e whereas 57% of the experienced breeders are observed in the breeding state. This appears to be a factor of sample size within the first-time and experienced breeder groups!</w:t>
      </w:r>
    </w:p>
    <w:p w14:paraId="7B2C7B82" w14:textId="77777777" w:rsidR="00F3477B" w:rsidRDefault="00F3477B" w:rsidP="00F3477B">
      <w:pPr>
        <w:pStyle w:val="NoSpacing"/>
      </w:pPr>
    </w:p>
    <w:p w14:paraId="7212BCA9" w14:textId="748B11D9" w:rsidR="00F3477B" w:rsidRPr="00DC65A6" w:rsidRDefault="00F3477B" w:rsidP="00F3477B">
      <w:pPr>
        <w:pStyle w:val="NoSpacing"/>
        <w:numPr>
          <w:ilvl w:val="0"/>
          <w:numId w:val="5"/>
        </w:numPr>
        <w:rPr>
          <w:b/>
          <w:bCs/>
        </w:rPr>
      </w:pPr>
      <w:r w:rsidRPr="00DC65A6">
        <w:rPr>
          <w:b/>
          <w:bCs/>
        </w:rPr>
        <w:lastRenderedPageBreak/>
        <w:t>State Simpson’s Paradox in its general form. Why does it raise concern regarding the analysis of observational ecological data, even under a model-based data analysis?</w:t>
      </w:r>
    </w:p>
    <w:p w14:paraId="1638BA21" w14:textId="1949470D" w:rsidR="00F3477B" w:rsidRDefault="00F3477B" w:rsidP="00F3477B">
      <w:pPr>
        <w:pStyle w:val="NoSpacing"/>
      </w:pPr>
    </w:p>
    <w:p w14:paraId="2B378701" w14:textId="5C5AABA9" w:rsidR="00F3477B" w:rsidRDefault="00D2624D" w:rsidP="002C1C27">
      <w:pPr>
        <w:pStyle w:val="NoSpacing"/>
        <w:spacing w:line="480" w:lineRule="auto"/>
      </w:pPr>
      <w:r>
        <w:tab/>
        <w:t>Simpson’s paradox states that the presence or absence of a trend, when data is pooled, disappears or arises after data is partitioned into groups</w:t>
      </w:r>
      <w:r w:rsidR="00C1757C">
        <w:t>, which</w:t>
      </w:r>
      <w:r>
        <w:t xml:space="preserve"> is essentially a manifestation of confounding factors</w:t>
      </w:r>
      <w:r w:rsidR="00C1757C">
        <w:t xml:space="preserve"> and human perspectives</w:t>
      </w:r>
      <w:r w:rsidR="00DC65A6">
        <w:t xml:space="preserve">. This is concerning in observational and ecological data, because stratification of data by groups can be entirely subjective to human bias (e.g., “healthy” vs. “sick”) and </w:t>
      </w:r>
      <w:r w:rsidR="009A2279">
        <w:t xml:space="preserve">equal sample sizes among groups can be difficult to obtain </w:t>
      </w:r>
      <w:r w:rsidR="00C1757C">
        <w:t>when</w:t>
      </w:r>
      <w:r w:rsidR="009A2279">
        <w:t xml:space="preserve"> count data that is at the mercy of relative abundances</w:t>
      </w:r>
      <w:r w:rsidR="00C1757C">
        <w:t xml:space="preserve"> and detection abilities</w:t>
      </w:r>
      <w:r w:rsidR="00DC65A6">
        <w:t>.</w:t>
      </w:r>
      <w:r w:rsidR="009A2279">
        <w:t xml:space="preserve"> Testing </w:t>
      </w:r>
      <w:r w:rsidR="00DC65A6">
        <w:t xml:space="preserve">pooled analysis vs. stratified analysis </w:t>
      </w:r>
      <w:r w:rsidR="009A2279">
        <w:t>is important to ensure that a</w:t>
      </w:r>
      <w:r w:rsidR="00DC65A6">
        <w:t xml:space="preserve"> conclusion or result from pooled data </w:t>
      </w:r>
      <w:r w:rsidR="009A2279">
        <w:t xml:space="preserve">is </w:t>
      </w:r>
      <w:r w:rsidR="00C1757C">
        <w:t xml:space="preserve">not </w:t>
      </w:r>
      <w:r w:rsidR="009A2279">
        <w:t>contrary or</w:t>
      </w:r>
      <w:r w:rsidR="00DC65A6">
        <w:t xml:space="preserve"> different than a closer look at the data split among groups. </w:t>
      </w:r>
    </w:p>
    <w:p w14:paraId="0106731B" w14:textId="6F7A7499" w:rsidR="00F3477B" w:rsidRDefault="00F3477B" w:rsidP="00F3477B">
      <w:pPr>
        <w:pStyle w:val="NoSpacing"/>
      </w:pPr>
    </w:p>
    <w:p w14:paraId="47D80EB7" w14:textId="46B94E88" w:rsidR="00F3477B" w:rsidRDefault="00F3477B" w:rsidP="00F3477B">
      <w:pPr>
        <w:pStyle w:val="NoSpacing"/>
      </w:pPr>
    </w:p>
    <w:p w14:paraId="0D7BE3E9" w14:textId="02E25D6A" w:rsidR="00F3477B" w:rsidRDefault="00F3477B" w:rsidP="00F3477B">
      <w:pPr>
        <w:pStyle w:val="NoSpacing"/>
        <w:numPr>
          <w:ilvl w:val="0"/>
          <w:numId w:val="5"/>
        </w:numPr>
        <w:rPr>
          <w:b/>
          <w:bCs/>
        </w:rPr>
      </w:pPr>
      <w:r w:rsidRPr="00DC65A6">
        <w:rPr>
          <w:b/>
          <w:bCs/>
        </w:rPr>
        <w:t>Why are we nearly immune to Simpson’s Paradox when using a well-designed and highly replicated experiment?</w:t>
      </w:r>
    </w:p>
    <w:p w14:paraId="41266906" w14:textId="7997E9E3" w:rsidR="00DC65A6" w:rsidRDefault="00DC65A6" w:rsidP="00DC65A6">
      <w:pPr>
        <w:pStyle w:val="NoSpacing"/>
        <w:rPr>
          <w:b/>
          <w:bCs/>
        </w:rPr>
      </w:pPr>
    </w:p>
    <w:p w14:paraId="53F4B116" w14:textId="54DA13E0" w:rsidR="00DC65A6" w:rsidRDefault="00DC65A6" w:rsidP="002C1C27">
      <w:pPr>
        <w:pStyle w:val="NoSpacing"/>
        <w:spacing w:line="480" w:lineRule="auto"/>
      </w:pPr>
      <w:r>
        <w:tab/>
      </w:r>
      <w:r w:rsidR="009A2279">
        <w:t>Simpson’s Paradox is handled many ways using current statistical methods. The best approach comes in well-designed and well-replicated experiments or observational studies. The fundamentals of frequentist statistics are aligned to</w:t>
      </w:r>
      <w:r w:rsidR="00BF612C">
        <w:t>ward reduced Type I error and (ideally) fewer false positive conclusions.</w:t>
      </w:r>
      <w:r w:rsidR="009A2279">
        <w:t xml:space="preserve"> Equal sample sizes are critical to </w:t>
      </w:r>
      <w:r w:rsidR="00BF612C">
        <w:t>making appropriate comparisons between groups, often setting a minimum or maximum number of individuals measured for a trait will improve comparisons, assuming the individuals are randomly drawn from within their sub-population.</w:t>
      </w:r>
    </w:p>
    <w:p w14:paraId="4D394BC5" w14:textId="7A00FDC9" w:rsidR="00BF612C" w:rsidRDefault="00BF612C" w:rsidP="002C1C27">
      <w:pPr>
        <w:pStyle w:val="NoSpacing"/>
        <w:spacing w:line="480" w:lineRule="auto"/>
      </w:pPr>
      <w:r>
        <w:tab/>
        <w:t xml:space="preserve">Statistical design that is robust to Simpson’s Paradox can include a priori groupings based on quantifiable traits (e.g., length class) or clearly distinct taxa classifications. For example, a </w:t>
      </w:r>
      <w:r w:rsidR="00C1757C">
        <w:t>landscape-level</w:t>
      </w:r>
      <w:r>
        <w:t xml:space="preserve"> study </w:t>
      </w:r>
      <w:r w:rsidR="00C1757C">
        <w:t xml:space="preserve">on how forests in the Great Plains serve as bird habitat </w:t>
      </w:r>
      <w:r>
        <w:t>might be interested in looking more at functional groups of species and</w:t>
      </w:r>
      <w:r w:rsidR="00C1757C">
        <w:t xml:space="preserve"> thus</w:t>
      </w:r>
      <w:r>
        <w:t xml:space="preserve"> aggregate data into larger </w:t>
      </w:r>
      <w:r>
        <w:lastRenderedPageBreak/>
        <w:t>groups of ground- and tree-nesting birds</w:t>
      </w:r>
      <w:r w:rsidR="00C1757C">
        <w:t>,</w:t>
      </w:r>
      <w:r>
        <w:t xml:space="preserve"> regardless of species. Randomization of treatment within a system can help avoid uneven sample size from data collection.</w:t>
      </w:r>
      <w:r w:rsidR="00E87E07">
        <w:t xml:space="preserve"> Bayesian network analysis is another powerful tool to use literature and expert knowledge to identify nodes that are data gaps and subsequently develop a robust sample design ahead of collecting data. </w:t>
      </w:r>
    </w:p>
    <w:p w14:paraId="508DEB76" w14:textId="54C71F27" w:rsidR="00E87E07" w:rsidRPr="00DC65A6" w:rsidRDefault="00E87E07" w:rsidP="002C1C27">
      <w:pPr>
        <w:pStyle w:val="NoSpacing"/>
        <w:spacing w:line="480" w:lineRule="auto"/>
      </w:pPr>
      <w:r>
        <w:tab/>
        <w:t>Statistics is the story that encodes causal relationships</w:t>
      </w:r>
      <w:r w:rsidR="00C1757C">
        <w:t xml:space="preserve"> and explains natural phenomena</w:t>
      </w:r>
      <w:r>
        <w:t xml:space="preserve">, and Simpson’s Paradox can confound those relationships. However, knowledge about the study organism or system, careful consideration of confounding factors, and adequate replication will reduce or eliminate the effect of Simpson’s Paradox.  </w:t>
      </w:r>
    </w:p>
    <w:sectPr w:rsidR="00E87E07" w:rsidRPr="00DC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3191"/>
    <w:multiLevelType w:val="hybridMultilevel"/>
    <w:tmpl w:val="344CAE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9288C"/>
    <w:multiLevelType w:val="hybridMultilevel"/>
    <w:tmpl w:val="3A2E4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5D26"/>
    <w:multiLevelType w:val="hybridMultilevel"/>
    <w:tmpl w:val="7F74E9F4"/>
    <w:lvl w:ilvl="0" w:tplc="546882C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C78B3"/>
    <w:multiLevelType w:val="hybridMultilevel"/>
    <w:tmpl w:val="EB94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F1600"/>
    <w:multiLevelType w:val="hybridMultilevel"/>
    <w:tmpl w:val="C602E834"/>
    <w:lvl w:ilvl="0" w:tplc="31667AC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tzA3N7C0NLY0tLBU0lEKTi0uzszPAykwrgUAfZnccCwAAAA="/>
  </w:docVars>
  <w:rsids>
    <w:rsidRoot w:val="009D3E09"/>
    <w:rsid w:val="00037E19"/>
    <w:rsid w:val="000B4E0C"/>
    <w:rsid w:val="00295DEB"/>
    <w:rsid w:val="002C1C27"/>
    <w:rsid w:val="003819F7"/>
    <w:rsid w:val="003B7629"/>
    <w:rsid w:val="003D22DA"/>
    <w:rsid w:val="003F7A74"/>
    <w:rsid w:val="004243C8"/>
    <w:rsid w:val="005532F7"/>
    <w:rsid w:val="00587C36"/>
    <w:rsid w:val="005B1FA4"/>
    <w:rsid w:val="00611176"/>
    <w:rsid w:val="007B6627"/>
    <w:rsid w:val="00897BA1"/>
    <w:rsid w:val="00945BD0"/>
    <w:rsid w:val="0098473B"/>
    <w:rsid w:val="009A2279"/>
    <w:rsid w:val="009A59F5"/>
    <w:rsid w:val="009D3E09"/>
    <w:rsid w:val="00BF612C"/>
    <w:rsid w:val="00C1757C"/>
    <w:rsid w:val="00C517E4"/>
    <w:rsid w:val="00C96264"/>
    <w:rsid w:val="00D2624D"/>
    <w:rsid w:val="00D412BE"/>
    <w:rsid w:val="00DB7136"/>
    <w:rsid w:val="00DC65A6"/>
    <w:rsid w:val="00E21808"/>
    <w:rsid w:val="00E87E07"/>
    <w:rsid w:val="00F3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A328"/>
  <w15:chartTrackingRefBased/>
  <w15:docId w15:val="{9079FE2C-4436-4C64-A521-CF0A8621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4E0C"/>
    <w:rPr>
      <w:rFonts w:ascii="Times New Roman" w:hAnsi="Times New Roman"/>
      <w:sz w:val="24"/>
    </w:rPr>
  </w:style>
  <w:style w:type="paragraph" w:styleId="Heading1">
    <w:name w:val="heading 1"/>
    <w:basedOn w:val="Normal"/>
    <w:link w:val="Heading1Char"/>
    <w:uiPriority w:val="1"/>
    <w:qFormat/>
    <w:rsid w:val="009A59F5"/>
    <w:pPr>
      <w:widowControl w:val="0"/>
      <w:autoSpaceDE w:val="0"/>
      <w:autoSpaceDN w:val="0"/>
      <w:spacing w:after="0" w:line="240" w:lineRule="auto"/>
      <w:outlineLvl w:val="0"/>
    </w:pPr>
    <w:rPr>
      <w:rFonts w:eastAsia="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E0C"/>
    <w:pPr>
      <w:spacing w:after="0" w:line="240" w:lineRule="auto"/>
    </w:pPr>
    <w:rPr>
      <w:rFonts w:ascii="Times New Roman" w:hAnsi="Times New Roman"/>
      <w:sz w:val="24"/>
    </w:rPr>
  </w:style>
  <w:style w:type="paragraph" w:styleId="BodyText">
    <w:name w:val="Body Text"/>
    <w:basedOn w:val="Normal"/>
    <w:link w:val="BodyTextChar"/>
    <w:uiPriority w:val="1"/>
    <w:qFormat/>
    <w:rsid w:val="009A59F5"/>
    <w:pPr>
      <w:widowControl w:val="0"/>
      <w:autoSpaceDE w:val="0"/>
      <w:autoSpaceDN w:val="0"/>
      <w:spacing w:after="0" w:line="240" w:lineRule="auto"/>
    </w:pPr>
    <w:rPr>
      <w:rFonts w:eastAsia="PMingLiU" w:cs="PMingLiU"/>
      <w:szCs w:val="21"/>
    </w:rPr>
  </w:style>
  <w:style w:type="character" w:customStyle="1" w:styleId="BodyTextChar">
    <w:name w:val="Body Text Char"/>
    <w:basedOn w:val="DefaultParagraphFont"/>
    <w:link w:val="BodyText"/>
    <w:uiPriority w:val="1"/>
    <w:rsid w:val="009A59F5"/>
    <w:rPr>
      <w:rFonts w:ascii="Times New Roman" w:eastAsia="PMingLiU" w:hAnsi="Times New Roman" w:cs="PMingLiU"/>
      <w:sz w:val="24"/>
      <w:szCs w:val="21"/>
    </w:rPr>
  </w:style>
  <w:style w:type="character" w:customStyle="1" w:styleId="Heading1Char">
    <w:name w:val="Heading 1 Char"/>
    <w:basedOn w:val="DefaultParagraphFont"/>
    <w:link w:val="Heading1"/>
    <w:uiPriority w:val="1"/>
    <w:rsid w:val="009A59F5"/>
    <w:rPr>
      <w:rFonts w:ascii="Times New Roman" w:eastAsia="Georgia" w:hAnsi="Times New Roman" w:cs="Georgia"/>
      <w:b/>
      <w:bCs/>
      <w:sz w:val="24"/>
      <w:szCs w:val="24"/>
    </w:rPr>
  </w:style>
  <w:style w:type="paragraph" w:styleId="BalloonText">
    <w:name w:val="Balloon Text"/>
    <w:basedOn w:val="Normal"/>
    <w:link w:val="BalloonTextChar"/>
    <w:uiPriority w:val="99"/>
    <w:semiHidden/>
    <w:unhideWhenUsed/>
    <w:rsid w:val="007B6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27"/>
    <w:rPr>
      <w:rFonts w:ascii="Segoe UI" w:hAnsi="Segoe UI" w:cs="Segoe UI"/>
      <w:sz w:val="18"/>
      <w:szCs w:val="18"/>
    </w:rPr>
  </w:style>
  <w:style w:type="table" w:styleId="TableGrid">
    <w:name w:val="Table Grid"/>
    <w:basedOn w:val="TableNormal"/>
    <w:uiPriority w:val="39"/>
    <w:rsid w:val="00F3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7</cp:revision>
  <cp:lastPrinted>2020-03-24T00:03:00Z</cp:lastPrinted>
  <dcterms:created xsi:type="dcterms:W3CDTF">2020-03-24T00:27:00Z</dcterms:created>
  <dcterms:modified xsi:type="dcterms:W3CDTF">2020-04-10T19:29:00Z</dcterms:modified>
</cp:coreProperties>
</file>