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415" w:rsidRDefault="00513B62" w:rsidP="00EB6AAB">
      <w:pPr>
        <w:pStyle w:val="1"/>
        <w:keepNext w:val="0"/>
        <w:wordWrap/>
        <w:spacing w:after="240"/>
      </w:pPr>
      <w:r>
        <w:t xml:space="preserve">Online Appendix. </w:t>
      </w:r>
      <w:bookmarkStart w:id="0" w:name="_GoBack"/>
      <w:bookmarkEnd w:id="0"/>
    </w:p>
    <w:p w:rsidR="00F51670" w:rsidRDefault="00F51670" w:rsidP="00EB6AAB">
      <w:pPr>
        <w:pStyle w:val="1"/>
        <w:keepNext w:val="0"/>
        <w:wordWrap/>
      </w:pPr>
      <w:r>
        <w:t>Private Equity and Labour Adjustment across Pre-Deal Hiring States</w:t>
      </w:r>
    </w:p>
    <w:p w:rsidR="00F51670" w:rsidRDefault="00F51670" w:rsidP="00EB6AAB">
      <w:pPr>
        <w:pStyle w:val="aff3"/>
        <w:wordWrap/>
      </w:pPr>
      <w:r>
        <w:t xml:space="preserve">Unless otherwise stated, confidence intervals follow the procedures described in the main text. State-gradient analyses are evaluated against specification-specific untreated reference distributions generated using the same matching, outcome transformation, adjustment, and estimation procedure as the focal specification. Empirical </w:t>
      </w:r>
      <m:oMath>
        <m:r>
          <w:rPr>
            <w:rFonts w:ascii="Cambria Math" w:hAnsi="Cambria Math"/>
          </w:rPr>
          <m:t>p</m:t>
        </m:r>
      </m:oMath>
      <w:r>
        <w:t xml:space="preserve">-values for the primary gradient and other non-directional comparisons are two-sided and follow the centred empirical rule described in Section 4.3. Where a directional upper-tail probability from an earlier specification is retained for comparison, it is identified explicitly as supplementary. </w:t>
      </w:r>
      <w:r>
        <w:rPr>
          <w:rFonts w:eastAsia="Times New Roman"/>
        </w:rPr>
        <w:t>We read secondary analyses from the estimates and their uncertainty, not only from conventional significance thresholds. The monthly-allocation ranges are descriptive scale benchmarks, not externally established equivalence thresholds.</w:t>
      </w:r>
      <w:r>
        <w:t xml:space="preserve"> </w:t>
      </w:r>
      <w:r>
        <w:rPr>
          <w:rFonts w:eastAsia="Times New Roman"/>
        </w:rPr>
        <w:t>State-balanced matching denotes the primary design defined in Section 4.1: the pre-deal hiring-state tercile is added to the baseline exact-matching cell.</w:t>
      </w:r>
    </w:p>
    <w:p w:rsidR="00915415" w:rsidRDefault="00915415" w:rsidP="00EB6AAB">
      <w:pPr>
        <w:wordWrap/>
        <w:rPr>
          <w:sz w:val="26"/>
        </w:rPr>
      </w:pPr>
    </w:p>
    <w:p w:rsidR="00513B62" w:rsidRDefault="00513B62" w:rsidP="00EB6AAB">
      <w:pPr>
        <w:pStyle w:val="3"/>
      </w:pPr>
      <w:r>
        <w:t xml:space="preserve">Appendix A. </w:t>
      </w:r>
      <w:r w:rsidR="00915415" w:rsidRPr="00915415">
        <w:t>Monthly hiring allocation and the volume benchmark</w:t>
      </w:r>
    </w:p>
    <w:p w:rsidR="00915415" w:rsidRDefault="00915415" w:rsidP="00EB6AAB">
      <w:pPr>
        <w:pStyle w:val="aff3"/>
        <w:wordWrap/>
      </w:pPr>
      <w:r>
        <w:rPr>
          <w:rFonts w:eastAsia="Times New Roman"/>
        </w:rPr>
        <w:t>Private equity targets record worker entries in more months after investment. Some of that widening is mechanical: over a fixed horizon, more entries generally imply fewer no-entry months even if their timing is otherwise unchanged.</w:t>
      </w:r>
      <w:r>
        <w:t xml:space="preserve"> </w:t>
      </w:r>
      <w:r>
        <w:rPr>
          <w:rFonts w:eastAsia="Times New Roman"/>
        </w:rPr>
        <w:t>We compare the observed monthly pattern with benchmarks that hold realised entry volume fixed. The primary benchmark also preserves monthly employment exposure, separating the allocation change implied by higher volume from the residual change across months.</w:t>
      </w:r>
    </w:p>
    <w:p w:rsidR="00513B62" w:rsidRDefault="00513B62" w:rsidP="00EB6AAB">
      <w:pPr>
        <w:pStyle w:val="3"/>
      </w:pPr>
      <w:r>
        <w:t>A.1 Construction of the volume benchmark</w:t>
      </w:r>
    </w:p>
    <w:p w:rsidR="00915415" w:rsidRPr="00915415" w:rsidRDefault="00915415" w:rsidP="00EB6AAB">
      <w:pPr>
        <w:pStyle w:val="aff3"/>
        <w:wordWrap/>
      </w:pPr>
      <w:r w:rsidRPr="00915415">
        <w:t xml:space="preserve">For each firm-window, let </w:t>
      </w:r>
      <m:oMath>
        <m:r>
          <w:rPr>
            <w:rFonts w:ascii="Cambria Math" w:hAnsi="Cambria Math"/>
          </w:rPr>
          <m:t>N</m:t>
        </m:r>
      </m:oMath>
      <w:r w:rsidRPr="00915415">
        <w:t xml:space="preserve"> denote the realised number of worker entries and let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915415">
        <w:t xml:space="preserve"> denote insured employment in month </w:t>
      </w:r>
      <m:oMath>
        <m:r>
          <w:rPr>
            <w:rFonts w:ascii="Cambria Math" w:hAnsi="Cambria Math"/>
          </w:rPr>
          <m:t>j</m:t>
        </m:r>
      </m:oMath>
      <w:r w:rsidRPr="00915415">
        <w:t>. Define</w:t>
      </w:r>
    </w:p>
    <w:p w:rsidR="00915415" w:rsidRPr="00915415" w:rsidRDefault="00EB6AAB" w:rsidP="00EB6AAB">
      <w:pPr>
        <w:pStyle w:val="aff3"/>
        <w:wordWrap/>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den>
          </m:f>
          <m:r>
            <m:rPr>
              <m:sty m:val="p"/>
            </m:rPr>
            <w:rPr>
              <w:rFonts w:ascii="Cambria Math" w:hAnsi="Cambria Math"/>
            </w:rPr>
            <m:t>,</m:t>
          </m:r>
        </m:oMath>
      </m:oMathPara>
    </w:p>
    <w:p w:rsidR="00915415" w:rsidRPr="00915415" w:rsidRDefault="00915415" w:rsidP="00EB6AAB">
      <w:pPr>
        <w:pStyle w:val="aff3"/>
        <w:wordWrap/>
      </w:pPr>
      <w:r w:rsidRPr="00915415">
        <w:t xml:space="preserve">so that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915415">
        <w:t xml:space="preserve"> is month </w:t>
      </w:r>
      <m:oMath>
        <m:r>
          <w:rPr>
            <w:rFonts w:ascii="Cambria Math" w:hAnsi="Cambria Math"/>
          </w:rPr>
          <m:t>j</m:t>
        </m:r>
      </m:oMath>
      <w:r w:rsidRPr="00915415">
        <w:t>’s share of total insured-employment exposure over the window.</w:t>
      </w:r>
      <w:r w:rsidR="00F51670">
        <w:t xml:space="preserve"> </w:t>
      </w:r>
      <w:r w:rsidRPr="00915415">
        <w:t xml:space="preserve">The employment-weighted benchmark holds </w:t>
      </w:r>
      <m:oMath>
        <m:r>
          <w:rPr>
            <w:rFonts w:ascii="Cambria Math" w:hAnsi="Cambria Math"/>
          </w:rPr>
          <m:t>N</m:t>
        </m:r>
      </m:oMath>
      <w:r w:rsidRPr="00915415">
        <w:t xml:space="preserve">, the set of observed months, and monthly employment exposure fixed and reallocates the </w:t>
      </w:r>
      <m:oMath>
        <m:r>
          <w:rPr>
            <w:rFonts w:ascii="Cambria Math" w:hAnsi="Cambria Math"/>
          </w:rPr>
          <m:t>N</m:t>
        </m:r>
      </m:oMath>
      <w:r w:rsidRPr="00915415">
        <w:t xml:space="preserve"> entries with probabilities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F51670">
        <w:t xml:space="preserve">. </w:t>
      </w:r>
      <w:r w:rsidR="00F51670" w:rsidRPr="00F51670">
        <w:t>The expected number of no-entry months is therefore</w:t>
      </w:r>
    </w:p>
    <w:p w:rsidR="00915415" w:rsidRPr="00915415" w:rsidRDefault="00EB6AAB" w:rsidP="00EB6AAB">
      <w:pPr>
        <w:pStyle w:val="aff3"/>
        <w:wordWrap/>
      </w:pPr>
      <m:oMathPara>
        <m:oMathParaPr>
          <m:jc m:val="center"/>
        </m:oMathParaP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sty m:val="p"/>
            </m:rPr>
            <w:rPr>
              <w:rFonts w:ascii="Cambria Math" w:hAnsi="Cambria Math"/>
            </w:rPr>
            <m:t>.</m:t>
          </m:r>
        </m:oMath>
      </m:oMathPara>
    </w:p>
    <w:p w:rsidR="00915415" w:rsidRPr="00915415" w:rsidRDefault="00F51670" w:rsidP="00EB6AAB">
      <w:pPr>
        <w:pStyle w:val="aff3"/>
        <w:wordWrap/>
      </w:pPr>
      <w:r w:rsidRPr="00F51670">
        <w:t>For a complete twelve-month window, the equal-month comparison has expected no-entry months</w:t>
      </w:r>
    </w:p>
    <w:p w:rsidR="00915415" w:rsidRPr="00915415" w:rsidRDefault="00915415" w:rsidP="00EB6AAB">
      <w:pPr>
        <w:pStyle w:val="aff3"/>
        <w:wordWrap/>
      </w:pPr>
      <m:oMathPara>
        <m:oMathParaPr>
          <m:jc m:val="center"/>
        </m:oMathParaPr>
        <m:oMath>
          <m:r>
            <w:rPr>
              <w:rFonts w:ascii="Cambria Math" w:hAnsi="Cambria Math"/>
            </w:rPr>
            <m:t>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11</m:t>
                      </m:r>
                    </m:num>
                    <m:den>
                      <m:r>
                        <w:rPr>
                          <w:rFonts w:ascii="Cambria Math" w:hAnsi="Cambria Math"/>
                        </w:rPr>
                        <m:t>12</m:t>
                      </m:r>
                    </m:den>
                  </m:f>
                </m:e>
              </m:d>
            </m:e>
            <m:sup>
              <m:r>
                <w:rPr>
                  <w:rFonts w:ascii="Cambria Math" w:hAnsi="Cambria Math"/>
                </w:rPr>
                <m:t>N</m:t>
              </m:r>
            </m:sup>
          </m:sSup>
          <m:r>
            <m:rPr>
              <m:sty m:val="p"/>
            </m:rPr>
            <w:rPr>
              <w:rFonts w:ascii="Cambria Math" w:hAnsi="Cambria Math"/>
            </w:rPr>
            <m:t>.</m:t>
          </m:r>
        </m:oMath>
      </m:oMathPara>
    </w:p>
    <w:p w:rsidR="00915415" w:rsidRPr="00915415" w:rsidRDefault="00915415" w:rsidP="00EB6AAB">
      <w:pPr>
        <w:pStyle w:val="aff3"/>
        <w:wordWrap/>
      </w:pPr>
      <w:r>
        <w:rPr>
          <w:rFonts w:eastAsia="Times New Roman"/>
        </w:rPr>
        <w:t>Because employment varies by month, we report both rules. The employment-weighted calculation is primary; the equal-month rule is a transparent sensitivity check.</w:t>
      </w:r>
      <w:r>
        <w:t xml:space="preserve"> </w:t>
      </w:r>
      <w:r w:rsidRPr="00F51670">
        <w:t xml:space="preserve">For measures without a closed-form expectation—the longest no-entry spell, the Herfindahl index of entries across months, and the share of entries occurring in the two busiest months—we use 100 multinomial reallocations per firm-window with fixed random seed 42. All such simulations use the employment-exposure probabilities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F51670">
        <w:t>. The fixed seed makes the reported benchmark values exactly reproducible.</w:t>
      </w:r>
    </w:p>
    <w:p w:rsidR="00915415" w:rsidRPr="00915415" w:rsidRDefault="00915415" w:rsidP="00EB6AAB">
      <w:pPr>
        <w:pStyle w:val="aff3"/>
        <w:wordWrap/>
      </w:pPr>
      <w:r w:rsidRPr="00915415">
        <w:t xml:space="preserve">For any monthly-allocation measure </w:t>
      </w:r>
      <m:oMath>
        <m:r>
          <w:rPr>
            <w:rFonts w:ascii="Cambria Math" w:hAnsi="Cambria Math"/>
          </w:rPr>
          <m:t>M</m:t>
        </m:r>
      </m:oMath>
      <w:r w:rsidRPr="00915415">
        <w:t>, define the excess change as</w:t>
      </w:r>
    </w:p>
    <w:p w:rsidR="00915415" w:rsidRPr="00915415" w:rsidRDefault="00915415" w:rsidP="00EB6AAB">
      <w:pPr>
        <w:pStyle w:val="aff3"/>
        <w:wordWrap/>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excess</m:t>
              </m:r>
            </m:sup>
          </m:sSup>
          <m:r>
            <m:rPr>
              <m:sty m:val="p"/>
            </m:rP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observed</m:t>
              </m:r>
            </m:sup>
          </m:sSup>
          <m:r>
            <m:rPr>
              <m:sty m:val="p"/>
            </m:rP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benchmark</m:t>
              </m:r>
            </m:sup>
          </m:sSup>
          <m:r>
            <m:rPr>
              <m:sty m:val="p"/>
            </m:rPr>
            <w:rPr>
              <w:rFonts w:ascii="Cambria Math" w:hAnsi="Cambria Math"/>
            </w:rPr>
            <m:t>.</m:t>
          </m:r>
        </m:oMath>
      </m:oMathPara>
    </w:p>
    <w:p w:rsidR="00915415" w:rsidRPr="00915415" w:rsidRDefault="00915415" w:rsidP="00EB6AAB">
      <w:pPr>
        <w:pStyle w:val="aff3"/>
        <w:wordWrap/>
      </w:pPr>
      <w:r>
        <w:rPr>
          <w:rFonts w:eastAsia="Times New Roman"/>
        </w:rPr>
        <w:t>The excess is the treated-minus-control change beyond the component implied by the volume-preserving allocation. It is not a regression coefficient that conditions on realised volume.</w:t>
      </w:r>
      <w:r>
        <w:t xml:space="preserve"> </w:t>
      </w:r>
      <w:r>
        <w:rPr>
          <w:rFonts w:eastAsia="Times New Roman"/>
        </w:rPr>
        <w:t>Even before investment, entries are more concentrated than the volume-preserving benchmark. Treated firms average 91.9 entries, 3.23 no-entry months rather than the benchmark's 2.58, and a longest no-entry spell of 1.97 months rather than 1.53. The observed and benchmark Herfindahl indices are 0.203 and 0.163; the corresponding shares of entries in the two busiest months are 0.468 and 0.378.</w:t>
      </w:r>
    </w:p>
    <w:p w:rsidR="002437E9" w:rsidRPr="002437E9" w:rsidRDefault="002437E9" w:rsidP="00EB6AAB">
      <w:pPr>
        <w:wordWrap/>
      </w:pPr>
    </w:p>
    <w:p w:rsidR="00915415" w:rsidRDefault="00915415" w:rsidP="00EB6AAB">
      <w:pPr>
        <w:wordWrap/>
        <w:sectPr w:rsidR="00915415" w:rsidSect="00F2490B">
          <w:headerReference w:type="default" r:id="rId8"/>
          <w:footerReference w:type="default" r:id="rId9"/>
          <w:pgSz w:w="11907" w:h="16839" w:code="9"/>
          <w:pgMar w:top="1701" w:right="1440" w:bottom="1440" w:left="1440" w:header="851" w:footer="645" w:gutter="0"/>
          <w:cols w:space="425"/>
          <w:docGrid w:type="linesAndChars" w:linePitch="422"/>
        </w:sectPr>
      </w:pPr>
    </w:p>
    <w:p w:rsidR="00915415" w:rsidRPr="00915415" w:rsidRDefault="00915415" w:rsidP="00EB6AAB">
      <w:pPr>
        <w:pStyle w:val="3"/>
      </w:pPr>
      <w:r w:rsidRPr="00915415">
        <w:lastRenderedPageBreak/>
        <w:t>A.2 Monthly allocation relative to realised volume</w:t>
      </w:r>
    </w:p>
    <w:p w:rsidR="00915415" w:rsidRPr="00915415" w:rsidRDefault="00915415" w:rsidP="00EB6AAB">
      <w:pPr>
        <w:pStyle w:val="3"/>
      </w:pPr>
      <w:r w:rsidRPr="00915415">
        <w:t>Table A1. Monthly worker-entry measures and the volume benchmark</w:t>
      </w:r>
    </w:p>
    <w:p w:rsidR="00915415" w:rsidRPr="000C5E12" w:rsidRDefault="00915415" w:rsidP="00EB6AAB">
      <w:pPr>
        <w:pStyle w:val="aff3"/>
        <w:wordWrap/>
        <w:spacing w:after="120"/>
        <w:rPr>
          <w:b/>
        </w:rPr>
      </w:pPr>
      <w:r w:rsidRPr="000C5E12">
        <w:rPr>
          <w:b/>
        </w:rPr>
        <w:t>Panel A. Twelve-month window</w:t>
      </w:r>
    </w:p>
    <w:tbl>
      <w:tblPr>
        <w:tblW w:w="5000" w:type="pct"/>
        <w:tblLayout w:type="fixed"/>
        <w:tblLook w:val="0020" w:firstRow="1" w:lastRow="0" w:firstColumn="0" w:lastColumn="0" w:noHBand="0" w:noVBand="0"/>
      </w:tblPr>
      <w:tblGrid>
        <w:gridCol w:w="5824"/>
        <w:gridCol w:w="1945"/>
        <w:gridCol w:w="2095"/>
        <w:gridCol w:w="1047"/>
        <w:gridCol w:w="2095"/>
        <w:gridCol w:w="1427"/>
      </w:tblGrid>
      <w:tr w:rsidR="00915415" w:rsidRPr="00915415" w:rsidTr="002437E9">
        <w:trPr>
          <w:cantSplit/>
          <w:tblHeader/>
        </w:trPr>
        <w:tc>
          <w:tcPr>
            <w:tcW w:w="5516"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wordWrap/>
              <w:snapToGrid w:val="0"/>
              <w:rPr>
                <w:b/>
              </w:rPr>
            </w:pPr>
            <w:r w:rsidRPr="0020632F">
              <w:rPr>
                <w:b/>
                <w:sz w:val="20"/>
              </w:rPr>
              <w:t>Measure</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wordWrap/>
              <w:snapToGrid w:val="0"/>
              <w:jc w:val="center"/>
              <w:rPr>
                <w:b/>
              </w:rPr>
            </w:pPr>
            <w:r w:rsidRPr="0020632F">
              <w:rPr>
                <w:b/>
                <w:sz w:val="20"/>
              </w:rPr>
              <w:t>Observed change</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wordWrap/>
              <w:snapToGrid w:val="0"/>
              <w:jc w:val="center"/>
              <w:rPr>
                <w:b/>
              </w:rPr>
            </w:pPr>
            <w:r w:rsidRPr="0020632F">
              <w:rPr>
                <w:b/>
                <w:sz w:val="20"/>
              </w:rPr>
              <w:t>Benchmark change</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wordWrap/>
              <w:snapToGrid w:val="0"/>
              <w:jc w:val="center"/>
              <w:rPr>
                <w:b/>
              </w:rPr>
            </w:pPr>
            <w:r w:rsidRPr="0020632F">
              <w:rPr>
                <w:b/>
                <w:sz w:val="20"/>
              </w:rPr>
              <w:t>Excess</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wordWrap/>
              <w:snapToGrid w:val="0"/>
              <w:jc w:val="center"/>
              <w:rPr>
                <w:b/>
              </w:rPr>
            </w:pPr>
            <w:r w:rsidRPr="0020632F">
              <w:rPr>
                <w:b/>
                <w:sz w:val="20"/>
              </w:rPr>
              <w:t>95% CI for excess</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wordWrap/>
              <w:snapToGrid w:val="0"/>
              <w:jc w:val="center"/>
              <w:rPr>
                <w:b/>
              </w:rPr>
            </w:pPr>
            <w:r w:rsidRPr="0020632F">
              <w:rPr>
                <w:b/>
                <w:sz w:val="20"/>
              </w:rPr>
              <w:t>Comparison range</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wordWrap/>
            </w:pPr>
            <w:r w:rsidRPr="00915415">
              <w:t>Share of no-entry months, employment-weighted benchmark</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−0.0466</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−0.0508</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+0.0042</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[−0.0088, +0.0180]</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±0.046</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wordWrap/>
            </w:pPr>
            <w:r w:rsidRPr="00915415">
              <w:t>Share of no-entry months, equal-month benchmark</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−0.0466</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−0.0518</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+0.0052</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[−0.0082, +0.0189]</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±0.046</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wordWrap/>
            </w:pPr>
            <w:r w:rsidRPr="00915415">
              <w:t>Number of no-entry months</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−0.5594</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−0.6182</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+0.0587</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[−0.1097, +0.2086]</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±0.55</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wordWrap/>
            </w:pPr>
            <w:r w:rsidRPr="00915415">
              <w:t>Longest no-entry spell, months</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−0.3566</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−0.3688</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+0.0122</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[−0.1330, +0.1608]</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±0.36</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wordWrap/>
            </w:pPr>
            <w:r w:rsidRPr="00915415">
              <w:t>Herfindahl index of worker entries across months</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−0.0248</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−0.0309</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+0.0061</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[−0.0064, +0.0190]</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±0.025</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wordWrap/>
            </w:pPr>
            <w:r w:rsidRPr="00915415">
              <w:t>Share of worker entries in the two busiest months</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−0.0249</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−0.0335</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+0.0086</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[−0.0082, +0.0250]</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wordWrap/>
              <w:jc w:val="center"/>
            </w:pPr>
            <w:r w:rsidRPr="00915415">
              <w:t>±0.025</w:t>
            </w:r>
          </w:p>
        </w:tc>
      </w:tr>
    </w:tbl>
    <w:p w:rsidR="00915415" w:rsidRPr="000C5E12" w:rsidRDefault="00915415" w:rsidP="00EB6AAB">
      <w:pPr>
        <w:pStyle w:val="aff3"/>
        <w:wordWrap/>
        <w:spacing w:after="120"/>
        <w:rPr>
          <w:b/>
        </w:rPr>
      </w:pPr>
      <w:r w:rsidRPr="000C5E12">
        <w:rPr>
          <w:b/>
        </w:rPr>
        <w:t>Panel B. Thirty-six-month window</w:t>
      </w:r>
    </w:p>
    <w:tbl>
      <w:tblPr>
        <w:tblW w:w="5000" w:type="pct"/>
        <w:tblLayout w:type="fixed"/>
        <w:tblLook w:val="0020" w:firstRow="1" w:lastRow="0" w:firstColumn="0" w:lastColumn="0" w:noHBand="0" w:noVBand="0"/>
      </w:tblPr>
      <w:tblGrid>
        <w:gridCol w:w="5824"/>
        <w:gridCol w:w="1945"/>
        <w:gridCol w:w="2095"/>
        <w:gridCol w:w="1047"/>
        <w:gridCol w:w="2095"/>
        <w:gridCol w:w="1427"/>
      </w:tblGrid>
      <w:tr w:rsidR="00915415" w:rsidRPr="00915415" w:rsidTr="002437E9">
        <w:trPr>
          <w:cantSplit/>
          <w:tblHeader/>
        </w:trPr>
        <w:tc>
          <w:tcPr>
            <w:tcW w:w="5516"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pStyle w:val="aff3"/>
              <w:wordWrap/>
              <w:snapToGrid w:val="0"/>
              <w:spacing w:before="0"/>
              <w:rPr>
                <w:b/>
              </w:rPr>
            </w:pPr>
            <w:r w:rsidRPr="0020632F">
              <w:rPr>
                <w:b/>
                <w:sz w:val="20"/>
              </w:rPr>
              <w:t>Measure</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pStyle w:val="aff3"/>
              <w:wordWrap/>
              <w:snapToGrid w:val="0"/>
              <w:spacing w:before="0"/>
              <w:jc w:val="center"/>
              <w:rPr>
                <w:b/>
              </w:rPr>
            </w:pPr>
            <w:r w:rsidRPr="0020632F">
              <w:rPr>
                <w:b/>
                <w:sz w:val="20"/>
              </w:rPr>
              <w:t>Observed change</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pStyle w:val="aff3"/>
              <w:wordWrap/>
              <w:snapToGrid w:val="0"/>
              <w:spacing w:before="0"/>
              <w:jc w:val="center"/>
              <w:rPr>
                <w:b/>
              </w:rPr>
            </w:pPr>
            <w:r w:rsidRPr="0020632F">
              <w:rPr>
                <w:b/>
                <w:sz w:val="20"/>
              </w:rPr>
              <w:t>95% CI</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pStyle w:val="aff3"/>
              <w:wordWrap/>
              <w:snapToGrid w:val="0"/>
              <w:spacing w:before="0"/>
              <w:jc w:val="center"/>
              <w:rPr>
                <w:b/>
              </w:rPr>
            </w:pPr>
            <w:r w:rsidRPr="0020632F">
              <w:rPr>
                <w:b/>
                <w:sz w:val="20"/>
              </w:rPr>
              <w:t>Excess</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pStyle w:val="aff3"/>
              <w:wordWrap/>
              <w:snapToGrid w:val="0"/>
              <w:spacing w:before="0"/>
              <w:jc w:val="center"/>
              <w:rPr>
                <w:b/>
              </w:rPr>
            </w:pPr>
            <w:r w:rsidRPr="0020632F">
              <w:rPr>
                <w:b/>
                <w:sz w:val="20"/>
              </w:rPr>
              <w:t>95% CI for excess</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20632F" w:rsidRDefault="00915415" w:rsidP="00EB6AAB">
            <w:pPr>
              <w:pStyle w:val="aff3"/>
              <w:wordWrap/>
              <w:snapToGrid w:val="0"/>
              <w:spacing w:before="0"/>
              <w:jc w:val="center"/>
              <w:rPr>
                <w:b/>
              </w:rPr>
            </w:pPr>
            <w:r w:rsidRPr="0020632F">
              <w:rPr>
                <w:b/>
                <w:sz w:val="20"/>
              </w:rPr>
              <w:t>Comparison range</w:t>
            </w:r>
          </w:p>
        </w:tc>
      </w:tr>
      <w:tr w:rsidR="00915415" w:rsidRPr="00915415" w:rsidTr="002437E9">
        <w:trPr>
          <w:cantSplit/>
          <w:trHeight w:val="318"/>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pStyle w:val="aff3"/>
              <w:wordWrap/>
              <w:spacing w:before="0"/>
            </w:pPr>
            <w:r w:rsidRPr="00915415">
              <w:t>Share of no-entry months</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−0.055</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[−0.086, −0.025]</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+0.0088</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[−0.0058, +0.0220]</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±0.046</w:t>
            </w:r>
          </w:p>
        </w:tc>
      </w:tr>
      <w:tr w:rsidR="00915415" w:rsidRPr="00915415" w:rsidTr="002437E9">
        <w:trPr>
          <w:cantSplit/>
        </w:trPr>
        <w:tc>
          <w:tcPr>
            <w:tcW w:w="5516" w:type="dxa"/>
            <w:tcBorders>
              <w:top w:val="single" w:sz="10" w:space="0" w:color="000000"/>
              <w:left w:val="single" w:sz="10" w:space="0" w:color="000000"/>
              <w:bottom w:val="single" w:sz="10" w:space="0" w:color="000000"/>
              <w:right w:val="single" w:sz="10" w:space="0" w:color="000000"/>
            </w:tcBorders>
          </w:tcPr>
          <w:p w:rsidR="00915415" w:rsidRPr="00915415" w:rsidRDefault="00915415" w:rsidP="00EB6AAB">
            <w:pPr>
              <w:pStyle w:val="aff3"/>
              <w:wordWrap/>
              <w:spacing w:before="0"/>
            </w:pPr>
            <w:r w:rsidRPr="00915415">
              <w:t>Longest no-entry spell, months</w:t>
            </w:r>
          </w:p>
        </w:tc>
        <w:tc>
          <w:tcPr>
            <w:tcW w:w="184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−0.756</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[−1.335, −0.161]</w:t>
            </w:r>
          </w:p>
        </w:tc>
        <w:tc>
          <w:tcPr>
            <w:tcW w:w="99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+0.297</w:t>
            </w:r>
            <w:r w:rsidR="00B474F8">
              <w:t>0</w:t>
            </w:r>
          </w:p>
        </w:tc>
        <w:tc>
          <w:tcPr>
            <w:tcW w:w="1985"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[−0.117, +0.727]</w:t>
            </w:r>
          </w:p>
        </w:tc>
        <w:tc>
          <w:tcPr>
            <w:tcW w:w="1352" w:type="dxa"/>
            <w:tcBorders>
              <w:top w:val="single" w:sz="10" w:space="0" w:color="000000"/>
              <w:left w:val="single" w:sz="10" w:space="0" w:color="000000"/>
              <w:bottom w:val="single" w:sz="10" w:space="0" w:color="000000"/>
              <w:right w:val="single" w:sz="10" w:space="0" w:color="000000"/>
            </w:tcBorders>
            <w:vAlign w:val="center"/>
          </w:tcPr>
          <w:p w:rsidR="00915415" w:rsidRPr="00915415" w:rsidRDefault="00915415" w:rsidP="00EB6AAB">
            <w:pPr>
              <w:pStyle w:val="aff3"/>
              <w:wordWrap/>
              <w:spacing w:before="0"/>
              <w:jc w:val="center"/>
            </w:pPr>
            <w:r w:rsidRPr="00915415">
              <w:t>±1.0</w:t>
            </w:r>
          </w:p>
        </w:tc>
      </w:tr>
    </w:tbl>
    <w:p w:rsidR="00915415" w:rsidRPr="00915415" w:rsidRDefault="00915415" w:rsidP="00EB6AAB">
      <w:pPr>
        <w:pStyle w:val="aff3"/>
        <w:wordWrap/>
        <w:spacing w:before="0"/>
        <w:rPr>
          <w:color w:val="7F7F7F" w:themeColor="text1" w:themeTint="80"/>
        </w:rPr>
        <w:sectPr w:rsidR="00915415" w:rsidRPr="00915415" w:rsidSect="00915415">
          <w:pgSz w:w="16839" w:h="11907" w:orient="landscape" w:code="9"/>
          <w:pgMar w:top="1440" w:right="1246" w:bottom="1440" w:left="1134" w:header="851" w:footer="645" w:gutter="0"/>
          <w:cols w:space="425"/>
          <w:docGrid w:type="linesAndChars" w:linePitch="422"/>
        </w:sectPr>
      </w:pPr>
      <w:r>
        <w:rPr>
          <w:rFonts w:eastAsia="Times New Roman"/>
        </w:rPr>
        <w:t>Notes. Changes are treated-minus-control. The first two Panel A rows report the employment-weighted and equal-month rules; the other simulated rows use the employment-weighted rule. Excess is observed minus benchmark. Comparison ranges are descriptive and scaled to the observed movement. Panel B contains 180 events.</w:t>
      </w:r>
    </w:p>
    <w:p w:rsidR="00915415" w:rsidRPr="00915415" w:rsidRDefault="00915415" w:rsidP="00EB6AAB">
      <w:pPr>
        <w:pStyle w:val="aff3"/>
        <w:wordWrap/>
      </w:pPr>
      <w:r>
        <w:rPr>
          <w:rFonts w:eastAsia="Times New Roman"/>
        </w:rPr>
        <w:lastRenderedPageBreak/>
        <w:t>The no-entry share falls by 0.0466. The employment-weighted benchmark predicts −0.0508, leaving 0.0042 [−0.0088, 0.0180]; the equal-month rule predicts −0.0518, leaving 0.0052 [−0.0082, 0.0189]. Under either allocation rule, most of the rise in monthly participation is accounted for by the increase in realised entry volume.</w:t>
      </w:r>
      <w:r>
        <w:t xml:space="preserve"> </w:t>
      </w:r>
      <w:r w:rsidRPr="00915415">
        <w:t xml:space="preserve">The remaining twelve-month measures show a similar pattern. The observed number of no-entry months falls by 0.5594, compared with a benchmark change of </w:t>
      </w:r>
      <m:oMath>
        <m:r>
          <m:rPr>
            <m:sty m:val="p"/>
          </m:rPr>
          <w:rPr>
            <w:rFonts w:ascii="Cambria Math" w:hAnsi="Cambria Math"/>
          </w:rPr>
          <m:t>-</m:t>
        </m:r>
        <m:r>
          <w:rPr>
            <w:rFonts w:ascii="Cambria Math" w:hAnsi="Cambria Math"/>
          </w:rPr>
          <m:t>0.6182</m:t>
        </m:r>
      </m:oMath>
      <w:r w:rsidRPr="00915415">
        <w:t>, leaving an excess of 0.0587 [−0.1097, 0.2086]. The longest no-entry spell falls by 0.3566 months, with an excess of 0.0122 [−0.1330, 0.1608]. The Herfindahl index falls by 0.0248, compared with a benchmark decline of 0.0309, leaving an excess of 0.0061 [−0.0064, 0.0190].</w:t>
      </w:r>
    </w:p>
    <w:p w:rsidR="00915415" w:rsidRPr="00915415" w:rsidRDefault="00915415" w:rsidP="00EB6AAB">
      <w:pPr>
        <w:pStyle w:val="aff3"/>
        <w:wordWrap/>
      </w:pPr>
      <w:r w:rsidRPr="00915415">
        <w:t xml:space="preserve">The concentration of worker entries in the two busiest months provides a less precise comparison. The observed share falls by 0.0249 and the benchmark by 0.0335, yielding an excess of 0.0086 [−0.0082, 0.0250]. The upper endpoint coincides with the stated </w:t>
      </w:r>
      <m:oMath>
        <m:r>
          <m:rPr>
            <m:sty m:val="p"/>
          </m:rPr>
          <w:rPr>
            <w:rFonts w:ascii="Cambria Math" w:hAnsi="Cambria Math"/>
          </w:rPr>
          <m:t>+</m:t>
        </m:r>
        <m:r>
          <w:rPr>
            <w:rFonts w:ascii="Cambria Math" w:hAnsi="Cambria Math"/>
          </w:rPr>
          <m:t>0.025</m:t>
        </m:r>
      </m:oMath>
      <w:r w:rsidRPr="00915415">
        <w:t xml:space="preserve"> comparison boundary at the reported precision. We report the interval directly rather than assign a binary classification based on an unreported decimal place.</w:t>
      </w:r>
      <w:r>
        <w:t xml:space="preserve"> </w:t>
      </w:r>
      <w:r>
        <w:rPr>
          <w:rFonts w:eastAsia="Times New Roman"/>
        </w:rPr>
        <w:t>At thirty-six months, the no-entry share falls by 0.055 and the excess is 0.0088 [−0.0058, 0.0220]. The longest spell falls by 0.756 months, with an excess of 0.297 [−0.117, 0.727]. Because only 180 events remain, these estimates are not a balanced extension of the twelve-month analysis.</w:t>
      </w:r>
    </w:p>
    <w:p w:rsidR="00915415" w:rsidRPr="00915415" w:rsidRDefault="00915415" w:rsidP="00EB6AAB">
      <w:pPr>
        <w:pStyle w:val="3"/>
      </w:pPr>
      <w:r w:rsidRPr="00915415">
        <w:t>A.2.1 State-specific comparisons</w:t>
      </w:r>
    </w:p>
    <w:p w:rsidR="00F51670" w:rsidRPr="00F51670" w:rsidRDefault="00F51670" w:rsidP="00EB6AAB">
      <w:pPr>
        <w:pStyle w:val="aff3"/>
        <w:wordWrap/>
      </w:pPr>
      <w:r w:rsidRPr="00F51670">
        <w:t xml:space="preserve">The raw decline in the no-entry share is larger among targets entering from lower-hiring states: −0.1076 [−0.1551, −0.0613], compared with −0.0182 [−0.0452, 0.0131] among more active targets. Under the equal-month allocation, the corresponding excess changes are 0.0058 [−0.0249, 0.0350] and 0.0027 [−0.0159, 0.0203], with a between-state difference of 0.0032 [−0.0321, 0.0365]. Under the employment-exposure-weighted benchmark used as the primary allocation rule, the excess changes are 0.0047 [−0.0245, 0.0298] and 0.0013 [−0.0171, 0.0198], with a difference of 0.0034 [−0.0308, 0.0347]. </w:t>
      </w:r>
      <w:r>
        <w:t xml:space="preserve"> </w:t>
      </w:r>
      <w:r>
        <w:rPr>
          <w:rFonts w:eastAsia="Times New Roman"/>
        </w:rPr>
        <w:t>Realised entry volume accounts for most of the much larger raw participation change among lower-hiring targets; the residual allocation differences are small. This calculation does not show that recruiting dates are unchanged. It shows that the broader set of entry months does not require a comparably large timing response once entry volume is fixed.</w:t>
      </w:r>
    </w:p>
    <w:p w:rsidR="00915415" w:rsidRPr="00915415" w:rsidRDefault="00915415" w:rsidP="00EB6AAB">
      <w:pPr>
        <w:pStyle w:val="3"/>
      </w:pPr>
      <w:r w:rsidRPr="00915415">
        <w:t>A.3 Decomposition of the average hiring increase</w:t>
      </w:r>
    </w:p>
    <w:p w:rsidR="00915415" w:rsidRPr="00915415" w:rsidRDefault="00F51670" w:rsidP="00EB6AAB">
      <w:pPr>
        <w:pStyle w:val="aff3"/>
        <w:wordWrap/>
      </w:pPr>
      <w:r w:rsidRPr="00F51670">
        <w:t>The primary twelve-month hiring rate satisfies</w:t>
      </w:r>
    </w:p>
    <w:p w:rsidR="00915415" w:rsidRPr="00915415" w:rsidRDefault="00915415" w:rsidP="00EB6AAB">
      <w:pPr>
        <w:pStyle w:val="aff3"/>
        <w:wordWrap/>
      </w:pPr>
      <m:oMathPara>
        <m:oMathParaPr>
          <m:jc m:val="center"/>
        </m:oMathParaPr>
        <m:oMath>
          <m:r>
            <w:rPr>
              <w:rFonts w:ascii="Cambria Math" w:hAnsi="Cambria Math"/>
            </w:rPr>
            <w:lastRenderedPageBreak/>
            <m:t>HR</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12</m:t>
                  </m:r>
                </m:sup>
                <m:e>
                  <m:sSub>
                    <m:sSubPr>
                      <m:ctrlPr>
                        <w:rPr>
                          <w:rFonts w:ascii="Cambria Math" w:hAnsi="Cambria Math"/>
                        </w:rPr>
                      </m:ctrlPr>
                    </m:sSubPr>
                    <m:e>
                      <m:r>
                        <w:rPr>
                          <w:rFonts w:ascii="Cambria Math" w:hAnsi="Cambria Math"/>
                        </w:rPr>
                        <m:t>N</m:t>
                      </m:r>
                    </m:e>
                    <m:sub>
                      <m:r>
                        <w:rPr>
                          <w:rFonts w:ascii="Cambria Math" w:hAnsi="Cambria Math"/>
                        </w:rPr>
                        <m:t>j</m:t>
                      </m:r>
                    </m:sub>
                  </m:sSub>
                </m:e>
              </m:nary>
            </m:num>
            <m:den>
              <m:acc>
                <m:accPr>
                  <m:chr m:val="‾"/>
                  <m:ctrlPr>
                    <w:rPr>
                      <w:rFonts w:ascii="Cambria Math" w:hAnsi="Cambria Math"/>
                    </w:rPr>
                  </m:ctrlPr>
                </m:accPr>
                <m:e>
                  <m:r>
                    <w:rPr>
                      <w:rFonts w:ascii="Cambria Math" w:hAnsi="Cambria Math"/>
                    </w:rPr>
                    <m:t>E</m:t>
                  </m:r>
                </m:e>
              </m:acc>
            </m:den>
          </m:f>
          <m:r>
            <m:rPr>
              <m:sty m:val="p"/>
            </m:rPr>
            <w:rPr>
              <w:rFonts w:ascii="Cambria Math" w:hAnsi="Cambria Math"/>
            </w:rPr>
            <m:t>=</m:t>
          </m:r>
          <m:f>
            <m:fPr>
              <m:ctrlPr>
                <w:rPr>
                  <w:rFonts w:ascii="Cambria Math" w:hAnsi="Cambria Math"/>
                </w:rPr>
              </m:ctrlPr>
            </m:fPr>
            <m:num>
              <m:r>
                <w:rPr>
                  <w:rFonts w:ascii="Cambria Math" w:hAnsi="Cambria Math"/>
                </w:rPr>
                <m:t>12</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12</m:t>
                  </m:r>
                </m:sup>
                <m:e>
                  <m:sSub>
                    <m:sSubPr>
                      <m:ctrlPr>
                        <w:rPr>
                          <w:rFonts w:ascii="Cambria Math" w:hAnsi="Cambria Math"/>
                        </w:rPr>
                      </m:ctrlPr>
                    </m:sSubPr>
                    <m:e>
                      <m:r>
                        <w:rPr>
                          <w:rFonts w:ascii="Cambria Math" w:hAnsi="Cambria Math"/>
                        </w:rPr>
                        <m:t>N</m:t>
                      </m:r>
                    </m:e>
                    <m:sub>
                      <m:r>
                        <w:rPr>
                          <w:rFonts w:ascii="Cambria Math" w:hAnsi="Cambria Math"/>
                        </w:rPr>
                        <m:t>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12</m:t>
                  </m:r>
                </m:sup>
                <m:e>
                  <m:sSub>
                    <m:sSubPr>
                      <m:ctrlPr>
                        <w:rPr>
                          <w:rFonts w:ascii="Cambria Math" w:hAnsi="Cambria Math"/>
                        </w:rPr>
                      </m:ctrlPr>
                    </m:sSubPr>
                    <m:e>
                      <m:r>
                        <w:rPr>
                          <w:rFonts w:ascii="Cambria Math" w:hAnsi="Cambria Math"/>
                        </w:rPr>
                        <m:t>E</m:t>
                      </m:r>
                    </m:e>
                    <m:sub>
                      <m:r>
                        <w:rPr>
                          <w:rFonts w:ascii="Cambria Math" w:hAnsi="Cambria Math"/>
                        </w:rPr>
                        <m:t>j</m:t>
                      </m:r>
                    </m:sub>
                  </m:sSub>
                </m:e>
              </m:nary>
            </m:den>
          </m:f>
          <m:r>
            <m:rPr>
              <m:sty m:val="p"/>
            </m:rPr>
            <w:rPr>
              <w:rFonts w:ascii="Cambria Math" w:hAnsi="Cambria Math"/>
            </w:rPr>
            <m:t>.</m:t>
          </m:r>
        </m:oMath>
      </m:oMathPara>
    </w:p>
    <w:p w:rsidR="00915415" w:rsidRPr="00915415" w:rsidRDefault="00915415" w:rsidP="00EB6AAB">
      <w:pPr>
        <w:pStyle w:val="aff3"/>
        <w:wordWrap/>
      </w:pPr>
      <w:r>
        <w:rPr>
          <w:rFonts w:eastAsia="Times New Roman"/>
        </w:rPr>
        <w:t>When employment varies across months, the simple share of active months and the unweighted mean of monthly hiring intensity do not yield an exact decomposition. We instead define the active component using employment exposure.</w:t>
      </w:r>
      <w:r>
        <w:t xml:space="preserve"> </w:t>
      </w:r>
      <w:r w:rsidRPr="00915415">
        <w:t>Let</w:t>
      </w:r>
      <w:r w:rsidR="00F51670">
        <w:t xml:space="preserve"> </w:t>
      </w:r>
      <m:oMath>
        <m:r>
          <w:rPr>
            <w:rFonts w:ascii="Cambria Math" w:hAnsi="Cambria Math"/>
          </w:rPr>
          <m:t>A</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&gt;0}</m:t>
        </m:r>
      </m:oMath>
      <w:r w:rsidR="00F51670">
        <w:rPr>
          <w:rFonts w:hint="eastAsia"/>
        </w:rPr>
        <w:t xml:space="preserve"> </w:t>
      </w:r>
      <w:r w:rsidRPr="00915415">
        <w:t>denote the set of months with positive worker entries, and define</w:t>
      </w:r>
    </w:p>
    <w:p w:rsidR="00915415" w:rsidRPr="00F51670" w:rsidRDefault="00915415" w:rsidP="00EB6AAB">
      <w:pPr>
        <w:pStyle w:val="aff3"/>
        <w:wordWrap/>
      </w:pPr>
      <m:oMathPara>
        <m:oMath>
          <m:r>
            <w:rPr>
              <w:rFonts w:ascii="Cambria Math" w:hAnsi="Cambria Math"/>
            </w:rPr>
            <m:t>q</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12</m:t>
                  </m:r>
                </m:sup>
                <m:e>
                  <m:sSub>
                    <m:sSubPr>
                      <m:ctrlPr>
                        <w:rPr>
                          <w:rFonts w:ascii="Cambria Math" w:hAnsi="Cambria Math"/>
                        </w:rPr>
                      </m:ctrlPr>
                    </m:sSubPr>
                    <m:e>
                      <m:r>
                        <w:rPr>
                          <w:rFonts w:ascii="Cambria Math" w:hAnsi="Cambria Math"/>
                        </w:rPr>
                        <m:t>E</m:t>
                      </m:r>
                    </m:e>
                    <m:sub>
                      <m:r>
                        <w:rPr>
                          <w:rFonts w:ascii="Cambria Math" w:hAnsi="Cambria Math"/>
                        </w:rPr>
                        <m:t>j</m:t>
                      </m:r>
                    </m:sub>
                  </m:sSub>
                </m:e>
              </m:nary>
            </m:den>
          </m:f>
          <m:r>
            <w:rPr>
              <w:rFonts w:ascii="Cambria Math" w:hAnsi="Cambria Math"/>
            </w:rPr>
            <m:t xml:space="preserve"> </m:t>
          </m:r>
          <m:r>
            <m:rPr>
              <m:sty m:val="p"/>
            </m:rP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12</m:t>
                  </m:r>
                </m:sup>
                <m:e>
                  <m:sSub>
                    <m:sSubPr>
                      <m:ctrlPr>
                        <w:rPr>
                          <w:rFonts w:ascii="Cambria Math" w:hAnsi="Cambria Math"/>
                        </w:rPr>
                      </m:ctrlPr>
                    </m:sSubPr>
                    <m:e>
                      <m:r>
                        <w:rPr>
                          <w:rFonts w:ascii="Cambria Math" w:hAnsi="Cambria Math"/>
                        </w:rPr>
                        <m:t>N</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j</m:t>
                      </m:r>
                    </m:sub>
                  </m:sSub>
                </m:e>
              </m:nary>
            </m:den>
          </m:f>
          <m:r>
            <m:rPr>
              <m:sty m:val="p"/>
            </m:rPr>
            <w:rPr>
              <w:rFonts w:ascii="Cambria Math" w:hAnsi="Cambria Math"/>
            </w:rPr>
            <m:t>.</m:t>
          </m:r>
        </m:oMath>
      </m:oMathPara>
    </w:p>
    <w:p w:rsidR="00915415" w:rsidRPr="00915415" w:rsidRDefault="00F51670" w:rsidP="00EB6AAB">
      <w:pPr>
        <w:pStyle w:val="aff3"/>
        <w:wordWrap/>
      </w:pPr>
      <w:r>
        <w:t>Then</w:t>
      </w:r>
    </w:p>
    <w:p w:rsidR="00915415" w:rsidRPr="00915415" w:rsidRDefault="00915415" w:rsidP="00EB6AAB">
      <w:pPr>
        <w:pStyle w:val="aff3"/>
        <w:wordWrap/>
      </w:pPr>
      <m:oMathPara>
        <m:oMathParaPr>
          <m:jc m:val="center"/>
        </m:oMathParaPr>
        <m:oMath>
          <m:r>
            <w:rPr>
              <w:rFonts w:ascii="Cambria Math" w:hAnsi="Cambria Math"/>
            </w:rPr>
            <m:t>HR</m:t>
          </m:r>
          <m:r>
            <m:rPr>
              <m:sty m:val="p"/>
            </m:rPr>
            <w:rPr>
              <w:rFonts w:ascii="Cambria Math" w:hAnsi="Cambria Math"/>
            </w:rPr>
            <m:t>=12</m:t>
          </m:r>
          <m:r>
            <w:rPr>
              <w:rFonts w:ascii="Cambria Math" w:hAnsi="Cambria Math"/>
            </w:rPr>
            <m:t>q</m:t>
          </m:r>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oMath>
      </m:oMathPara>
    </w:p>
    <w:p w:rsidR="00915415" w:rsidRPr="00915415" w:rsidRDefault="00F51670" w:rsidP="00EB6AAB">
      <w:pPr>
        <w:pStyle w:val="aff3"/>
        <w:wordWrap/>
      </w:pPr>
      <w:r>
        <w:t>and therefore</w:t>
      </w:r>
    </w:p>
    <w:p w:rsidR="00915415" w:rsidRPr="00915415" w:rsidRDefault="00915415" w:rsidP="00EB6AAB">
      <w:pPr>
        <w:pStyle w:val="aff3"/>
        <w:wordWrap/>
      </w:pPr>
      <m:oMathPara>
        <m:oMathParaPr>
          <m:jc m:val="center"/>
        </m:oMathParaPr>
        <m:oMath>
          <m:r>
            <m:rPr>
              <m:sty m:val="p"/>
            </m:rPr>
            <w:rPr>
              <w:rFonts w:ascii="Cambria Math" w:hAnsi="Cambria Math"/>
            </w:rPr>
            <m:t>Δlog</m:t>
          </m:r>
          <m:r>
            <w:rPr>
              <w:rFonts w:ascii="Cambria Math" w:hAnsi="Cambria Math"/>
            </w:rPr>
            <m:t>HR</m:t>
          </m:r>
          <m:r>
            <m:rPr>
              <m:sty m:val="p"/>
            </m:rPr>
            <w:rPr>
              <w:rFonts w:ascii="Cambria Math" w:hAnsi="Cambria Math"/>
            </w:rPr>
            <m:t>=Δlog</m:t>
          </m:r>
          <m:r>
            <w:rPr>
              <w:rFonts w:ascii="Cambria Math" w:hAnsi="Cambria Math"/>
            </w:rPr>
            <m:t>q</m:t>
          </m:r>
          <m:r>
            <m:rPr>
              <m:sty m:val="p"/>
            </m:rPr>
            <w:rPr>
              <w:rFonts w:ascii="Cambria Math" w:hAnsi="Cambria Math"/>
            </w:rPr>
            <m:t>+Δlog</m:t>
          </m:r>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oMath>
      </m:oMathPara>
    </w:p>
    <w:p w:rsidR="00915415" w:rsidRPr="00915415" w:rsidRDefault="00F51670" w:rsidP="00EB6AAB">
      <w:pPr>
        <w:pStyle w:val="aff3"/>
        <w:wordWrap/>
      </w:pPr>
      <w:r>
        <w:rPr>
          <w:rFonts w:eastAsia="Times New Roman"/>
        </w:rPr>
        <w:t>This identity remains exact with time-varying employment. It separates the change in employment exposure during positive-entry months from the change in entry intensity within those months.</w:t>
      </w:r>
    </w:p>
    <w:p w:rsidR="00915415" w:rsidRPr="000C5E12" w:rsidRDefault="00915415" w:rsidP="00EB6AAB">
      <w:pPr>
        <w:pStyle w:val="aff3"/>
        <w:wordWrap/>
        <w:spacing w:after="120"/>
        <w:rPr>
          <w:b/>
        </w:rPr>
      </w:pPr>
      <w:r w:rsidRPr="000C5E12">
        <w:rPr>
          <w:b/>
        </w:rPr>
        <w:t>Table A2. Exposure-based decomposition of the average increase in hiring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6097"/>
        <w:gridCol w:w="994"/>
        <w:gridCol w:w="1930"/>
      </w:tblGrid>
      <w:tr w:rsidR="00915415" w:rsidRPr="00915415" w:rsidTr="00EB6AAB">
        <w:trPr>
          <w:cantSplit/>
          <w:tblHeader/>
        </w:trPr>
        <w:tc>
          <w:tcPr>
            <w:tcW w:w="6083" w:type="dxa"/>
            <w:vAlign w:val="center"/>
          </w:tcPr>
          <w:p w:rsidR="00915415" w:rsidRPr="0020632F" w:rsidRDefault="00915415" w:rsidP="00EB6AAB">
            <w:pPr>
              <w:wordWrap/>
              <w:rPr>
                <w:b/>
              </w:rPr>
            </w:pPr>
            <w:r w:rsidRPr="0020632F">
              <w:rPr>
                <w:b/>
              </w:rPr>
              <w:t>Component</w:t>
            </w:r>
          </w:p>
        </w:tc>
        <w:tc>
          <w:tcPr>
            <w:tcW w:w="992" w:type="dxa"/>
            <w:vAlign w:val="center"/>
          </w:tcPr>
          <w:p w:rsidR="00915415" w:rsidRPr="00F51670" w:rsidRDefault="00915415" w:rsidP="00EB6AAB">
            <w:pPr>
              <w:wordWrap/>
              <w:jc w:val="center"/>
              <w:rPr>
                <w:b/>
                <w:spacing w:val="-8"/>
              </w:rPr>
            </w:pPr>
            <w:r w:rsidRPr="00F51670">
              <w:rPr>
                <w:b/>
                <w:spacing w:val="-8"/>
              </w:rPr>
              <w:t>Estimate</w:t>
            </w:r>
          </w:p>
        </w:tc>
        <w:tc>
          <w:tcPr>
            <w:tcW w:w="1926" w:type="dxa"/>
            <w:vAlign w:val="center"/>
          </w:tcPr>
          <w:p w:rsidR="00915415" w:rsidRPr="0020632F" w:rsidRDefault="00915415" w:rsidP="00EB6AAB">
            <w:pPr>
              <w:wordWrap/>
              <w:jc w:val="center"/>
              <w:rPr>
                <w:b/>
              </w:rPr>
            </w:pPr>
            <w:r w:rsidRPr="0020632F">
              <w:rPr>
                <w:b/>
              </w:rPr>
              <w:t>95% CI</w:t>
            </w:r>
          </w:p>
        </w:tc>
      </w:tr>
      <w:tr w:rsidR="00F51670" w:rsidRPr="00915415" w:rsidTr="00EB6AAB">
        <w:trPr>
          <w:cantSplit/>
        </w:trPr>
        <w:tc>
          <w:tcPr>
            <w:tcW w:w="6083" w:type="dxa"/>
            <w:vAlign w:val="center"/>
          </w:tcPr>
          <w:p w:rsidR="00F51670" w:rsidRPr="00915415" w:rsidRDefault="00F51670" w:rsidP="00EB6AAB">
            <w:pPr>
              <w:wordWrap/>
            </w:pPr>
            <w:r w:rsidRPr="00915415">
              <w:t xml:space="preserve">Change in active-month employment-exposure share, </w:t>
            </w:r>
            <m:oMath>
              <m:r>
                <m:rPr>
                  <m:sty m:val="p"/>
                </m:rPr>
                <w:rPr>
                  <w:rFonts w:ascii="Cambria Math" w:hAnsi="Cambria Math"/>
                </w:rPr>
                <m:t>Δ</m:t>
              </m:r>
              <m:r>
                <w:rPr>
                  <w:rFonts w:ascii="Cambria Math" w:hAnsi="Cambria Math"/>
                </w:rPr>
                <m:t>q</m:t>
              </m:r>
            </m:oMath>
          </w:p>
        </w:tc>
        <w:tc>
          <w:tcPr>
            <w:tcW w:w="992" w:type="dxa"/>
            <w:vAlign w:val="center"/>
          </w:tcPr>
          <w:p w:rsidR="00F51670" w:rsidRPr="00915415" w:rsidRDefault="00F51670" w:rsidP="00EB6AAB">
            <w:pPr>
              <w:wordWrap/>
              <w:jc w:val="center"/>
            </w:pPr>
            <w:r>
              <w:t>0.0457</w:t>
            </w:r>
          </w:p>
        </w:tc>
        <w:tc>
          <w:tcPr>
            <w:tcW w:w="1926" w:type="dxa"/>
            <w:vAlign w:val="center"/>
          </w:tcPr>
          <w:p w:rsidR="00F51670" w:rsidRPr="008C78B9" w:rsidRDefault="00F51670" w:rsidP="00EB6AAB">
            <w:pPr>
              <w:wordWrap/>
              <w:snapToGrid w:val="0"/>
              <w:jc w:val="center"/>
            </w:pPr>
            <w:r w:rsidRPr="008C78B9">
              <w:t>[0.0263, 0.0665] (n=346</w:t>
            </w:r>
            <w:r>
              <w:t>)</w:t>
            </w:r>
          </w:p>
        </w:tc>
      </w:tr>
      <w:tr w:rsidR="00F51670" w:rsidRPr="00915415" w:rsidTr="00EB6AAB">
        <w:trPr>
          <w:cantSplit/>
        </w:trPr>
        <w:tc>
          <w:tcPr>
            <w:tcW w:w="6083" w:type="dxa"/>
            <w:vAlign w:val="center"/>
          </w:tcPr>
          <w:p w:rsidR="00F51670" w:rsidRPr="00915415" w:rsidRDefault="00F51670" w:rsidP="00EB6AAB">
            <w:pPr>
              <w:wordWrap/>
            </w:pPr>
            <w:r w:rsidRPr="00915415">
              <w:t xml:space="preserve">Change in active-month worker-entry intensity, </w:t>
            </w:r>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E</m:t>
                  </m:r>
                </m:sub>
              </m:sSub>
            </m:oMath>
          </w:p>
        </w:tc>
        <w:tc>
          <w:tcPr>
            <w:tcW w:w="992" w:type="dxa"/>
            <w:vAlign w:val="center"/>
          </w:tcPr>
          <w:p w:rsidR="00F51670" w:rsidRPr="00915415" w:rsidRDefault="00F51670" w:rsidP="00EB6AAB">
            <w:pPr>
              <w:wordWrap/>
              <w:jc w:val="center"/>
            </w:pPr>
            <w:r>
              <w:t>0.0028</w:t>
            </w:r>
          </w:p>
        </w:tc>
        <w:tc>
          <w:tcPr>
            <w:tcW w:w="1926" w:type="dxa"/>
            <w:vAlign w:val="center"/>
          </w:tcPr>
          <w:p w:rsidR="00F51670" w:rsidRPr="008C78B9" w:rsidRDefault="00F51670" w:rsidP="00EB6AAB">
            <w:pPr>
              <w:wordWrap/>
              <w:snapToGrid w:val="0"/>
              <w:jc w:val="center"/>
            </w:pPr>
            <w:r w:rsidRPr="008C78B9">
              <w:t>[</w:t>
            </w:r>
            <w:r w:rsidRPr="008C78B9">
              <w:rPr>
                <w:rFonts w:ascii="바탕" w:eastAsia="바탕" w:hAnsi="바탕" w:cs="바탕" w:hint="eastAsia"/>
              </w:rPr>
              <w:t>−</w:t>
            </w:r>
            <w:r w:rsidRPr="008C78B9">
              <w:t xml:space="preserve">0.0004, 0.0064] </w:t>
            </w:r>
            <w:r>
              <w:br/>
            </w:r>
            <w:r w:rsidRPr="008C78B9">
              <w:t>(n=342)</w:t>
            </w:r>
          </w:p>
        </w:tc>
      </w:tr>
      <w:tr w:rsidR="00F51670" w:rsidRPr="00915415" w:rsidTr="00EB6AAB">
        <w:trPr>
          <w:cantSplit/>
        </w:trPr>
        <w:tc>
          <w:tcPr>
            <w:tcW w:w="6083" w:type="dxa"/>
            <w:vAlign w:val="center"/>
          </w:tcPr>
          <w:p w:rsidR="00F51670" w:rsidRPr="00915415" w:rsidRDefault="00F51670" w:rsidP="00EB6AAB">
            <w:pPr>
              <w:wordWrap/>
            </w:pPr>
            <w:r w:rsidRPr="00915415">
              <w:t xml:space="preserve">Change in log active-month employment-exposure share, </w:t>
            </w:r>
            <m:oMath>
              <m:r>
                <m:rPr>
                  <m:sty m:val="p"/>
                </m:rPr>
                <w:rPr>
                  <w:rFonts w:ascii="Cambria Math" w:hAnsi="Cambria Math"/>
                </w:rPr>
                <m:t>Δlog</m:t>
              </m:r>
              <m:r>
                <w:rPr>
                  <w:rFonts w:ascii="Cambria Math" w:hAnsi="Cambria Math"/>
                </w:rPr>
                <m:t>q</m:t>
              </m:r>
            </m:oMath>
          </w:p>
        </w:tc>
        <w:tc>
          <w:tcPr>
            <w:tcW w:w="992" w:type="dxa"/>
            <w:vAlign w:val="center"/>
          </w:tcPr>
          <w:p w:rsidR="00F51670" w:rsidRPr="00915415" w:rsidRDefault="00F51670" w:rsidP="00EB6AAB">
            <w:pPr>
              <w:wordWrap/>
              <w:jc w:val="center"/>
            </w:pPr>
            <w:r>
              <w:t>0.1044</w:t>
            </w:r>
          </w:p>
        </w:tc>
        <w:tc>
          <w:tcPr>
            <w:tcW w:w="1926" w:type="dxa"/>
            <w:vAlign w:val="center"/>
          </w:tcPr>
          <w:p w:rsidR="00F51670" w:rsidRPr="008C78B9" w:rsidRDefault="00F51670" w:rsidP="00EB6AAB">
            <w:pPr>
              <w:wordWrap/>
              <w:snapToGrid w:val="0"/>
              <w:jc w:val="center"/>
            </w:pPr>
            <w:r w:rsidRPr="008C78B9">
              <w:t>[0.0536, 0.1515]</w:t>
            </w:r>
            <w:r>
              <w:br/>
            </w:r>
            <w:r w:rsidRPr="008C78B9">
              <w:t xml:space="preserve"> (n=342)</w:t>
            </w:r>
          </w:p>
        </w:tc>
      </w:tr>
      <w:tr w:rsidR="00F51670" w:rsidRPr="00915415" w:rsidTr="00EB6AAB">
        <w:trPr>
          <w:cantSplit/>
        </w:trPr>
        <w:tc>
          <w:tcPr>
            <w:tcW w:w="6083" w:type="dxa"/>
            <w:vAlign w:val="center"/>
          </w:tcPr>
          <w:p w:rsidR="00F51670" w:rsidRPr="00915415" w:rsidRDefault="00F51670" w:rsidP="00EB6AAB">
            <w:pPr>
              <w:wordWrap/>
            </w:pPr>
            <w:r w:rsidRPr="00915415">
              <w:t xml:space="preserve">Change in log active-month worker-entry intensity, </w:t>
            </w:r>
            <m:oMath>
              <m:r>
                <m:rPr>
                  <m:sty m:val="p"/>
                </m:rPr>
                <w:rPr>
                  <w:rFonts w:ascii="Cambria Math" w:hAnsi="Cambria Math"/>
                </w:rPr>
                <m:t>Δlog</m:t>
              </m:r>
              <m:sSub>
                <m:sSubPr>
                  <m:ctrlPr>
                    <w:rPr>
                      <w:rFonts w:ascii="Cambria Math" w:hAnsi="Cambria Math"/>
                    </w:rPr>
                  </m:ctrlPr>
                </m:sSubPr>
                <m:e>
                  <m:r>
                    <w:rPr>
                      <w:rFonts w:ascii="Cambria Math" w:hAnsi="Cambria Math"/>
                    </w:rPr>
                    <m:t>i</m:t>
                  </m:r>
                </m:e>
                <m:sub>
                  <m:r>
                    <w:rPr>
                      <w:rFonts w:ascii="Cambria Math" w:hAnsi="Cambria Math"/>
                    </w:rPr>
                    <m:t>E</m:t>
                  </m:r>
                </m:sub>
              </m:sSub>
            </m:oMath>
          </w:p>
        </w:tc>
        <w:tc>
          <w:tcPr>
            <w:tcW w:w="992" w:type="dxa"/>
            <w:vAlign w:val="center"/>
          </w:tcPr>
          <w:p w:rsidR="00F51670" w:rsidRPr="00915415" w:rsidRDefault="00F51670" w:rsidP="00EB6AAB">
            <w:pPr>
              <w:wordWrap/>
              <w:jc w:val="center"/>
            </w:pPr>
            <w:r>
              <w:t>0.0586</w:t>
            </w:r>
          </w:p>
        </w:tc>
        <w:tc>
          <w:tcPr>
            <w:tcW w:w="1926" w:type="dxa"/>
            <w:vAlign w:val="center"/>
          </w:tcPr>
          <w:p w:rsidR="00F51670" w:rsidRDefault="00F51670" w:rsidP="00EB6AAB">
            <w:pPr>
              <w:wordWrap/>
              <w:snapToGrid w:val="0"/>
              <w:jc w:val="center"/>
            </w:pPr>
            <w:r w:rsidRPr="008C78B9">
              <w:t xml:space="preserve">[0.0080, 0.1146] </w:t>
            </w:r>
            <w:r>
              <w:br/>
            </w:r>
            <w:r w:rsidRPr="008C78B9">
              <w:t>(n=342)</w:t>
            </w:r>
          </w:p>
        </w:tc>
      </w:tr>
    </w:tbl>
    <w:p w:rsidR="00F51670" w:rsidRDefault="00915415" w:rsidP="00EB6AAB">
      <w:pPr>
        <w:pStyle w:val="aff3"/>
        <w:wordWrap/>
        <w:spacing w:before="0"/>
        <w:rPr>
          <w:color w:val="7F7F7F" w:themeColor="text1" w:themeTint="80"/>
        </w:rPr>
      </w:pPr>
      <w:r w:rsidRPr="000C5E12">
        <w:rPr>
          <w:color w:val="7F7F7F" w:themeColor="text1" w:themeTint="80"/>
        </w:rPr>
        <w:t xml:space="preserve">Notes. The pre-deal means are </w:t>
      </w:r>
      <m:oMath>
        <m:r>
          <w:rPr>
            <w:rFonts w:ascii="Cambria Math" w:hAnsi="Cambria Math"/>
            <w:color w:val="7F7F7F" w:themeColor="text1" w:themeTint="80"/>
          </w:rPr>
          <m:t>q</m:t>
        </m:r>
        <m:r>
          <m:rPr>
            <m:sty m:val="p"/>
          </m:rPr>
          <w:rPr>
            <w:rFonts w:ascii="Cambria Math" w:hAnsi="Cambria Math"/>
            <w:color w:val="7F7F7F" w:themeColor="text1" w:themeTint="80"/>
          </w:rPr>
          <m:t>=0.7409</m:t>
        </m:r>
      </m:oMath>
      <w:r w:rsidRPr="000C5E12">
        <w:rPr>
          <w:color w:val="7F7F7F" w:themeColor="text1" w:themeTint="80"/>
        </w:rPr>
        <w:t xml:space="preserve"> and </w:t>
      </w:r>
      <m:oMath>
        <m:sSub>
          <m:sSubPr>
            <m:ctrlPr>
              <w:rPr>
                <w:rFonts w:ascii="Cambria Math" w:hAnsi="Cambria Math"/>
                <w:color w:val="7F7F7F" w:themeColor="text1" w:themeTint="80"/>
              </w:rPr>
            </m:ctrlPr>
          </m:sSubPr>
          <m:e>
            <m:r>
              <w:rPr>
                <w:rFonts w:ascii="Cambria Math" w:hAnsi="Cambria Math"/>
                <w:color w:val="7F7F7F" w:themeColor="text1" w:themeTint="80"/>
              </w:rPr>
              <m:t>i</m:t>
            </m:r>
          </m:e>
          <m:sub>
            <m:r>
              <w:rPr>
                <w:rFonts w:ascii="Cambria Math" w:hAnsi="Cambria Math"/>
                <w:color w:val="7F7F7F" w:themeColor="text1" w:themeTint="80"/>
              </w:rPr>
              <m:t>E</m:t>
            </m:r>
          </m:sub>
        </m:sSub>
        <m:r>
          <m:rPr>
            <m:sty m:val="p"/>
          </m:rPr>
          <w:rPr>
            <w:rFonts w:ascii="Cambria Math" w:hAnsi="Cambria Math"/>
            <w:color w:val="7F7F7F" w:themeColor="text1" w:themeTint="80"/>
          </w:rPr>
          <m:t>=0.0539</m:t>
        </m:r>
      </m:oMath>
      <w:r w:rsidRPr="000C5E12">
        <w:rPr>
          <w:color w:val="7F7F7F" w:themeColor="text1" w:themeTint="80"/>
        </w:rPr>
        <w:t xml:space="preserve">. </w:t>
      </w:r>
      <w:r w:rsidR="00F51670" w:rsidRPr="00F51670">
        <w:rPr>
          <w:color w:val="7F7F7F" w:themeColor="text1" w:themeTint="80"/>
        </w:rPr>
        <w:t>For observations for which both log components are defined, their changes sum exactly to the change in the log hiring rate. The log exposure-share component accounts for 64.0 percent [0.4454, 0.9525] of the summed log change. This decomposition is descriptive: the probability that a month contains a worker entry itself increases mechanically with realised entry volume, so</w:t>
      </w:r>
      <w:r w:rsidR="00F51670">
        <w:rPr>
          <w:color w:val="7F7F7F" w:themeColor="text1" w:themeTint="80"/>
        </w:rPr>
        <w:t xml:space="preserve"> </w:t>
      </w:r>
      <m:oMath>
        <m:r>
          <m:rPr>
            <m:sty m:val="p"/>
          </m:rPr>
          <w:rPr>
            <w:rFonts w:ascii="Cambria Math" w:hAnsi="Cambria Math"/>
            <w:color w:val="7F7F7F" w:themeColor="text1" w:themeTint="80"/>
          </w:rPr>
          <m:t>Δ</m:t>
        </m:r>
        <m:r>
          <w:rPr>
            <w:rFonts w:ascii="Cambria Math" w:hAnsi="Cambria Math"/>
            <w:color w:val="7F7F7F" w:themeColor="text1" w:themeTint="80"/>
          </w:rPr>
          <m:t>q</m:t>
        </m:r>
      </m:oMath>
      <w:r w:rsidR="00F51670" w:rsidRPr="00F51670">
        <w:rPr>
          <w:rFonts w:hint="eastAsia"/>
          <w:color w:val="7F7F7F" w:themeColor="text1" w:themeTint="80"/>
        </w:rPr>
        <w:t xml:space="preserve"> </w:t>
      </w:r>
      <w:r w:rsidR="00F51670" w:rsidRPr="00F51670">
        <w:rPr>
          <w:color w:val="7F7F7F" w:themeColor="text1" w:themeTint="80"/>
        </w:rPr>
        <w:t>should not be interpreted as an independently identified behavioural extensive margin.</w:t>
      </w:r>
    </w:p>
    <w:p w:rsidR="000C5E12" w:rsidRPr="000C5E12" w:rsidRDefault="000C5E12" w:rsidP="00EB6AAB">
      <w:pPr>
        <w:pStyle w:val="3"/>
      </w:pPr>
      <w:r w:rsidRPr="000C5E12">
        <w:lastRenderedPageBreak/>
        <w:t>Appendix B. State measurement and specification sensitivity</w:t>
      </w:r>
    </w:p>
    <w:p w:rsidR="000C5E12" w:rsidRPr="000C5E12" w:rsidRDefault="000C5E12" w:rsidP="00EB6AAB">
      <w:pPr>
        <w:pStyle w:val="aff3"/>
        <w:wordWrap/>
      </w:pPr>
      <w:r w:rsidRPr="000C5E12">
        <w:t xml:space="preserve">The primary analysis summarises pre-deal hiring using worker-entry activity over months </w:t>
      </w:r>
      <m:oMath>
        <m:r>
          <m:rPr>
            <m:sty m:val="p"/>
          </m:rPr>
          <w:rPr>
            <w:rFonts w:ascii="Cambria Math" w:hAnsi="Cambria Math"/>
          </w:rPr>
          <m:t>-</m:t>
        </m:r>
        <m:r>
          <w:rPr>
            <w:rFonts w:ascii="Cambria Math" w:hAnsi="Cambria Math"/>
          </w:rPr>
          <m:t>24</m:t>
        </m:r>
      </m:oMath>
      <w:r w:rsidRPr="000C5E12">
        <w:t xml:space="preserve"> through </w:t>
      </w:r>
      <m:oMath>
        <m:r>
          <m:rPr>
            <m:sty m:val="p"/>
          </m:rPr>
          <w:rPr>
            <w:rFonts w:ascii="Cambria Math" w:hAnsi="Cambria Math"/>
          </w:rPr>
          <m:t>-</m:t>
        </m:r>
        <m:r>
          <w:rPr>
            <w:rFonts w:ascii="Cambria Math" w:hAnsi="Cambria Math"/>
          </w:rPr>
          <m:t>13</m:t>
        </m:r>
      </m:oMath>
      <w:r w:rsidRPr="000C5E12">
        <w:t>. Higher values of the state correspond to lower prior hiring intensity. This appendix examines alternative measures of that history, distinguishes a broader recent hiring condition from a short pause at closing, evaluates sensitivity to the outcome transformation and matching procedure, and compares the hiring state with observable pre-deal financial condition.</w:t>
      </w:r>
      <w:r>
        <w:t xml:space="preserve"> </w:t>
      </w:r>
      <w:r>
        <w:rPr>
          <w:rFonts w:eastAsia="Times New Roman"/>
        </w:rPr>
        <w:t>Some exercises compare state measures on a common sample; others rebuild the state-balanced design under a modified specification. Each subsection states which comparison it uses.</w:t>
      </w:r>
    </w:p>
    <w:p w:rsidR="000C5E12" w:rsidRPr="000C5E12" w:rsidRDefault="000C5E12" w:rsidP="00EB6AAB">
      <w:pPr>
        <w:pStyle w:val="3"/>
      </w:pPr>
      <w:r w:rsidRPr="000C5E12">
        <w:t>B.1 Alternative measures of pre-deal hiring activity</w:t>
      </w:r>
    </w:p>
    <w:p w:rsidR="000C5E12" w:rsidRPr="000C5E12" w:rsidRDefault="000C5E12" w:rsidP="00EB6AAB">
      <w:pPr>
        <w:pStyle w:val="aff3"/>
        <w:wordWrap/>
        <w:spacing w:after="120"/>
        <w:rPr>
          <w:b/>
        </w:rPr>
      </w:pPr>
      <w:r w:rsidRPr="000C5E12">
        <w:rPr>
          <w:b/>
        </w:rPr>
        <w:t>Table B1. Alternative measures of pre-deal hiring activity in the conventional matched sample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824"/>
        <w:gridCol w:w="1917"/>
        <w:gridCol w:w="3280"/>
      </w:tblGrid>
      <w:tr w:rsidR="000C5E12" w:rsidRPr="000C5E12" w:rsidTr="00B474F8">
        <w:trPr>
          <w:cantSplit/>
          <w:tblHeader/>
        </w:trPr>
        <w:tc>
          <w:tcPr>
            <w:tcW w:w="3815" w:type="dxa"/>
            <w:vAlign w:val="center"/>
          </w:tcPr>
          <w:p w:rsidR="000C5E12" w:rsidRPr="0020632F" w:rsidRDefault="000C5E12" w:rsidP="00EB6AAB">
            <w:pPr>
              <w:wordWrap/>
              <w:rPr>
                <w:b/>
              </w:rPr>
            </w:pPr>
            <w:r w:rsidRPr="0020632F">
              <w:rPr>
                <w:b/>
              </w:rPr>
              <w:t>State measure</w:t>
            </w:r>
          </w:p>
        </w:tc>
        <w:tc>
          <w:tcPr>
            <w:tcW w:w="1913" w:type="dxa"/>
            <w:vAlign w:val="center"/>
          </w:tcPr>
          <w:p w:rsidR="000C5E12" w:rsidRPr="0020632F" w:rsidRDefault="000C5E12" w:rsidP="00B474F8">
            <w:pPr>
              <w:wordWrap/>
              <w:jc w:val="center"/>
              <w:rPr>
                <w:b/>
              </w:rPr>
            </w:pPr>
            <w:r w:rsidRPr="0020632F">
              <w:rPr>
                <w:b/>
              </w:rPr>
              <w:t>Unadjusted slope</w:t>
            </w:r>
          </w:p>
        </w:tc>
        <w:tc>
          <w:tcPr>
            <w:tcW w:w="3273" w:type="dxa"/>
            <w:vAlign w:val="center"/>
          </w:tcPr>
          <w:p w:rsidR="000C5E12" w:rsidRPr="0020632F" w:rsidRDefault="000C5E12" w:rsidP="00B474F8">
            <w:pPr>
              <w:wordWrap/>
              <w:jc w:val="center"/>
              <w:rPr>
                <w:b/>
              </w:rPr>
            </w:pPr>
            <w:r w:rsidRPr="0020632F">
              <w:rPr>
                <w:b/>
              </w:rPr>
              <w:t>Adjusted slope, 95% CI</w:t>
            </w:r>
          </w:p>
        </w:tc>
      </w:tr>
      <w:tr w:rsidR="000C5E12" w:rsidRPr="000C5E12" w:rsidTr="00B474F8">
        <w:trPr>
          <w:cantSplit/>
        </w:trPr>
        <w:tc>
          <w:tcPr>
            <w:tcW w:w="3815" w:type="dxa"/>
          </w:tcPr>
          <w:p w:rsidR="000C5E12" w:rsidRPr="000C5E12" w:rsidRDefault="000C5E12" w:rsidP="00EB6AAB">
            <w:pPr>
              <w:wordWrap/>
            </w:pPr>
            <w:r w:rsidRPr="000C5E12">
              <w:t>Hiring rate</w:t>
            </w:r>
          </w:p>
        </w:tc>
        <w:tc>
          <w:tcPr>
            <w:tcW w:w="1913" w:type="dxa"/>
            <w:vAlign w:val="center"/>
          </w:tcPr>
          <w:p w:rsidR="000C5E12" w:rsidRPr="000C5E12" w:rsidRDefault="000C5E12" w:rsidP="00B474F8">
            <w:pPr>
              <w:wordWrap/>
              <w:jc w:val="center"/>
            </w:pPr>
            <w:r w:rsidRPr="000C5E12">
              <w:t>0.4964</w:t>
            </w:r>
          </w:p>
        </w:tc>
        <w:tc>
          <w:tcPr>
            <w:tcW w:w="3273" w:type="dxa"/>
            <w:vAlign w:val="center"/>
          </w:tcPr>
          <w:p w:rsidR="000C5E12" w:rsidRPr="000C5E12" w:rsidRDefault="000C5E12" w:rsidP="00B474F8">
            <w:pPr>
              <w:wordWrap/>
              <w:jc w:val="center"/>
            </w:pPr>
            <w:r w:rsidRPr="000C5E12">
              <w:t>0.5650 [0.210, 0.968]</w:t>
            </w:r>
          </w:p>
        </w:tc>
      </w:tr>
      <w:tr w:rsidR="000C5E12" w:rsidRPr="000C5E12" w:rsidTr="00B474F8">
        <w:trPr>
          <w:cantSplit/>
        </w:trPr>
        <w:tc>
          <w:tcPr>
            <w:tcW w:w="3815" w:type="dxa"/>
          </w:tcPr>
          <w:p w:rsidR="000C5E12" w:rsidRPr="000C5E12" w:rsidRDefault="000C5E12" w:rsidP="00EB6AAB">
            <w:pPr>
              <w:wordWrap/>
            </w:pPr>
            <w:r w:rsidRPr="000C5E12">
              <w:t>Worker-entry volume</w:t>
            </w:r>
          </w:p>
        </w:tc>
        <w:tc>
          <w:tcPr>
            <w:tcW w:w="1913" w:type="dxa"/>
            <w:vAlign w:val="center"/>
          </w:tcPr>
          <w:p w:rsidR="000C5E12" w:rsidRPr="000C5E12" w:rsidRDefault="000C5E12" w:rsidP="00B474F8">
            <w:pPr>
              <w:wordWrap/>
              <w:jc w:val="center"/>
            </w:pPr>
            <w:r w:rsidRPr="000C5E12">
              <w:t>0.1275</w:t>
            </w:r>
          </w:p>
        </w:tc>
        <w:tc>
          <w:tcPr>
            <w:tcW w:w="3273" w:type="dxa"/>
            <w:vAlign w:val="center"/>
          </w:tcPr>
          <w:p w:rsidR="000C5E12" w:rsidRPr="000C5E12" w:rsidRDefault="000C5E12" w:rsidP="00B474F8">
            <w:pPr>
              <w:wordWrap/>
              <w:jc w:val="center"/>
            </w:pPr>
            <w:r w:rsidRPr="000C5E12">
              <w:t>0.1578 [0.020, 0.291]</w:t>
            </w:r>
          </w:p>
        </w:tc>
      </w:tr>
      <w:tr w:rsidR="000C5E12" w:rsidRPr="000C5E12" w:rsidTr="00B474F8">
        <w:trPr>
          <w:cantSplit/>
        </w:trPr>
        <w:tc>
          <w:tcPr>
            <w:tcW w:w="3815" w:type="dxa"/>
          </w:tcPr>
          <w:p w:rsidR="000C5E12" w:rsidRPr="000C5E12" w:rsidRDefault="000C5E12" w:rsidP="00EB6AAB">
            <w:pPr>
              <w:wordWrap/>
            </w:pPr>
            <w:r w:rsidRPr="000C5E12">
              <w:t>Share of months with no worker entry</w:t>
            </w:r>
          </w:p>
        </w:tc>
        <w:tc>
          <w:tcPr>
            <w:tcW w:w="1913" w:type="dxa"/>
            <w:vAlign w:val="center"/>
          </w:tcPr>
          <w:p w:rsidR="000C5E12" w:rsidRPr="000C5E12" w:rsidRDefault="000C5E12" w:rsidP="00B474F8">
            <w:pPr>
              <w:wordWrap/>
              <w:jc w:val="center"/>
            </w:pPr>
            <w:r w:rsidRPr="000C5E12">
              <w:t>0.5259</w:t>
            </w:r>
          </w:p>
        </w:tc>
        <w:tc>
          <w:tcPr>
            <w:tcW w:w="3273" w:type="dxa"/>
            <w:vAlign w:val="center"/>
          </w:tcPr>
          <w:p w:rsidR="000C5E12" w:rsidRPr="000C5E12" w:rsidRDefault="000C5E12" w:rsidP="00B474F8">
            <w:pPr>
              <w:wordWrap/>
              <w:jc w:val="center"/>
            </w:pPr>
            <w:r w:rsidRPr="000C5E12">
              <w:t>0.3522 [−0.079, 0.829]</w:t>
            </w:r>
          </w:p>
        </w:tc>
      </w:tr>
    </w:tbl>
    <w:p w:rsidR="000C5E12" w:rsidRPr="000C5E12" w:rsidRDefault="000C5E12" w:rsidP="00EB6AAB">
      <w:pPr>
        <w:pStyle w:val="aff3"/>
        <w:wordWrap/>
        <w:spacing w:before="0"/>
        <w:rPr>
          <w:color w:val="7F7F7F" w:themeColor="text1" w:themeTint="80"/>
        </w:rPr>
      </w:pPr>
      <w:r w:rsidRPr="000C5E12">
        <w:rPr>
          <w:color w:val="7F7F7F" w:themeColor="text1" w:themeTint="80"/>
        </w:rPr>
        <w:t xml:space="preserve">Notes. All measures use months </w:t>
      </w:r>
      <m:oMath>
        <m:r>
          <m:rPr>
            <m:sty m:val="p"/>
          </m:rPr>
          <w:rPr>
            <w:rFonts w:ascii="Cambria Math" w:hAnsi="Cambria Math"/>
            <w:color w:val="7F7F7F" w:themeColor="text1" w:themeTint="80"/>
          </w:rPr>
          <m:t>-24</m:t>
        </m:r>
      </m:oMath>
      <w:r w:rsidRPr="000C5E12">
        <w:rPr>
          <w:color w:val="7F7F7F" w:themeColor="text1" w:themeTint="80"/>
        </w:rPr>
        <w:t xml:space="preserve"> through </w:t>
      </w:r>
      <m:oMath>
        <m:r>
          <m:rPr>
            <m:sty m:val="p"/>
          </m:rPr>
          <w:rPr>
            <w:rFonts w:ascii="Cambria Math" w:hAnsi="Cambria Math"/>
            <w:color w:val="7F7F7F" w:themeColor="text1" w:themeTint="80"/>
          </w:rPr>
          <m:t>-13</m:t>
        </m:r>
      </m:oMath>
      <w:r w:rsidRPr="000C5E12">
        <w:rPr>
          <w:color w:val="7F7F7F" w:themeColor="text1" w:themeTint="80"/>
        </w:rPr>
        <w:t xml:space="preserve"> and are oriented so that a positive coefficient corresponds to a larger subsequent response among targets with lower pre-deal activity. The adjusted specifications partial out log pre-deal employment, pre-deal employment growth, firm age, and one-digit industry from both the state measure and the outcome. Coefficient magnitudes should not be compared directly across state measures because their scales differ. These regressions use the 301-event conventional matched sample and an unwinsorised outcome; the preferred estimator instead uses 286 state-balanced events and 5/95 winsorisation.</w:t>
      </w:r>
    </w:p>
    <w:p w:rsidR="000C5E12" w:rsidRPr="000C5E12" w:rsidRDefault="000C5E12" w:rsidP="00EB6AAB">
      <w:pPr>
        <w:pStyle w:val="aff3"/>
        <w:wordWrap/>
      </w:pPr>
      <w:r>
        <w:rPr>
          <w:rFonts w:eastAsia="Times New Roman"/>
        </w:rPr>
        <w:t>The adjusted hiring-rate slope is 0.5650 [0.210, 0.968]. Discrete definitions give similar orderings: the low-minus-high activity contrast is 0.215 [0.026, 0.392] for terciles, 0.215 [0.030, 0.425] for quartiles, and 0.188 [0.031, 0.332] for a median split.</w:t>
      </w:r>
      <w:r>
        <w:t xml:space="preserve"> </w:t>
      </w:r>
      <w:r w:rsidRPr="000C5E12">
        <w:t xml:space="preserve">The frequency of no-entry months is closely related to total pre-deal worker-entry volume. Over the same state window, the correlation between the no-entry share and log worker-entry volume is </w:t>
      </w:r>
      <m:oMath>
        <m:r>
          <m:rPr>
            <m:sty m:val="p"/>
          </m:rPr>
          <w:rPr>
            <w:rFonts w:ascii="Cambria Math" w:hAnsi="Cambria Math"/>
          </w:rPr>
          <m:t>-</m:t>
        </m:r>
        <m:r>
          <w:rPr>
            <w:rFonts w:ascii="Cambria Math" w:hAnsi="Cambria Math"/>
          </w:rPr>
          <m:t>0.854</m:t>
        </m:r>
      </m:oMath>
      <w:r w:rsidRPr="000C5E12">
        <w:t xml:space="preserve">. Subtracting the no-entry share implied by the volume benchmark in Appendix A reduces that correlation to </w:t>
      </w:r>
      <m:oMath>
        <m:r>
          <m:rPr>
            <m:sty m:val="p"/>
          </m:rPr>
          <w:rPr>
            <w:rFonts w:ascii="Cambria Math" w:hAnsi="Cambria Math"/>
          </w:rPr>
          <m:t>-</m:t>
        </m:r>
        <m:r>
          <w:rPr>
            <w:rFonts w:ascii="Cambria Math" w:hAnsi="Cambria Math"/>
          </w:rPr>
          <m:t>0.013</m:t>
        </m:r>
      </m:oMath>
      <w:r w:rsidRPr="000C5E12">
        <w:t>.</w:t>
      </w:r>
    </w:p>
    <w:p w:rsidR="000C5E12" w:rsidRPr="000C5E12" w:rsidRDefault="000C5E12" w:rsidP="00EB6AAB">
      <w:pPr>
        <w:pStyle w:val="aff3"/>
        <w:wordWrap/>
      </w:pPr>
      <w:r w:rsidRPr="000C5E12">
        <w:t xml:space="preserve">Once this volume component is removed, no-entry frequency carries little separate information about the post-investment response. The low-versus-high tercile contrast in the volume-adjusted frequency </w:t>
      </w:r>
      <w:r w:rsidRPr="000C5E12">
        <w:lastRenderedPageBreak/>
        <w:t xml:space="preserve">measure is 0.0031 [−0.176, 0.190]. The pooled frequency slope estimated within quintiles of pre-deal worker-entry volume is </w:t>
      </w:r>
      <m:oMath>
        <m:r>
          <m:rPr>
            <m:sty m:val="p"/>
          </m:rPr>
          <w:rPr>
            <w:rFonts w:ascii="Cambria Math" w:hAnsi="Cambria Math"/>
          </w:rPr>
          <m:t>-</m:t>
        </m:r>
        <m:r>
          <w:rPr>
            <w:rFonts w:ascii="Cambria Math" w:hAnsi="Cambria Math"/>
          </w:rPr>
          <m:t>0.066</m:t>
        </m:r>
      </m:oMath>
      <w:r w:rsidRPr="000C5E12">
        <w:t>, while residualising frequency on volume and size gives a slope of 0.063.</w:t>
      </w:r>
      <w:r>
        <w:t xml:space="preserve"> </w:t>
      </w:r>
      <w:r>
        <w:rPr>
          <w:rFonts w:eastAsia="Times New Roman"/>
        </w:rPr>
        <w:t>Mechanical sparsity is less important when the state window contains more entries. Among firms with at least twelve pre-deal entries, however, the coefficient on no-entry frequency is still only 0.010 after conditioning on entry volume. This is a partial coefficient, not the unconditional frequency slope in the restricted sample.</w:t>
      </w:r>
      <w:r>
        <w:t xml:space="preserve"> </w:t>
      </w:r>
      <w:r>
        <w:rPr>
          <w:rFonts w:eastAsia="Times New Roman"/>
        </w:rPr>
        <w:t>These comparisons favour the hiring rate as the summary of recent pre-deal hiring. No-entry frequency is tightly linked to total entry volume and adds little ordering of the subsequent response after volume is accounted for.</w:t>
      </w:r>
    </w:p>
    <w:p w:rsidR="000C5E12" w:rsidRPr="000C5E12" w:rsidRDefault="000C5E12" w:rsidP="00EB6AAB">
      <w:pPr>
        <w:pStyle w:val="3"/>
      </w:pPr>
      <w:r w:rsidRPr="000C5E12">
        <w:t>B.2 Recent hiring history and the firm’s position at closing</w:t>
      </w:r>
    </w:p>
    <w:p w:rsidR="000C5E12" w:rsidRPr="000C5E12" w:rsidRDefault="000C5E12" w:rsidP="00EB6AAB">
      <w:pPr>
        <w:pStyle w:val="aff3"/>
        <w:wordWrap/>
      </w:pPr>
      <w:r>
        <w:rPr>
          <w:rFonts w:eastAsia="Times New Roman"/>
        </w:rPr>
        <w:t>The primary state may capture a broad spell of low hiring, a pause already under way at closing, or observable firm characteristics correlated with both. Table B2 separates these possibilities.</w:t>
      </w:r>
    </w:p>
    <w:p w:rsidR="000C5E12" w:rsidRPr="000C5E12" w:rsidRDefault="000C5E12" w:rsidP="00EB6AAB">
      <w:pPr>
        <w:pStyle w:val="aff3"/>
        <w:wordWrap/>
        <w:spacing w:after="120"/>
        <w:rPr>
          <w:b/>
        </w:rPr>
      </w:pPr>
      <w:r w:rsidRPr="000C5E12">
        <w:rPr>
          <w:b/>
        </w:rPr>
        <w:t>Table B2. Alternative interpretations of the pre-deal hiring state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305"/>
        <w:gridCol w:w="1075"/>
        <w:gridCol w:w="1847"/>
        <w:gridCol w:w="794"/>
      </w:tblGrid>
      <w:tr w:rsidR="000C5E12" w:rsidRPr="000C5E12" w:rsidTr="00EB6AAB">
        <w:trPr>
          <w:cantSplit/>
          <w:tblHeader/>
        </w:trPr>
        <w:tc>
          <w:tcPr>
            <w:tcW w:w="5293" w:type="dxa"/>
            <w:vAlign w:val="center"/>
          </w:tcPr>
          <w:p w:rsidR="000C5E12" w:rsidRPr="0020632F" w:rsidRDefault="000C5E12" w:rsidP="00EB6AAB">
            <w:pPr>
              <w:wordWrap/>
              <w:rPr>
                <w:b/>
              </w:rPr>
            </w:pPr>
            <w:r w:rsidRPr="0020632F">
              <w:rPr>
                <w:b/>
                <w:sz w:val="20"/>
              </w:rPr>
              <w:t>Specification</w:t>
            </w:r>
          </w:p>
        </w:tc>
        <w:tc>
          <w:tcPr>
            <w:tcW w:w="1073" w:type="dxa"/>
            <w:vAlign w:val="center"/>
          </w:tcPr>
          <w:p w:rsidR="000C5E12" w:rsidRPr="0020632F" w:rsidRDefault="000C5E12" w:rsidP="00EB6AAB">
            <w:pPr>
              <w:wordWrap/>
              <w:jc w:val="center"/>
              <w:rPr>
                <w:b/>
              </w:rPr>
            </w:pPr>
            <w:r w:rsidRPr="0020632F">
              <w:rPr>
                <w:b/>
                <w:sz w:val="20"/>
              </w:rPr>
              <w:t>Estimate</w:t>
            </w:r>
          </w:p>
        </w:tc>
        <w:tc>
          <w:tcPr>
            <w:tcW w:w="1843" w:type="dxa"/>
            <w:vAlign w:val="center"/>
          </w:tcPr>
          <w:p w:rsidR="000C5E12" w:rsidRPr="0020632F" w:rsidRDefault="000C5E12" w:rsidP="00EB6AAB">
            <w:pPr>
              <w:wordWrap/>
              <w:jc w:val="center"/>
              <w:rPr>
                <w:b/>
              </w:rPr>
            </w:pPr>
            <w:r w:rsidRPr="0020632F">
              <w:rPr>
                <w:b/>
                <w:sz w:val="20"/>
              </w:rPr>
              <w:t>95% CI</w:t>
            </w:r>
          </w:p>
        </w:tc>
        <w:tc>
          <w:tcPr>
            <w:tcW w:w="792" w:type="dxa"/>
            <w:vAlign w:val="center"/>
          </w:tcPr>
          <w:p w:rsidR="000C5E12" w:rsidRPr="00C76F70" w:rsidRDefault="000C5E12" w:rsidP="00EB6AAB">
            <w:pPr>
              <w:wordWrap/>
              <w:jc w:val="center"/>
              <w:rPr>
                <w:b/>
                <w:spacing w:val="-10"/>
              </w:rPr>
            </w:pPr>
            <w:r w:rsidRPr="00C76F70">
              <w:rPr>
                <w:b/>
                <w:spacing w:val="-10"/>
                <w:sz w:val="20"/>
              </w:rPr>
              <w:t>N</w:t>
            </w:r>
          </w:p>
        </w:tc>
      </w:tr>
      <w:tr w:rsidR="00C76F70" w:rsidRPr="000C5E12" w:rsidTr="00EB6AAB">
        <w:trPr>
          <w:cantSplit/>
        </w:trPr>
        <w:tc>
          <w:tcPr>
            <w:tcW w:w="5293" w:type="dxa"/>
          </w:tcPr>
          <w:p w:rsidR="00C76F70" w:rsidRPr="000C5E12" w:rsidRDefault="00C76F70" w:rsidP="00EB6AAB">
            <w:pPr>
              <w:wordWrap/>
            </w:pPr>
            <w:r w:rsidRPr="000C5E12">
              <w:t>Hiring state, controlling for pre-deal employment growth</w:t>
            </w:r>
          </w:p>
        </w:tc>
        <w:tc>
          <w:tcPr>
            <w:tcW w:w="1073" w:type="dxa"/>
          </w:tcPr>
          <w:p w:rsidR="00C76F70" w:rsidRPr="000C5E12" w:rsidRDefault="00C76F70" w:rsidP="00EB6AAB">
            <w:pPr>
              <w:wordWrap/>
              <w:jc w:val="center"/>
            </w:pPr>
            <w:r w:rsidRPr="000C5E12">
              <w:t>0.4</w:t>
            </w:r>
            <w:r>
              <w:t>099</w:t>
            </w:r>
          </w:p>
        </w:tc>
        <w:tc>
          <w:tcPr>
            <w:tcW w:w="1843" w:type="dxa"/>
          </w:tcPr>
          <w:p w:rsidR="00C76F70" w:rsidRPr="00C76F70" w:rsidRDefault="00C76F70" w:rsidP="00EB6AAB">
            <w:pPr>
              <w:wordWrap/>
              <w:jc w:val="center"/>
              <w:rPr>
                <w:spacing w:val="-8"/>
              </w:rPr>
            </w:pPr>
            <w:r w:rsidRPr="00C76F70">
              <w:rPr>
                <w:spacing w:val="-8"/>
              </w:rPr>
              <w:t>[0.0778, 0.7534]</w:t>
            </w:r>
          </w:p>
        </w:tc>
        <w:tc>
          <w:tcPr>
            <w:tcW w:w="792" w:type="dxa"/>
          </w:tcPr>
          <w:p w:rsidR="00C76F70" w:rsidRPr="006C4C17" w:rsidRDefault="00C76F70" w:rsidP="00EB6AAB">
            <w:pPr>
              <w:wordWrap/>
              <w:jc w:val="center"/>
            </w:pPr>
            <w:r w:rsidRPr="006C4C17">
              <w:t>256</w:t>
            </w:r>
          </w:p>
        </w:tc>
      </w:tr>
      <w:tr w:rsidR="00C76F70" w:rsidRPr="000C5E12" w:rsidTr="00EB6AAB">
        <w:trPr>
          <w:cantSplit/>
        </w:trPr>
        <w:tc>
          <w:tcPr>
            <w:tcW w:w="5293" w:type="dxa"/>
          </w:tcPr>
          <w:p w:rsidR="00C76F70" w:rsidRPr="000C5E12" w:rsidRDefault="00C76F70" w:rsidP="00EB6AAB">
            <w:pPr>
              <w:wordWrap/>
            </w:pPr>
            <w:r w:rsidRPr="000C5E12">
              <w:t>Historical share of no-entry months</w:t>
            </w:r>
          </w:p>
        </w:tc>
        <w:tc>
          <w:tcPr>
            <w:tcW w:w="1073" w:type="dxa"/>
          </w:tcPr>
          <w:p w:rsidR="00C76F70" w:rsidRPr="000C5E12" w:rsidRDefault="00C76F70" w:rsidP="00EB6AAB">
            <w:pPr>
              <w:wordWrap/>
              <w:jc w:val="center"/>
            </w:pPr>
            <w:r w:rsidRPr="000C5E12">
              <w:t>0.559</w:t>
            </w:r>
            <w:r>
              <w:t>0</w:t>
            </w:r>
          </w:p>
        </w:tc>
        <w:tc>
          <w:tcPr>
            <w:tcW w:w="1843" w:type="dxa"/>
          </w:tcPr>
          <w:p w:rsidR="00C76F70" w:rsidRPr="00C76F70" w:rsidRDefault="00C76F70" w:rsidP="00EB6AAB">
            <w:pPr>
              <w:wordWrap/>
              <w:jc w:val="center"/>
              <w:rPr>
                <w:spacing w:val="-8"/>
              </w:rPr>
            </w:pPr>
            <w:r w:rsidRPr="00C76F70">
              <w:rPr>
                <w:spacing w:val="-8"/>
              </w:rPr>
              <w:t>[0.2408, 0.8853]</w:t>
            </w:r>
          </w:p>
        </w:tc>
        <w:tc>
          <w:tcPr>
            <w:tcW w:w="792" w:type="dxa"/>
          </w:tcPr>
          <w:p w:rsidR="00C76F70" w:rsidRPr="006C4C17" w:rsidRDefault="00C76F70" w:rsidP="00EB6AAB">
            <w:pPr>
              <w:wordWrap/>
              <w:jc w:val="center"/>
            </w:pPr>
            <w:r w:rsidRPr="006C4C17">
              <w:t>301</w:t>
            </w:r>
          </w:p>
        </w:tc>
      </w:tr>
      <w:tr w:rsidR="00C76F70" w:rsidRPr="000C5E12" w:rsidTr="00EB6AAB">
        <w:trPr>
          <w:cantSplit/>
        </w:trPr>
        <w:tc>
          <w:tcPr>
            <w:tcW w:w="5293" w:type="dxa"/>
          </w:tcPr>
          <w:p w:rsidR="00C76F70" w:rsidRPr="000C5E12" w:rsidRDefault="00C76F70" w:rsidP="00EB6AAB">
            <w:pPr>
              <w:wordWrap/>
            </w:pPr>
            <w:r w:rsidRPr="000C5E12">
              <w:t>Length of hiring pause in progress at closing</w:t>
            </w:r>
          </w:p>
        </w:tc>
        <w:tc>
          <w:tcPr>
            <w:tcW w:w="1073" w:type="dxa"/>
          </w:tcPr>
          <w:p w:rsidR="00C76F70" w:rsidRPr="000C5E12" w:rsidRDefault="00C76F70" w:rsidP="00EB6AAB">
            <w:pPr>
              <w:wordWrap/>
              <w:jc w:val="center"/>
            </w:pPr>
            <w:r w:rsidRPr="000C5E12">
              <w:t>0.040</w:t>
            </w:r>
            <w:r>
              <w:t>3</w:t>
            </w:r>
          </w:p>
        </w:tc>
        <w:tc>
          <w:tcPr>
            <w:tcW w:w="1843" w:type="dxa"/>
          </w:tcPr>
          <w:p w:rsidR="00C76F70" w:rsidRPr="00C76F70" w:rsidRDefault="00C76F70" w:rsidP="00EB6AAB">
            <w:pPr>
              <w:wordWrap/>
              <w:jc w:val="center"/>
              <w:rPr>
                <w:spacing w:val="-8"/>
              </w:rPr>
            </w:pPr>
            <w:r w:rsidRPr="00C76F70">
              <w:rPr>
                <w:spacing w:val="-8"/>
              </w:rPr>
              <w:t>[</w:t>
            </w:r>
            <w:r w:rsidRPr="00C76F70">
              <w:rPr>
                <w:rFonts w:ascii="바탕" w:eastAsia="바탕" w:hAnsi="바탕" w:cs="바탕" w:hint="eastAsia"/>
                <w:spacing w:val="-8"/>
              </w:rPr>
              <w:t>−</w:t>
            </w:r>
            <w:r w:rsidRPr="00C76F70">
              <w:rPr>
                <w:spacing w:val="-8"/>
              </w:rPr>
              <w:t>0.0156, 0.1073]</w:t>
            </w:r>
          </w:p>
        </w:tc>
        <w:tc>
          <w:tcPr>
            <w:tcW w:w="792" w:type="dxa"/>
          </w:tcPr>
          <w:p w:rsidR="00C76F70" w:rsidRPr="006C4C17" w:rsidRDefault="00C76F70" w:rsidP="00EB6AAB">
            <w:pPr>
              <w:wordWrap/>
              <w:jc w:val="center"/>
            </w:pPr>
            <w:r w:rsidRPr="006C4C17">
              <w:t>301</w:t>
            </w:r>
          </w:p>
        </w:tc>
      </w:tr>
      <w:tr w:rsidR="00C76F70" w:rsidRPr="000C5E12" w:rsidTr="00EB6AAB">
        <w:trPr>
          <w:cantSplit/>
        </w:trPr>
        <w:tc>
          <w:tcPr>
            <w:tcW w:w="5293" w:type="dxa"/>
          </w:tcPr>
          <w:p w:rsidR="00C76F70" w:rsidRPr="000C5E12" w:rsidRDefault="00C76F70" w:rsidP="00EB6AAB">
            <w:pPr>
              <w:wordWrap/>
            </w:pPr>
            <w:r w:rsidRPr="000C5E12">
              <w:t>Residualised hiring state</w:t>
            </w:r>
          </w:p>
        </w:tc>
        <w:tc>
          <w:tcPr>
            <w:tcW w:w="1073" w:type="dxa"/>
          </w:tcPr>
          <w:p w:rsidR="00C76F70" w:rsidRPr="000C5E12" w:rsidRDefault="00C76F70" w:rsidP="00EB6AAB">
            <w:pPr>
              <w:wordWrap/>
              <w:jc w:val="center"/>
            </w:pPr>
            <w:r w:rsidRPr="000C5E12">
              <w:t>0.243</w:t>
            </w:r>
            <w:r>
              <w:t>3</w:t>
            </w:r>
          </w:p>
        </w:tc>
        <w:tc>
          <w:tcPr>
            <w:tcW w:w="1843" w:type="dxa"/>
          </w:tcPr>
          <w:p w:rsidR="00C76F70" w:rsidRPr="00C76F70" w:rsidRDefault="00C76F70" w:rsidP="00EB6AAB">
            <w:pPr>
              <w:wordWrap/>
              <w:jc w:val="center"/>
              <w:rPr>
                <w:spacing w:val="-8"/>
              </w:rPr>
            </w:pPr>
            <w:r w:rsidRPr="00C76F70">
              <w:rPr>
                <w:spacing w:val="-8"/>
              </w:rPr>
              <w:t>[</w:t>
            </w:r>
            <w:r w:rsidRPr="00C76F70">
              <w:rPr>
                <w:rFonts w:ascii="바탕" w:eastAsia="바탕" w:hAnsi="바탕" w:cs="바탕" w:hint="eastAsia"/>
                <w:spacing w:val="-8"/>
              </w:rPr>
              <w:t>−</w:t>
            </w:r>
            <w:r w:rsidRPr="00C76F70">
              <w:rPr>
                <w:spacing w:val="-8"/>
              </w:rPr>
              <w:t>0.2213, 0.7226]</w:t>
            </w:r>
          </w:p>
        </w:tc>
        <w:tc>
          <w:tcPr>
            <w:tcW w:w="792" w:type="dxa"/>
          </w:tcPr>
          <w:p w:rsidR="00C76F70" w:rsidRPr="006C4C17" w:rsidRDefault="00C76F70" w:rsidP="00EB6AAB">
            <w:pPr>
              <w:wordWrap/>
              <w:jc w:val="center"/>
            </w:pPr>
            <w:r w:rsidRPr="006C4C17">
              <w:t>301</w:t>
            </w:r>
          </w:p>
        </w:tc>
      </w:tr>
      <w:tr w:rsidR="00C76F70" w:rsidRPr="000C5E12" w:rsidTr="00EB6AAB">
        <w:trPr>
          <w:cantSplit/>
        </w:trPr>
        <w:tc>
          <w:tcPr>
            <w:tcW w:w="5293" w:type="dxa"/>
          </w:tcPr>
          <w:p w:rsidR="00C76F70" w:rsidRPr="000C5E12" w:rsidRDefault="00C76F70" w:rsidP="00EB6AAB">
            <w:pPr>
              <w:wordWrap/>
            </w:pPr>
            <w:r w:rsidRPr="000C5E12">
              <w:t xml:space="preserve">Earlier hiring state, months </w:t>
            </w:r>
            <m:oMath>
              <m:r>
                <m:rPr>
                  <m:sty m:val="p"/>
                </m:rPr>
                <w:rPr>
                  <w:rFonts w:ascii="Cambria Math" w:hAnsi="Cambria Math"/>
                </w:rPr>
                <m:t>-</m:t>
              </m:r>
              <m:r>
                <w:rPr>
                  <w:rFonts w:ascii="Cambria Math" w:hAnsi="Cambria Math"/>
                </w:rPr>
                <m:t>36</m:t>
              </m:r>
            </m:oMath>
            <w:r w:rsidRPr="000C5E12">
              <w:t xml:space="preserve"> to </w:t>
            </w:r>
            <m:oMath>
              <m:r>
                <m:rPr>
                  <m:sty m:val="p"/>
                </m:rPr>
                <w:rPr>
                  <w:rFonts w:ascii="Cambria Math" w:hAnsi="Cambria Math"/>
                </w:rPr>
                <m:t>-</m:t>
              </m:r>
              <m:r>
                <w:rPr>
                  <w:rFonts w:ascii="Cambria Math" w:hAnsi="Cambria Math"/>
                </w:rPr>
                <m:t>25</m:t>
              </m:r>
            </m:oMath>
          </w:p>
        </w:tc>
        <w:tc>
          <w:tcPr>
            <w:tcW w:w="1073" w:type="dxa"/>
          </w:tcPr>
          <w:p w:rsidR="00C76F70" w:rsidRPr="000C5E12" w:rsidRDefault="00C76F70" w:rsidP="00EB6AAB">
            <w:pPr>
              <w:wordWrap/>
              <w:jc w:val="center"/>
            </w:pPr>
            <w:r w:rsidRPr="000C5E12">
              <w:t>0.26</w:t>
            </w:r>
            <w:r>
              <w:t>75</w:t>
            </w:r>
          </w:p>
        </w:tc>
        <w:tc>
          <w:tcPr>
            <w:tcW w:w="1843" w:type="dxa"/>
          </w:tcPr>
          <w:p w:rsidR="00C76F70" w:rsidRPr="00C76F70" w:rsidRDefault="00C76F70" w:rsidP="00EB6AAB">
            <w:pPr>
              <w:wordWrap/>
              <w:jc w:val="center"/>
              <w:rPr>
                <w:spacing w:val="-8"/>
              </w:rPr>
            </w:pPr>
            <w:r w:rsidRPr="00C76F70">
              <w:rPr>
                <w:spacing w:val="-8"/>
              </w:rPr>
              <w:t>[</w:t>
            </w:r>
            <w:r w:rsidRPr="00C76F70">
              <w:rPr>
                <w:rFonts w:ascii="바탕" w:eastAsia="바탕" w:hAnsi="바탕" w:cs="바탕" w:hint="eastAsia"/>
                <w:spacing w:val="-8"/>
              </w:rPr>
              <w:t>−</w:t>
            </w:r>
            <w:r w:rsidRPr="00C76F70">
              <w:rPr>
                <w:spacing w:val="-8"/>
              </w:rPr>
              <w:t>0.0819, 0.6127]</w:t>
            </w:r>
          </w:p>
        </w:tc>
        <w:tc>
          <w:tcPr>
            <w:tcW w:w="792" w:type="dxa"/>
          </w:tcPr>
          <w:p w:rsidR="00C76F70" w:rsidRPr="006C4C17" w:rsidRDefault="00C76F70" w:rsidP="00EB6AAB">
            <w:pPr>
              <w:wordWrap/>
              <w:jc w:val="center"/>
            </w:pPr>
            <w:r w:rsidRPr="006C4C17">
              <w:t>238</w:t>
            </w:r>
          </w:p>
        </w:tc>
      </w:tr>
      <w:tr w:rsidR="00C76F70" w:rsidRPr="000C5E12" w:rsidTr="00EB6AAB">
        <w:trPr>
          <w:cantSplit/>
        </w:trPr>
        <w:tc>
          <w:tcPr>
            <w:tcW w:w="5293" w:type="dxa"/>
          </w:tcPr>
          <w:p w:rsidR="00C76F70" w:rsidRPr="000C5E12" w:rsidRDefault="00C76F70" w:rsidP="00EB6AAB">
            <w:pPr>
              <w:wordWrap/>
            </w:pPr>
            <w:r w:rsidRPr="000C5E12">
              <w:t>Joint specification: historical no-entry share</w:t>
            </w:r>
          </w:p>
        </w:tc>
        <w:tc>
          <w:tcPr>
            <w:tcW w:w="1073" w:type="dxa"/>
          </w:tcPr>
          <w:p w:rsidR="00C76F70" w:rsidRPr="000C5E12" w:rsidRDefault="00C76F70" w:rsidP="00EB6AAB">
            <w:pPr>
              <w:wordWrap/>
              <w:jc w:val="center"/>
            </w:pPr>
            <w:r w:rsidRPr="000C5E12">
              <w:t>0.536</w:t>
            </w:r>
            <w:r>
              <w:t>3</w:t>
            </w:r>
          </w:p>
        </w:tc>
        <w:tc>
          <w:tcPr>
            <w:tcW w:w="1843" w:type="dxa"/>
          </w:tcPr>
          <w:p w:rsidR="00C76F70" w:rsidRPr="00C76F70" w:rsidRDefault="00C76F70" w:rsidP="00EB6AAB">
            <w:pPr>
              <w:wordWrap/>
              <w:jc w:val="center"/>
              <w:rPr>
                <w:spacing w:val="-8"/>
              </w:rPr>
            </w:pPr>
            <w:r w:rsidRPr="00C76F70">
              <w:rPr>
                <w:spacing w:val="-8"/>
              </w:rPr>
              <w:t>[0.2123, 0.8815]</w:t>
            </w:r>
          </w:p>
        </w:tc>
        <w:tc>
          <w:tcPr>
            <w:tcW w:w="792" w:type="dxa"/>
          </w:tcPr>
          <w:p w:rsidR="00C76F70" w:rsidRPr="006C4C17" w:rsidRDefault="00C76F70" w:rsidP="00EB6AAB">
            <w:pPr>
              <w:wordWrap/>
              <w:jc w:val="center"/>
            </w:pPr>
            <w:r w:rsidRPr="006C4C17">
              <w:t>301</w:t>
            </w:r>
          </w:p>
        </w:tc>
      </w:tr>
      <w:tr w:rsidR="00C76F70" w:rsidRPr="000C5E12" w:rsidTr="00EB6AAB">
        <w:trPr>
          <w:cantSplit/>
        </w:trPr>
        <w:tc>
          <w:tcPr>
            <w:tcW w:w="5293" w:type="dxa"/>
          </w:tcPr>
          <w:p w:rsidR="00C76F70" w:rsidRPr="000C5E12" w:rsidRDefault="00C76F70" w:rsidP="00EB6AAB">
            <w:pPr>
              <w:wordWrap/>
            </w:pPr>
            <w:r w:rsidRPr="000C5E12">
              <w:t>Joint specification: pause duration</w:t>
            </w:r>
          </w:p>
        </w:tc>
        <w:tc>
          <w:tcPr>
            <w:tcW w:w="1073" w:type="dxa"/>
          </w:tcPr>
          <w:p w:rsidR="00C76F70" w:rsidRPr="000C5E12" w:rsidRDefault="00C76F70" w:rsidP="00EB6AAB">
            <w:pPr>
              <w:wordWrap/>
              <w:jc w:val="center"/>
            </w:pPr>
            <w:r w:rsidRPr="000C5E12">
              <w:t>0.03</w:t>
            </w:r>
            <w:r>
              <w:t>17</w:t>
            </w:r>
          </w:p>
        </w:tc>
        <w:tc>
          <w:tcPr>
            <w:tcW w:w="1843" w:type="dxa"/>
          </w:tcPr>
          <w:p w:rsidR="00C76F70" w:rsidRPr="00C76F70" w:rsidRDefault="00C76F70" w:rsidP="00EB6AAB">
            <w:pPr>
              <w:wordWrap/>
              <w:jc w:val="center"/>
              <w:rPr>
                <w:spacing w:val="-8"/>
              </w:rPr>
            </w:pPr>
            <w:r w:rsidRPr="00C76F70">
              <w:rPr>
                <w:spacing w:val="-8"/>
              </w:rPr>
              <w:t>[</w:t>
            </w:r>
            <w:r w:rsidRPr="00C76F70">
              <w:rPr>
                <w:rFonts w:ascii="바탕" w:eastAsia="바탕" w:hAnsi="바탕" w:cs="바탕" w:hint="eastAsia"/>
                <w:spacing w:val="-8"/>
              </w:rPr>
              <w:t>−</w:t>
            </w:r>
            <w:r w:rsidRPr="00C76F70">
              <w:rPr>
                <w:spacing w:val="-8"/>
              </w:rPr>
              <w:t>0.0228, 0.0895]</w:t>
            </w:r>
          </w:p>
        </w:tc>
        <w:tc>
          <w:tcPr>
            <w:tcW w:w="792" w:type="dxa"/>
          </w:tcPr>
          <w:p w:rsidR="00C76F70" w:rsidRDefault="00C76F70" w:rsidP="00EB6AAB">
            <w:pPr>
              <w:wordWrap/>
              <w:jc w:val="center"/>
            </w:pPr>
            <w:r w:rsidRPr="006C4C17">
              <w:t>301</w:t>
            </w:r>
          </w:p>
        </w:tc>
      </w:tr>
    </w:tbl>
    <w:p w:rsidR="000C5E12" w:rsidRDefault="000C5E12" w:rsidP="00EB6AAB">
      <w:pPr>
        <w:pStyle w:val="aff3"/>
        <w:wordWrap/>
        <w:spacing w:before="0"/>
        <w:rPr>
          <w:color w:val="7F7F7F" w:themeColor="text1" w:themeTint="80"/>
        </w:rPr>
      </w:pPr>
      <w:r w:rsidRPr="000C5E12">
        <w:rPr>
          <w:color w:val="7F7F7F" w:themeColor="text1" w:themeTint="80"/>
        </w:rPr>
        <w:t xml:space="preserve">Notes. </w:t>
      </w:r>
      <w:r w:rsidR="00C76F70" w:rsidRPr="00C76F70">
        <w:rPr>
          <w:color w:val="7F7F7F" w:themeColor="text1" w:themeTint="80"/>
        </w:rPr>
        <w:t>The residualised state removes size, industry, pre-deal employment growth, firm age, and seasonality, which jointly account for 63.9 percent of state variation. The earlier-state specification reconstructs the state-balanced design using months −36 through −25. Its untreated reference mean is 0.141; the excess is 0.127, the standardised distance is 0.92, and the corresponding empirical two-sided</w:t>
      </w:r>
      <w:r w:rsidRPr="000C5E12">
        <w:rPr>
          <w:color w:val="7F7F7F" w:themeColor="text1" w:themeTint="80"/>
        </w:rPr>
        <w:t xml:space="preserve"> </w:t>
      </w:r>
      <m:oMath>
        <m:r>
          <w:rPr>
            <w:rFonts w:ascii="Cambria Math" w:hAnsi="Cambria Math"/>
            <w:color w:val="7F7F7F" w:themeColor="text1" w:themeTint="80"/>
          </w:rPr>
          <m:t>p</m:t>
        </m:r>
      </m:oMath>
      <w:r w:rsidRPr="000C5E12">
        <w:rPr>
          <w:color w:val="7F7F7F" w:themeColor="text1" w:themeTint="80"/>
        </w:rPr>
        <w:t>-value</w:t>
      </w:r>
      <w:r w:rsidR="00C76F70">
        <w:rPr>
          <w:color w:val="7F7F7F" w:themeColor="text1" w:themeTint="80"/>
        </w:rPr>
        <w:t xml:space="preserve"> is 0.3638.</w:t>
      </w:r>
    </w:p>
    <w:p w:rsidR="000C5E12" w:rsidRPr="000C5E12" w:rsidRDefault="000C5E12" w:rsidP="00EB6AAB">
      <w:pPr>
        <w:pStyle w:val="aff3"/>
        <w:wordWrap/>
      </w:pPr>
      <w:r>
        <w:rPr>
          <w:rFonts w:eastAsia="Times New Roman"/>
        </w:rPr>
        <w:t>Controlling for pre-deal employment growth leaves a state coefficient of 0.410 [0.078, 0.753]. The historical no-entry share has an estimate of 0.559 [0.241, 0.885], whereas the length of the pause under way at closing has an estimate of 0.040 [−0.016, 0.107]. When the two pause measures enter jointly, their estimates are 0.536 and 0.032.</w:t>
      </w:r>
      <w:r>
        <w:t xml:space="preserve"> </w:t>
      </w:r>
      <w:r>
        <w:rPr>
          <w:rFonts w:eastAsia="Times New Roman"/>
        </w:rPr>
        <w:t xml:space="preserve">The state also overlaps with conventional firm characteristics. Size, </w:t>
      </w:r>
      <w:r>
        <w:rPr>
          <w:rFonts w:eastAsia="Times New Roman"/>
        </w:rPr>
        <w:lastRenderedPageBreak/>
        <w:t>industry, pre-deal employment growth, age, and seasonality explain 63.9 percent of its variance. After removing that component, the residualised-state estimate is 0.243 [−0.221, 0.723], too imprecise to isolate a relationship independent of those observables.</w:t>
      </w:r>
    </w:p>
    <w:p w:rsidR="000C5E12" w:rsidRPr="000C5E12" w:rsidRDefault="000C5E12" w:rsidP="00EB6AAB">
      <w:pPr>
        <w:pStyle w:val="aff3"/>
        <w:wordWrap/>
      </w:pPr>
      <w:r w:rsidRPr="000C5E12">
        <w:t xml:space="preserve">Moving the state further into the past also weakens the relationship. Using months </w:t>
      </w:r>
      <m:oMath>
        <m:r>
          <m:rPr>
            <m:sty m:val="p"/>
          </m:rPr>
          <w:rPr>
            <w:rFonts w:ascii="Cambria Math" w:hAnsi="Cambria Math"/>
          </w:rPr>
          <m:t>-</m:t>
        </m:r>
        <m:r>
          <w:rPr>
            <w:rFonts w:ascii="Cambria Math" w:hAnsi="Cambria Math"/>
          </w:rPr>
          <m:t>36</m:t>
        </m:r>
      </m:oMath>
      <w:r w:rsidRPr="000C5E12">
        <w:t xml:space="preserve"> through </w:t>
      </w:r>
      <m:oMath>
        <m:r>
          <m:rPr>
            <m:sty m:val="p"/>
          </m:rPr>
          <w:rPr>
            <w:rFonts w:ascii="Cambria Math" w:hAnsi="Cambria Math"/>
          </w:rPr>
          <m:t>-</m:t>
        </m:r>
        <m:r>
          <w:rPr>
            <w:rFonts w:ascii="Cambria Math" w:hAnsi="Cambria Math"/>
          </w:rPr>
          <m:t>25</m:t>
        </m:r>
      </m:oMath>
      <w:r w:rsidRPr="000C5E12">
        <w:t xml:space="preserve"> produces a gradient of 0.268 against an untreated reference mean of 0.141, giving a standardised distance of 0.92. The result is less pronounced than for the primary recent state. Combined with the pause comparison, this pattern is more consistent with the state summarising a relatively recent hiring condition than a time-invariant firm type.</w:t>
      </w:r>
    </w:p>
    <w:p w:rsidR="000C5E12" w:rsidRPr="000C5E12" w:rsidRDefault="000C5E12" w:rsidP="00EB6AAB">
      <w:pPr>
        <w:pStyle w:val="3"/>
      </w:pPr>
      <w:r w:rsidRPr="000C5E12">
        <w:t>B.3 Outcome transformations and winsorisation</w:t>
      </w:r>
    </w:p>
    <w:p w:rsidR="000C5E12" w:rsidRPr="000C5E12" w:rsidRDefault="000C5E12" w:rsidP="00EB6AAB">
      <w:pPr>
        <w:pStyle w:val="aff3"/>
        <w:wordWrap/>
      </w:pPr>
      <w:r>
        <w:rPr>
          <w:rFonts w:eastAsia="Times New Roman"/>
        </w:rPr>
        <w:t>The primary outcome is the change in the log hiring rate and therefore requires positive entries in both twelve-month windows. Table B3 varies the tail treatment and transformation; each Panel A estimate is compared with an untreated distribution built under the same rule.</w:t>
      </w:r>
    </w:p>
    <w:p w:rsidR="000C5E12" w:rsidRPr="000C5E12" w:rsidRDefault="000C5E12" w:rsidP="00EB6AAB">
      <w:pPr>
        <w:pStyle w:val="aff3"/>
        <w:wordWrap/>
        <w:spacing w:after="120"/>
      </w:pPr>
      <w:r w:rsidRPr="000C5E12">
        <w:rPr>
          <w:b/>
        </w:rPr>
        <w:t>Table B3. Alternative outcome transformations and count-model check</w:t>
      </w:r>
    </w:p>
    <w:p w:rsidR="000C5E12" w:rsidRPr="000C5E12" w:rsidRDefault="000C5E12" w:rsidP="00EB6AAB">
      <w:pPr>
        <w:pStyle w:val="aff3"/>
        <w:wordWrap/>
        <w:spacing w:after="120"/>
        <w:rPr>
          <w:b/>
        </w:rPr>
      </w:pPr>
      <w:r w:rsidRPr="000C5E12">
        <w:rPr>
          <w:b/>
        </w:rPr>
        <w:t>Panel A. Outcome transformation and winsorisation</w:t>
      </w:r>
    </w:p>
    <w:tbl>
      <w:tblPr>
        <w:tblW w:w="547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539"/>
        <w:gridCol w:w="994"/>
        <w:gridCol w:w="1705"/>
        <w:gridCol w:w="1421"/>
        <w:gridCol w:w="1362"/>
        <w:gridCol w:w="852"/>
      </w:tblGrid>
      <w:tr w:rsidR="00C76F70" w:rsidRPr="000C5E12" w:rsidTr="00B474F8">
        <w:trPr>
          <w:cantSplit/>
          <w:tblHeader/>
        </w:trPr>
        <w:tc>
          <w:tcPr>
            <w:tcW w:w="3531" w:type="dxa"/>
            <w:vAlign w:val="center"/>
          </w:tcPr>
          <w:p w:rsidR="00C76F70" w:rsidRPr="0020632F" w:rsidRDefault="00C76F70" w:rsidP="00EB6AAB">
            <w:pPr>
              <w:wordWrap/>
              <w:snapToGrid w:val="0"/>
              <w:rPr>
                <w:b/>
                <w:spacing w:val="-4"/>
              </w:rPr>
            </w:pPr>
            <w:r w:rsidRPr="0020632F">
              <w:rPr>
                <w:b/>
                <w:spacing w:val="-4"/>
                <w:sz w:val="20"/>
              </w:rPr>
              <w:t>Specification</w:t>
            </w:r>
          </w:p>
        </w:tc>
        <w:tc>
          <w:tcPr>
            <w:tcW w:w="992" w:type="dxa"/>
            <w:vAlign w:val="center"/>
          </w:tcPr>
          <w:p w:rsidR="00C76F70" w:rsidRPr="0020632F" w:rsidRDefault="00C76F70" w:rsidP="00B474F8">
            <w:pPr>
              <w:wordWrap/>
              <w:snapToGrid w:val="0"/>
              <w:jc w:val="center"/>
              <w:rPr>
                <w:b/>
                <w:spacing w:val="-4"/>
              </w:rPr>
            </w:pPr>
            <w:r w:rsidRPr="0020632F">
              <w:rPr>
                <w:b/>
                <w:spacing w:val="-4"/>
                <w:sz w:val="20"/>
              </w:rPr>
              <w:t>Grad.</w:t>
            </w:r>
          </w:p>
        </w:tc>
        <w:tc>
          <w:tcPr>
            <w:tcW w:w="1701" w:type="dxa"/>
            <w:vAlign w:val="center"/>
          </w:tcPr>
          <w:p w:rsidR="00C76F70" w:rsidRPr="0020632F" w:rsidRDefault="00C76F70" w:rsidP="00B474F8">
            <w:pPr>
              <w:wordWrap/>
              <w:snapToGrid w:val="0"/>
              <w:jc w:val="center"/>
              <w:rPr>
                <w:b/>
                <w:spacing w:val="-4"/>
              </w:rPr>
            </w:pPr>
            <w:r w:rsidRPr="0020632F">
              <w:rPr>
                <w:b/>
                <w:spacing w:val="-4"/>
                <w:sz w:val="20"/>
              </w:rPr>
              <w:t>Untreated reference mean (SD)</w:t>
            </w:r>
          </w:p>
        </w:tc>
        <w:tc>
          <w:tcPr>
            <w:tcW w:w="1418" w:type="dxa"/>
            <w:vAlign w:val="center"/>
          </w:tcPr>
          <w:p w:rsidR="00C76F70" w:rsidRPr="0020632F" w:rsidRDefault="00C76F70" w:rsidP="00B474F8">
            <w:pPr>
              <w:wordWrap/>
              <w:snapToGrid w:val="0"/>
              <w:jc w:val="center"/>
              <w:rPr>
                <w:b/>
                <w:spacing w:val="-4"/>
              </w:rPr>
            </w:pPr>
            <w:r w:rsidRPr="0020632F">
              <w:rPr>
                <w:b/>
                <w:spacing w:val="-4"/>
                <w:sz w:val="20"/>
              </w:rPr>
              <w:t>Std. distance</w:t>
            </w:r>
          </w:p>
        </w:tc>
        <w:tc>
          <w:tcPr>
            <w:tcW w:w="1359" w:type="dxa"/>
            <w:vAlign w:val="center"/>
          </w:tcPr>
          <w:p w:rsidR="00C76F70" w:rsidRPr="0020632F" w:rsidRDefault="00C76F70" w:rsidP="00B474F8">
            <w:pPr>
              <w:wordWrap/>
              <w:snapToGrid w:val="0"/>
              <w:jc w:val="center"/>
              <w:rPr>
                <w:b/>
                <w:spacing w:val="-4"/>
              </w:rPr>
            </w:pPr>
            <w:r w:rsidRPr="0020632F">
              <w:rPr>
                <w:b/>
                <w:spacing w:val="-4"/>
                <w:sz w:val="20"/>
              </w:rPr>
              <w:t xml:space="preserve">Empirical two-sided </w:t>
            </w:r>
            <m:oMath>
              <m:r>
                <m:rPr>
                  <m:sty m:val="bi"/>
                </m:rPr>
                <w:rPr>
                  <w:rFonts w:ascii="Cambria Math" w:hAnsi="Cambria Math"/>
                  <w:spacing w:val="-4"/>
                </w:rPr>
                <m:t>p</m:t>
              </m:r>
            </m:oMath>
          </w:p>
        </w:tc>
        <w:tc>
          <w:tcPr>
            <w:tcW w:w="850" w:type="dxa"/>
            <w:vAlign w:val="center"/>
          </w:tcPr>
          <w:p w:rsidR="00C76F70" w:rsidRPr="0020632F" w:rsidRDefault="00C76F70" w:rsidP="00B474F8">
            <w:pPr>
              <w:wordWrap/>
              <w:snapToGrid w:val="0"/>
              <w:jc w:val="center"/>
              <w:rPr>
                <w:b/>
                <w:spacing w:val="-4"/>
              </w:rPr>
            </w:pPr>
            <w:r>
              <w:rPr>
                <w:rFonts w:hint="eastAsia"/>
                <w:b/>
                <w:spacing w:val="-4"/>
                <w:sz w:val="20"/>
              </w:rPr>
              <w:t>E</w:t>
            </w:r>
            <w:r>
              <w:rPr>
                <w:b/>
                <w:spacing w:val="-4"/>
                <w:sz w:val="20"/>
              </w:rPr>
              <w:t>vents</w:t>
            </w:r>
          </w:p>
        </w:tc>
      </w:tr>
      <w:tr w:rsidR="00C76F70" w:rsidRPr="000C5E12" w:rsidTr="00B474F8">
        <w:trPr>
          <w:cantSplit/>
        </w:trPr>
        <w:tc>
          <w:tcPr>
            <w:tcW w:w="3531" w:type="dxa"/>
          </w:tcPr>
          <w:p w:rsidR="00C76F70" w:rsidRPr="000C5E12" w:rsidRDefault="00C76F70" w:rsidP="00EB6AAB">
            <w:pPr>
              <w:wordWrap/>
            </w:pPr>
            <w:r w:rsidRPr="000C5E12">
              <w:t>Winsorised 5/95, primary</w:t>
            </w:r>
          </w:p>
        </w:tc>
        <w:tc>
          <w:tcPr>
            <w:tcW w:w="992" w:type="dxa"/>
            <w:vAlign w:val="center"/>
          </w:tcPr>
          <w:p w:rsidR="00C76F70" w:rsidRPr="000C5E12" w:rsidRDefault="00C76F70" w:rsidP="00B474F8">
            <w:pPr>
              <w:wordWrap/>
              <w:jc w:val="center"/>
            </w:pPr>
            <w:r w:rsidRPr="000C5E12">
              <w:t>0.710</w:t>
            </w:r>
            <w:r>
              <w:t>1</w:t>
            </w:r>
          </w:p>
        </w:tc>
        <w:tc>
          <w:tcPr>
            <w:tcW w:w="1701" w:type="dxa"/>
            <w:vAlign w:val="center"/>
          </w:tcPr>
          <w:p w:rsidR="00C76F70" w:rsidRPr="000C5E12" w:rsidRDefault="00C76F70" w:rsidP="00B474F8">
            <w:pPr>
              <w:wordWrap/>
              <w:jc w:val="center"/>
            </w:pPr>
            <w:r w:rsidRPr="000C5E12">
              <w:t>0.101</w:t>
            </w:r>
            <w:r>
              <w:t>0</w:t>
            </w:r>
            <w:r w:rsidRPr="000C5E12">
              <w:t xml:space="preserve"> (0.15</w:t>
            </w:r>
            <w:r>
              <w:t>38</w:t>
            </w:r>
            <w:r w:rsidRPr="000C5E12">
              <w:t>)</w:t>
            </w:r>
          </w:p>
        </w:tc>
        <w:tc>
          <w:tcPr>
            <w:tcW w:w="1418" w:type="dxa"/>
            <w:vAlign w:val="center"/>
          </w:tcPr>
          <w:p w:rsidR="00C76F70" w:rsidRPr="000C5E12" w:rsidRDefault="00C76F70" w:rsidP="00B474F8">
            <w:pPr>
              <w:wordWrap/>
              <w:jc w:val="center"/>
            </w:pPr>
            <w:r w:rsidRPr="000C5E12">
              <w:t>3.96</w:t>
            </w:r>
          </w:p>
        </w:tc>
        <w:tc>
          <w:tcPr>
            <w:tcW w:w="1359" w:type="dxa"/>
            <w:vAlign w:val="center"/>
          </w:tcPr>
          <w:p w:rsidR="00C76F70" w:rsidRPr="000C5E12" w:rsidRDefault="00C76F70" w:rsidP="00B474F8">
            <w:pPr>
              <w:wordWrap/>
              <w:jc w:val="center"/>
            </w:pPr>
            <w:r w:rsidRPr="000C5E12">
              <w:t>0.0005</w:t>
            </w:r>
          </w:p>
        </w:tc>
        <w:tc>
          <w:tcPr>
            <w:tcW w:w="850" w:type="dxa"/>
            <w:vAlign w:val="center"/>
          </w:tcPr>
          <w:p w:rsidR="00C76F70" w:rsidRPr="000C5E12" w:rsidRDefault="00C76F70" w:rsidP="00B474F8">
            <w:pPr>
              <w:wordWrap/>
              <w:jc w:val="center"/>
            </w:pPr>
            <w:r>
              <w:rPr>
                <w:rFonts w:hint="eastAsia"/>
              </w:rPr>
              <w:t>2</w:t>
            </w:r>
            <w:r>
              <w:t>86</w:t>
            </w:r>
          </w:p>
        </w:tc>
      </w:tr>
      <w:tr w:rsidR="00C76F70" w:rsidRPr="000C5E12" w:rsidTr="00B474F8">
        <w:trPr>
          <w:cantSplit/>
        </w:trPr>
        <w:tc>
          <w:tcPr>
            <w:tcW w:w="3531" w:type="dxa"/>
          </w:tcPr>
          <w:p w:rsidR="00C76F70" w:rsidRPr="000C5E12" w:rsidRDefault="00C76F70" w:rsidP="00EB6AAB">
            <w:pPr>
              <w:wordWrap/>
            </w:pPr>
            <w:r w:rsidRPr="000C5E12">
              <w:t>Unwinsorised</w:t>
            </w:r>
          </w:p>
        </w:tc>
        <w:tc>
          <w:tcPr>
            <w:tcW w:w="992" w:type="dxa"/>
            <w:vAlign w:val="center"/>
          </w:tcPr>
          <w:p w:rsidR="00C76F70" w:rsidRPr="000C5E12" w:rsidRDefault="00C76F70" w:rsidP="00B474F8">
            <w:pPr>
              <w:wordWrap/>
              <w:jc w:val="center"/>
            </w:pPr>
            <w:r w:rsidRPr="000C5E12">
              <w:t>0.837</w:t>
            </w:r>
            <w:r>
              <w:t>0</w:t>
            </w:r>
          </w:p>
        </w:tc>
        <w:tc>
          <w:tcPr>
            <w:tcW w:w="1701" w:type="dxa"/>
            <w:vAlign w:val="center"/>
          </w:tcPr>
          <w:p w:rsidR="00C76F70" w:rsidRPr="000C5E12" w:rsidRDefault="00C76F70" w:rsidP="00B474F8">
            <w:pPr>
              <w:wordWrap/>
              <w:jc w:val="center"/>
            </w:pPr>
            <w:r w:rsidRPr="000C5E12">
              <w:t>0.12</w:t>
            </w:r>
            <w:r>
              <w:t>16</w:t>
            </w:r>
            <w:r w:rsidRPr="000C5E12">
              <w:t xml:space="preserve"> (0.18</w:t>
            </w:r>
            <w:r>
              <w:t>08</w:t>
            </w:r>
            <w:r w:rsidRPr="000C5E12">
              <w:t>)</w:t>
            </w:r>
          </w:p>
        </w:tc>
        <w:tc>
          <w:tcPr>
            <w:tcW w:w="1418" w:type="dxa"/>
            <w:vAlign w:val="center"/>
          </w:tcPr>
          <w:p w:rsidR="00C76F70" w:rsidRPr="000C5E12" w:rsidRDefault="00C76F70" w:rsidP="00B474F8">
            <w:pPr>
              <w:wordWrap/>
              <w:jc w:val="center"/>
            </w:pPr>
            <w:r w:rsidRPr="000C5E12">
              <w:t>3.96</w:t>
            </w:r>
          </w:p>
        </w:tc>
        <w:tc>
          <w:tcPr>
            <w:tcW w:w="1359" w:type="dxa"/>
            <w:vAlign w:val="center"/>
          </w:tcPr>
          <w:p w:rsidR="00C76F70" w:rsidRPr="000C5E12" w:rsidRDefault="00C76F70" w:rsidP="00B474F8">
            <w:pPr>
              <w:wordWrap/>
              <w:jc w:val="center"/>
            </w:pPr>
            <w:r w:rsidRPr="000C5E12">
              <w:t>0.0005</w:t>
            </w:r>
          </w:p>
        </w:tc>
        <w:tc>
          <w:tcPr>
            <w:tcW w:w="850" w:type="dxa"/>
            <w:vAlign w:val="center"/>
          </w:tcPr>
          <w:p w:rsidR="00C76F70" w:rsidRPr="000C5E12" w:rsidRDefault="00C76F70" w:rsidP="00B474F8">
            <w:pPr>
              <w:wordWrap/>
              <w:jc w:val="center"/>
            </w:pPr>
            <w:r>
              <w:rPr>
                <w:rFonts w:hint="eastAsia"/>
              </w:rPr>
              <w:t>2</w:t>
            </w:r>
            <w:r>
              <w:t>86</w:t>
            </w:r>
          </w:p>
        </w:tc>
      </w:tr>
      <w:tr w:rsidR="00C76F70" w:rsidRPr="000C5E12" w:rsidTr="00B474F8">
        <w:trPr>
          <w:cantSplit/>
        </w:trPr>
        <w:tc>
          <w:tcPr>
            <w:tcW w:w="3531" w:type="dxa"/>
          </w:tcPr>
          <w:p w:rsidR="00C76F70" w:rsidRPr="000C5E12" w:rsidRDefault="00C76F70" w:rsidP="00EB6AAB">
            <w:pPr>
              <w:wordWrap/>
            </w:pPr>
            <w:r w:rsidRPr="000C5E12">
              <w:t>Winsorised 1/99</w:t>
            </w:r>
          </w:p>
        </w:tc>
        <w:tc>
          <w:tcPr>
            <w:tcW w:w="992" w:type="dxa"/>
            <w:vAlign w:val="center"/>
          </w:tcPr>
          <w:p w:rsidR="00C76F70" w:rsidRPr="000C5E12" w:rsidRDefault="00C76F70" w:rsidP="00B474F8">
            <w:pPr>
              <w:wordWrap/>
              <w:jc w:val="center"/>
            </w:pPr>
            <w:r>
              <w:t>0.8157</w:t>
            </w:r>
          </w:p>
        </w:tc>
        <w:tc>
          <w:tcPr>
            <w:tcW w:w="1701" w:type="dxa"/>
            <w:vAlign w:val="center"/>
          </w:tcPr>
          <w:p w:rsidR="00C76F70" w:rsidRPr="000C5E12" w:rsidRDefault="00C76F70" w:rsidP="00B474F8">
            <w:pPr>
              <w:wordWrap/>
              <w:jc w:val="center"/>
            </w:pPr>
            <w:r w:rsidRPr="000C5E12">
              <w:t>0.114</w:t>
            </w:r>
            <w:r>
              <w:t>1</w:t>
            </w:r>
            <w:r w:rsidRPr="000C5E12">
              <w:t xml:space="preserve"> (0.17</w:t>
            </w:r>
            <w:r>
              <w:t>12</w:t>
            </w:r>
            <w:r w:rsidRPr="000C5E12">
              <w:t>)</w:t>
            </w:r>
          </w:p>
        </w:tc>
        <w:tc>
          <w:tcPr>
            <w:tcW w:w="1418" w:type="dxa"/>
            <w:vAlign w:val="center"/>
          </w:tcPr>
          <w:p w:rsidR="00C76F70" w:rsidRPr="000C5E12" w:rsidRDefault="00C76F70" w:rsidP="00B474F8">
            <w:pPr>
              <w:wordWrap/>
              <w:jc w:val="center"/>
            </w:pPr>
            <w:r w:rsidRPr="000C5E12">
              <w:t>4.10</w:t>
            </w:r>
          </w:p>
        </w:tc>
        <w:tc>
          <w:tcPr>
            <w:tcW w:w="1359" w:type="dxa"/>
            <w:vAlign w:val="center"/>
          </w:tcPr>
          <w:p w:rsidR="00C76F70" w:rsidRPr="000C5E12" w:rsidRDefault="00C76F70" w:rsidP="00B474F8">
            <w:pPr>
              <w:wordWrap/>
              <w:jc w:val="center"/>
            </w:pPr>
            <w:r w:rsidRPr="000C5E12">
              <w:t>0.00</w:t>
            </w:r>
            <w:r>
              <w:t>10</w:t>
            </w:r>
          </w:p>
        </w:tc>
        <w:tc>
          <w:tcPr>
            <w:tcW w:w="850" w:type="dxa"/>
            <w:vAlign w:val="center"/>
          </w:tcPr>
          <w:p w:rsidR="00C76F70" w:rsidRPr="000C5E12" w:rsidRDefault="00C76F70" w:rsidP="00B474F8">
            <w:pPr>
              <w:wordWrap/>
              <w:jc w:val="center"/>
            </w:pPr>
            <w:r>
              <w:rPr>
                <w:rFonts w:hint="eastAsia"/>
              </w:rPr>
              <w:t>2</w:t>
            </w:r>
            <w:r>
              <w:t>86</w:t>
            </w:r>
          </w:p>
        </w:tc>
      </w:tr>
      <w:tr w:rsidR="00C76F70" w:rsidRPr="000C5E12" w:rsidTr="00B474F8">
        <w:trPr>
          <w:cantSplit/>
        </w:trPr>
        <w:tc>
          <w:tcPr>
            <w:tcW w:w="3531" w:type="dxa"/>
          </w:tcPr>
          <w:p w:rsidR="00C76F70" w:rsidRPr="000C5E12" w:rsidRDefault="00C76F70" w:rsidP="00EB6AAB">
            <w:pPr>
              <w:wordWrap/>
            </w:pPr>
            <w:r w:rsidRPr="000C5E12">
              <w:t>Winsorised 10/90</w:t>
            </w:r>
          </w:p>
        </w:tc>
        <w:tc>
          <w:tcPr>
            <w:tcW w:w="992" w:type="dxa"/>
            <w:vAlign w:val="center"/>
          </w:tcPr>
          <w:p w:rsidR="00C76F70" w:rsidRPr="000C5E12" w:rsidRDefault="00C76F70" w:rsidP="00B474F8">
            <w:pPr>
              <w:wordWrap/>
              <w:jc w:val="center"/>
            </w:pPr>
            <w:r w:rsidRPr="000C5E12">
              <w:t>0.63</w:t>
            </w:r>
            <w:r>
              <w:t>39</w:t>
            </w:r>
          </w:p>
        </w:tc>
        <w:tc>
          <w:tcPr>
            <w:tcW w:w="1701" w:type="dxa"/>
            <w:vAlign w:val="center"/>
          </w:tcPr>
          <w:p w:rsidR="00C76F70" w:rsidRPr="000C5E12" w:rsidRDefault="00C76F70" w:rsidP="00B474F8">
            <w:pPr>
              <w:wordWrap/>
              <w:jc w:val="center"/>
            </w:pPr>
            <w:r w:rsidRPr="000C5E12">
              <w:t>0.09</w:t>
            </w:r>
            <w:r>
              <w:t>59</w:t>
            </w:r>
            <w:r w:rsidRPr="000C5E12">
              <w:t xml:space="preserve"> (0.13</w:t>
            </w:r>
            <w:r>
              <w:t>59</w:t>
            </w:r>
            <w:r w:rsidRPr="000C5E12">
              <w:t>)</w:t>
            </w:r>
          </w:p>
        </w:tc>
        <w:tc>
          <w:tcPr>
            <w:tcW w:w="1418" w:type="dxa"/>
            <w:vAlign w:val="center"/>
          </w:tcPr>
          <w:p w:rsidR="00C76F70" w:rsidRPr="000C5E12" w:rsidRDefault="00C76F70" w:rsidP="00B474F8">
            <w:pPr>
              <w:wordWrap/>
              <w:jc w:val="center"/>
            </w:pPr>
            <w:r w:rsidRPr="000C5E12">
              <w:t>3.96</w:t>
            </w:r>
          </w:p>
        </w:tc>
        <w:tc>
          <w:tcPr>
            <w:tcW w:w="1359" w:type="dxa"/>
            <w:vAlign w:val="center"/>
          </w:tcPr>
          <w:p w:rsidR="00C76F70" w:rsidRPr="000C5E12" w:rsidRDefault="00C76F70" w:rsidP="00B474F8">
            <w:pPr>
              <w:wordWrap/>
              <w:jc w:val="center"/>
            </w:pPr>
            <w:r w:rsidRPr="000C5E12">
              <w:t>0.0005</w:t>
            </w:r>
          </w:p>
        </w:tc>
        <w:tc>
          <w:tcPr>
            <w:tcW w:w="850" w:type="dxa"/>
            <w:vAlign w:val="center"/>
          </w:tcPr>
          <w:p w:rsidR="00C76F70" w:rsidRPr="000C5E12" w:rsidRDefault="00C76F70" w:rsidP="00B474F8">
            <w:pPr>
              <w:wordWrap/>
              <w:jc w:val="center"/>
            </w:pPr>
            <w:r>
              <w:rPr>
                <w:rFonts w:hint="eastAsia"/>
              </w:rPr>
              <w:t>2</w:t>
            </w:r>
            <w:r>
              <w:t>86</w:t>
            </w:r>
          </w:p>
        </w:tc>
      </w:tr>
      <w:tr w:rsidR="00C76F70" w:rsidRPr="000C5E12" w:rsidTr="00B474F8">
        <w:trPr>
          <w:cantSplit/>
        </w:trPr>
        <w:tc>
          <w:tcPr>
            <w:tcW w:w="3531" w:type="dxa"/>
          </w:tcPr>
          <w:p w:rsidR="00C76F70" w:rsidRPr="000C5E12" w:rsidRDefault="00C76F70" w:rsidP="00EB6AAB">
            <w:pPr>
              <w:wordWrap/>
            </w:pPr>
            <w:r w:rsidRPr="000C5E12">
              <w:t>Inverse hyperbolic sine of hiring rate</w:t>
            </w:r>
          </w:p>
        </w:tc>
        <w:tc>
          <w:tcPr>
            <w:tcW w:w="992" w:type="dxa"/>
            <w:vAlign w:val="center"/>
          </w:tcPr>
          <w:p w:rsidR="00C76F70" w:rsidRPr="000C5E12" w:rsidRDefault="00C76F70" w:rsidP="00B474F8">
            <w:pPr>
              <w:wordWrap/>
              <w:jc w:val="center"/>
            </w:pPr>
            <w:r w:rsidRPr="000C5E12">
              <w:t>0.206</w:t>
            </w:r>
            <w:r>
              <w:t>2</w:t>
            </w:r>
          </w:p>
        </w:tc>
        <w:tc>
          <w:tcPr>
            <w:tcW w:w="1701" w:type="dxa"/>
            <w:vAlign w:val="center"/>
          </w:tcPr>
          <w:p w:rsidR="00C76F70" w:rsidRPr="000C5E12" w:rsidRDefault="00C76F70" w:rsidP="00B474F8">
            <w:pPr>
              <w:wordWrap/>
              <w:jc w:val="center"/>
            </w:pPr>
            <w:r w:rsidRPr="000C5E12">
              <w:t>0.02</w:t>
            </w:r>
            <w:r>
              <w:t>59</w:t>
            </w:r>
            <w:r w:rsidRPr="000C5E12">
              <w:t xml:space="preserve"> (0.05</w:t>
            </w:r>
            <w:r>
              <w:t>86</w:t>
            </w:r>
            <w:r w:rsidRPr="000C5E12">
              <w:t>)</w:t>
            </w:r>
          </w:p>
        </w:tc>
        <w:tc>
          <w:tcPr>
            <w:tcW w:w="1418" w:type="dxa"/>
            <w:vAlign w:val="center"/>
          </w:tcPr>
          <w:p w:rsidR="00C76F70" w:rsidRPr="000C5E12" w:rsidRDefault="00C76F70" w:rsidP="00B474F8">
            <w:pPr>
              <w:wordWrap/>
              <w:jc w:val="center"/>
            </w:pPr>
            <w:r w:rsidRPr="000C5E12">
              <w:t>3.08</w:t>
            </w:r>
          </w:p>
        </w:tc>
        <w:tc>
          <w:tcPr>
            <w:tcW w:w="1359" w:type="dxa"/>
            <w:vAlign w:val="center"/>
          </w:tcPr>
          <w:p w:rsidR="00C76F70" w:rsidRPr="000C5E12" w:rsidRDefault="00C76F70" w:rsidP="00B474F8">
            <w:pPr>
              <w:wordWrap/>
              <w:jc w:val="center"/>
            </w:pPr>
            <w:r w:rsidRPr="000C5E12">
              <w:t>0.00</w:t>
            </w:r>
            <w:r>
              <w:t>15</w:t>
            </w:r>
          </w:p>
        </w:tc>
        <w:tc>
          <w:tcPr>
            <w:tcW w:w="850" w:type="dxa"/>
            <w:vAlign w:val="center"/>
          </w:tcPr>
          <w:p w:rsidR="00C76F70" w:rsidRPr="000C5E12" w:rsidRDefault="00C76F70" w:rsidP="00B474F8">
            <w:pPr>
              <w:wordWrap/>
              <w:jc w:val="center"/>
            </w:pPr>
            <w:r>
              <w:rPr>
                <w:rFonts w:hint="eastAsia"/>
              </w:rPr>
              <w:t>2</w:t>
            </w:r>
            <w:r>
              <w:t>89</w:t>
            </w:r>
          </w:p>
        </w:tc>
      </w:tr>
      <w:tr w:rsidR="00C76F70" w:rsidRPr="000C5E12" w:rsidTr="00B474F8">
        <w:trPr>
          <w:cantSplit/>
        </w:trPr>
        <w:tc>
          <w:tcPr>
            <w:tcW w:w="3531" w:type="dxa"/>
          </w:tcPr>
          <w:p w:rsidR="00C76F70" w:rsidRPr="000C5E12" w:rsidRDefault="00C76F70" w:rsidP="00EB6AAB">
            <w:pPr>
              <w:wordWrap/>
            </w:pPr>
            <m:oMath>
              <m:r>
                <m:rPr>
                  <m:sty m:val="p"/>
                </m:rPr>
                <w:rPr>
                  <w:rFonts w:ascii="Cambria Math" w:hAnsi="Cambria Math"/>
                </w:rPr>
                <m:t>log(</m:t>
              </m:r>
              <m:r>
                <w:rPr>
                  <w:rFonts w:ascii="Cambria Math" w:hAnsi="Cambria Math"/>
                </w:rPr>
                <m:t>1</m:t>
              </m:r>
              <m:r>
                <m:rPr>
                  <m:sty m:val="p"/>
                </m:rPr>
                <w:rPr>
                  <w:rFonts w:ascii="Cambria Math" w:hAnsi="Cambria Math"/>
                </w:rPr>
                <m:t>+</m:t>
              </m:r>
              <m:r>
                <m:rPr>
                  <m:nor/>
                </m:rPr>
                <m:t>hiring rate</m:t>
              </m:r>
              <m:r>
                <m:rPr>
                  <m:sty m:val="p"/>
                </m:rPr>
                <w:rPr>
                  <w:rFonts w:ascii="Cambria Math" w:hAnsi="Cambria Math"/>
                </w:rPr>
                <m:t>)</m:t>
              </m:r>
            </m:oMath>
            <w:r w:rsidRPr="000C5E12">
              <w:t>​</w:t>
            </w:r>
          </w:p>
        </w:tc>
        <w:tc>
          <w:tcPr>
            <w:tcW w:w="992" w:type="dxa"/>
            <w:vAlign w:val="center"/>
          </w:tcPr>
          <w:p w:rsidR="00C76F70" w:rsidRPr="000C5E12" w:rsidRDefault="00C76F70" w:rsidP="00B474F8">
            <w:pPr>
              <w:wordWrap/>
              <w:jc w:val="center"/>
            </w:pPr>
            <w:r w:rsidRPr="000C5E12">
              <w:t>0.162</w:t>
            </w:r>
            <w:r>
              <w:t>3</w:t>
            </w:r>
          </w:p>
        </w:tc>
        <w:tc>
          <w:tcPr>
            <w:tcW w:w="1701" w:type="dxa"/>
            <w:vAlign w:val="center"/>
          </w:tcPr>
          <w:p w:rsidR="00C76F70" w:rsidRPr="000C5E12" w:rsidRDefault="00C76F70" w:rsidP="00B474F8">
            <w:pPr>
              <w:wordWrap/>
              <w:jc w:val="center"/>
            </w:pPr>
            <w:r w:rsidRPr="000C5E12">
              <w:t>0.01</w:t>
            </w:r>
            <w:r>
              <w:t>67</w:t>
            </w:r>
            <w:r w:rsidRPr="000C5E12">
              <w:t xml:space="preserve"> (0.04</w:t>
            </w:r>
            <w:r>
              <w:t>49</w:t>
            </w:r>
            <w:r w:rsidRPr="000C5E12">
              <w:t>)</w:t>
            </w:r>
          </w:p>
        </w:tc>
        <w:tc>
          <w:tcPr>
            <w:tcW w:w="1418" w:type="dxa"/>
            <w:vAlign w:val="center"/>
          </w:tcPr>
          <w:p w:rsidR="00C76F70" w:rsidRPr="000C5E12" w:rsidRDefault="00C76F70" w:rsidP="00B474F8">
            <w:pPr>
              <w:wordWrap/>
              <w:jc w:val="center"/>
            </w:pPr>
            <w:r w:rsidRPr="000C5E12">
              <w:t>3.24</w:t>
            </w:r>
          </w:p>
        </w:tc>
        <w:tc>
          <w:tcPr>
            <w:tcW w:w="1359" w:type="dxa"/>
            <w:vAlign w:val="center"/>
          </w:tcPr>
          <w:p w:rsidR="00C76F70" w:rsidRPr="000C5E12" w:rsidRDefault="00C76F70" w:rsidP="00B474F8">
            <w:pPr>
              <w:wordWrap/>
              <w:jc w:val="center"/>
            </w:pPr>
            <w:r w:rsidRPr="000C5E12">
              <w:t>0.00</w:t>
            </w:r>
            <w:r>
              <w:t>20</w:t>
            </w:r>
          </w:p>
        </w:tc>
        <w:tc>
          <w:tcPr>
            <w:tcW w:w="850" w:type="dxa"/>
            <w:vAlign w:val="center"/>
          </w:tcPr>
          <w:p w:rsidR="00C76F70" w:rsidRPr="000C5E12" w:rsidRDefault="00C76F70" w:rsidP="00B474F8">
            <w:pPr>
              <w:wordWrap/>
              <w:jc w:val="center"/>
            </w:pPr>
            <w:r>
              <w:rPr>
                <w:rFonts w:hint="eastAsia"/>
              </w:rPr>
              <w:t>2</w:t>
            </w:r>
            <w:r>
              <w:t>89</w:t>
            </w:r>
          </w:p>
        </w:tc>
      </w:tr>
    </w:tbl>
    <w:p w:rsidR="000C5E12" w:rsidRPr="000C5E12" w:rsidRDefault="000C5E12" w:rsidP="00EB6AAB">
      <w:pPr>
        <w:wordWrap/>
        <w:spacing w:before="240"/>
      </w:pPr>
      <w:r w:rsidRPr="000C5E12">
        <w:rPr>
          <w:b/>
          <w:bCs/>
        </w:rPr>
        <w:t>Panel B. Count-model check</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528"/>
        <w:gridCol w:w="1420"/>
        <w:gridCol w:w="2073"/>
      </w:tblGrid>
      <w:tr w:rsidR="000C5E12" w:rsidRPr="000C5E12" w:rsidTr="00EB6AAB">
        <w:trPr>
          <w:cantSplit/>
          <w:tblHeader/>
        </w:trPr>
        <w:tc>
          <w:tcPr>
            <w:tcW w:w="5516" w:type="dxa"/>
            <w:vAlign w:val="center"/>
          </w:tcPr>
          <w:p w:rsidR="000C5E12" w:rsidRPr="000C5E12" w:rsidRDefault="000C5E12" w:rsidP="00EB6AAB">
            <w:pPr>
              <w:wordWrap/>
            </w:pPr>
            <w:r w:rsidRPr="000C5E12">
              <w:t>Specification</w:t>
            </w:r>
          </w:p>
        </w:tc>
        <w:tc>
          <w:tcPr>
            <w:tcW w:w="1417" w:type="dxa"/>
            <w:vAlign w:val="center"/>
          </w:tcPr>
          <w:p w:rsidR="000C5E12" w:rsidRPr="000C5E12" w:rsidRDefault="000C5E12" w:rsidP="00EB6AAB">
            <w:pPr>
              <w:wordWrap/>
            </w:pPr>
            <w:r w:rsidRPr="000C5E12">
              <w:t>Coefficient</w:t>
            </w:r>
          </w:p>
        </w:tc>
        <w:tc>
          <w:tcPr>
            <w:tcW w:w="2068" w:type="dxa"/>
            <w:vAlign w:val="center"/>
          </w:tcPr>
          <w:p w:rsidR="000C5E12" w:rsidRPr="000C5E12" w:rsidRDefault="000C5E12" w:rsidP="00EB6AAB">
            <w:pPr>
              <w:wordWrap/>
            </w:pPr>
            <w:r w:rsidRPr="000C5E12">
              <w:t>95% CI</w:t>
            </w:r>
          </w:p>
        </w:tc>
      </w:tr>
      <w:tr w:rsidR="000C5E12" w:rsidRPr="000C5E12" w:rsidTr="00EB6AAB">
        <w:trPr>
          <w:cantSplit/>
        </w:trPr>
        <w:tc>
          <w:tcPr>
            <w:tcW w:w="5516" w:type="dxa"/>
          </w:tcPr>
          <w:p w:rsidR="000C5E12" w:rsidRPr="000C5E12" w:rsidRDefault="000C5E12" w:rsidP="00EB6AAB">
            <w:pPr>
              <w:wordWrap/>
            </w:pPr>
            <w:r w:rsidRPr="000C5E12">
              <w:t>PPML worker-entry count with log employment offset</w:t>
            </w:r>
          </w:p>
        </w:tc>
        <w:tc>
          <w:tcPr>
            <w:tcW w:w="1417" w:type="dxa"/>
          </w:tcPr>
          <w:p w:rsidR="000C5E12" w:rsidRPr="000C5E12" w:rsidRDefault="000C5E12" w:rsidP="00EB6AAB">
            <w:pPr>
              <w:wordWrap/>
            </w:pPr>
            <w:r w:rsidRPr="000C5E12">
              <w:t>0.10</w:t>
            </w:r>
            <w:r w:rsidR="00C76F70">
              <w:t>38</w:t>
            </w:r>
          </w:p>
        </w:tc>
        <w:tc>
          <w:tcPr>
            <w:tcW w:w="2068" w:type="dxa"/>
          </w:tcPr>
          <w:p w:rsidR="000C5E12" w:rsidRPr="000C5E12" w:rsidRDefault="000C5E12" w:rsidP="00EB6AAB">
            <w:pPr>
              <w:wordWrap/>
            </w:pPr>
            <w:r w:rsidRPr="000C5E12">
              <w:t>[−0.31</w:t>
            </w:r>
            <w:r w:rsidR="00C76F70">
              <w:t>85</w:t>
            </w:r>
            <w:r w:rsidRPr="000C5E12">
              <w:t>, 0.526</w:t>
            </w:r>
            <w:r w:rsidR="00C76F70">
              <w:t>1</w:t>
            </w:r>
            <w:r w:rsidRPr="000C5E12">
              <w:t>]</w:t>
            </w:r>
          </w:p>
        </w:tc>
      </w:tr>
    </w:tbl>
    <w:p w:rsidR="000C5E12" w:rsidRPr="000C5E12" w:rsidRDefault="000C5E12" w:rsidP="00EB6AAB">
      <w:pPr>
        <w:pStyle w:val="aff3"/>
        <w:wordWrap/>
        <w:spacing w:before="0"/>
        <w:rPr>
          <w:color w:val="7F7F7F" w:themeColor="text1" w:themeTint="80"/>
        </w:rPr>
      </w:pPr>
      <w:r w:rsidRPr="000C5E12">
        <w:rPr>
          <w:color w:val="7F7F7F" w:themeColor="text1" w:themeTint="80"/>
        </w:rPr>
        <w:t xml:space="preserve">Notes. </w:t>
      </w:r>
      <w:r w:rsidR="00C76F70" w:rsidRPr="00C76F70">
        <w:rPr>
          <w:color w:val="7F7F7F" w:themeColor="text1" w:themeTint="80"/>
        </w:rPr>
        <w:t xml:space="preserve">The inverse-hyperbolic-sine and </w:t>
      </w:r>
      <m:oMath>
        <m:r>
          <m:rPr>
            <m:sty m:val="p"/>
          </m:rPr>
          <w:rPr>
            <w:rFonts w:ascii="Cambria Math" w:hAnsi="Cambria Math"/>
            <w:color w:val="7F7F7F" w:themeColor="text1" w:themeTint="80"/>
          </w:rPr>
          <m:t>log(1+</m:t>
        </m:r>
        <m:r>
          <m:rPr>
            <m:nor/>
          </m:rPr>
          <w:rPr>
            <w:color w:val="7F7F7F" w:themeColor="text1" w:themeTint="80"/>
          </w:rPr>
          <m:t>rate</m:t>
        </m:r>
        <m:r>
          <m:rPr>
            <m:sty m:val="p"/>
          </m:rPr>
          <w:rPr>
            <w:rFonts w:ascii="Cambria Math" w:hAnsi="Cambria Math"/>
            <w:color w:val="7F7F7F" w:themeColor="text1" w:themeTint="80"/>
          </w:rPr>
          <m:t>)</m:t>
        </m:r>
      </m:oMath>
      <w:r w:rsidRPr="000C5E12">
        <w:rPr>
          <w:color w:val="7F7F7F" w:themeColor="text1" w:themeTint="80"/>
        </w:rPr>
        <w:t xml:space="preserve"> </w:t>
      </w:r>
      <w:r w:rsidR="00C76F70" w:rsidRPr="00C76F70">
        <w:rPr>
          <w:color w:val="7F7F7F" w:themeColor="text1" w:themeTint="80"/>
        </w:rPr>
        <w:t>specifications retain zero-entry windows and are on different scales from the primary coefficient. The PPML model is estimated at the firm-window level using 1,611 pooled treated and matched-control post windows, including 19 zero-entry windows. It relates the post-window worker-entry count to the treated indicator and its interaction with the pre-</w:t>
      </w:r>
      <w:r w:rsidR="00C76F70" w:rsidRPr="00C76F70">
        <w:rPr>
          <w:color w:val="7F7F7F" w:themeColor="text1" w:themeTint="80"/>
        </w:rPr>
        <w:lastRenderedPageBreak/>
        <w:t>deal state, uses log window employment exposure as the offset, absorbs matching-cell fixed effects, and clusters standard errors by matching cell. The PPML interval is wide, so the count model is treated as a functional-form diagnostic rather than evidence of an estimator-invariant state coefficient.</w:t>
      </w:r>
    </w:p>
    <w:p w:rsidR="000C5E12" w:rsidRPr="000C5E12" w:rsidRDefault="000C5E12" w:rsidP="00EB6AAB">
      <w:pPr>
        <w:pStyle w:val="aff3"/>
        <w:wordWrap/>
      </w:pPr>
      <w:r>
        <w:rPr>
          <w:rFonts w:eastAsia="Times New Roman"/>
        </w:rPr>
        <w:t>The gradient remains positive across the reported tail treatments: 0.837 without winsorisation, 0.710 at 5/95, 0.816 at 1/99, and 0.634 at 10/90.</w:t>
      </w:r>
      <w:r>
        <w:t xml:space="preserve"> </w:t>
      </w:r>
      <w:r w:rsidRPr="000C5E12">
        <w:t xml:space="preserve">Transformations that retain zero-entry windows yield the same directional ordering. The inverse-hyperbolic-sine specification gives 0.206, while </w:t>
      </w:r>
      <m:oMath>
        <m:r>
          <m:rPr>
            <m:sty m:val="p"/>
          </m:rPr>
          <w:rPr>
            <w:rFonts w:ascii="Cambria Math" w:hAnsi="Cambria Math"/>
          </w:rPr>
          <m:t>log(</m:t>
        </m:r>
        <m:r>
          <w:rPr>
            <w:rFonts w:ascii="Cambria Math" w:hAnsi="Cambria Math"/>
          </w:rPr>
          <m:t>1</m:t>
        </m:r>
        <m:r>
          <m:rPr>
            <m:sty m:val="p"/>
          </m:rPr>
          <w:rPr>
            <w:rFonts w:ascii="Cambria Math" w:hAnsi="Cambria Math"/>
          </w:rPr>
          <m:t>+</m:t>
        </m:r>
        <m:r>
          <m:rPr>
            <m:nor/>
          </m:rPr>
          <m:t>hiring rate</m:t>
        </m:r>
        <m:r>
          <m:rPr>
            <m:sty m:val="p"/>
          </m:rPr>
          <w:rPr>
            <w:rFonts w:ascii="Cambria Math" w:hAnsi="Cambria Math"/>
          </w:rPr>
          <m:t>)</m:t>
        </m:r>
      </m:oMath>
      <w:r w:rsidRPr="000C5E12">
        <w:t xml:space="preserve"> gives 0.162. Because these transformations change the scale of the outcome, their numerical coefficients are not measures of the same magnitude as the primary log-rate gradient.</w:t>
      </w:r>
      <w:r>
        <w:t xml:space="preserve"> </w:t>
      </w:r>
      <w:r>
        <w:rPr>
          <w:rFonts w:eastAsia="Times New Roman"/>
        </w:rPr>
        <w:t>The PPML coefficient is 0.104 [−0.319, 0.526]. The wide interval makes this a functional-form diagnostic, not evidence that the state coefficient is invariant to the estimator.</w:t>
      </w:r>
    </w:p>
    <w:p w:rsidR="000C5E12" w:rsidRPr="000C5E12" w:rsidRDefault="000C5E12" w:rsidP="00EB6AAB">
      <w:pPr>
        <w:pStyle w:val="3"/>
      </w:pPr>
      <w:r w:rsidRPr="000C5E12">
        <w:t>B.4 Selected matching and estimation alternatives</w:t>
      </w:r>
    </w:p>
    <w:p w:rsidR="000C5E12" w:rsidRPr="000C5E12" w:rsidRDefault="000C5E12" w:rsidP="00EB6AAB">
      <w:pPr>
        <w:pStyle w:val="aff3"/>
        <w:wordWrap/>
      </w:pPr>
      <w:r>
        <w:rPr>
          <w:rFonts w:eastAsia="Times New Roman"/>
        </w:rPr>
        <w:t>Table B4 varies the number of controls, the role of the state in neighbour selection, state-window completeness, matching cells, state horizon, event weights, and deal-year adjustment. Each row rebuilds its own untreated reference distribution.</w:t>
      </w:r>
    </w:p>
    <w:p w:rsidR="000C5E12" w:rsidRPr="00FF4DCD" w:rsidRDefault="000C5E12" w:rsidP="00EB6AAB">
      <w:pPr>
        <w:pStyle w:val="aff3"/>
        <w:wordWrap/>
        <w:rPr>
          <w:b/>
        </w:rPr>
      </w:pPr>
      <w:r w:rsidRPr="00FF4DCD">
        <w:rPr>
          <w:b/>
        </w:rPr>
        <w:t>Table B4. Selected alternatives to the primary matching and estimation design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392"/>
        <w:gridCol w:w="850"/>
        <w:gridCol w:w="996"/>
        <w:gridCol w:w="1421"/>
        <w:gridCol w:w="1362"/>
      </w:tblGrid>
      <w:tr w:rsidR="000C5E12" w:rsidRPr="000C5E12" w:rsidTr="00EB6AAB">
        <w:trPr>
          <w:cantSplit/>
          <w:tblHeader/>
        </w:trPr>
        <w:tc>
          <w:tcPr>
            <w:tcW w:w="4392" w:type="dxa"/>
            <w:vAlign w:val="center"/>
          </w:tcPr>
          <w:p w:rsidR="000C5E12" w:rsidRPr="0020632F" w:rsidRDefault="000C5E12" w:rsidP="00EB6AAB">
            <w:pPr>
              <w:wordWrap/>
              <w:snapToGrid w:val="0"/>
              <w:rPr>
                <w:b/>
              </w:rPr>
            </w:pPr>
            <w:r w:rsidRPr="0020632F">
              <w:rPr>
                <w:b/>
                <w:sz w:val="20"/>
              </w:rPr>
              <w:t>Specification</w:t>
            </w:r>
          </w:p>
        </w:tc>
        <w:tc>
          <w:tcPr>
            <w:tcW w:w="850" w:type="dxa"/>
            <w:vAlign w:val="center"/>
          </w:tcPr>
          <w:p w:rsidR="000C5E12" w:rsidRPr="0020632F" w:rsidRDefault="000C5E12" w:rsidP="00EB6AAB">
            <w:pPr>
              <w:wordWrap/>
              <w:snapToGrid w:val="0"/>
              <w:jc w:val="center"/>
              <w:rPr>
                <w:b/>
              </w:rPr>
            </w:pPr>
            <w:r w:rsidRPr="0020632F">
              <w:rPr>
                <w:b/>
                <w:sz w:val="20"/>
              </w:rPr>
              <w:t>N</w:t>
            </w:r>
          </w:p>
        </w:tc>
        <w:tc>
          <w:tcPr>
            <w:tcW w:w="996" w:type="dxa"/>
            <w:vAlign w:val="center"/>
          </w:tcPr>
          <w:p w:rsidR="000C5E12" w:rsidRPr="0020632F" w:rsidRDefault="000C5E12" w:rsidP="00EB6AAB">
            <w:pPr>
              <w:wordWrap/>
              <w:snapToGrid w:val="0"/>
              <w:jc w:val="center"/>
              <w:rPr>
                <w:b/>
              </w:rPr>
            </w:pPr>
            <w:r w:rsidRPr="0020632F">
              <w:rPr>
                <w:b/>
                <w:sz w:val="20"/>
              </w:rPr>
              <w:t>Grad.</w:t>
            </w:r>
          </w:p>
        </w:tc>
        <w:tc>
          <w:tcPr>
            <w:tcW w:w="1421" w:type="dxa"/>
            <w:vAlign w:val="center"/>
          </w:tcPr>
          <w:p w:rsidR="000C5E12" w:rsidRPr="0020632F" w:rsidRDefault="000C5E12" w:rsidP="00EB6AAB">
            <w:pPr>
              <w:wordWrap/>
              <w:snapToGrid w:val="0"/>
              <w:jc w:val="center"/>
              <w:rPr>
                <w:b/>
              </w:rPr>
            </w:pPr>
            <w:r w:rsidRPr="0020632F">
              <w:rPr>
                <w:b/>
                <w:sz w:val="20"/>
              </w:rPr>
              <w:t>Std. distance</w:t>
            </w:r>
          </w:p>
        </w:tc>
        <w:tc>
          <w:tcPr>
            <w:tcW w:w="1362" w:type="dxa"/>
            <w:vAlign w:val="center"/>
          </w:tcPr>
          <w:p w:rsidR="000C5E12" w:rsidRPr="0020632F" w:rsidRDefault="000C5E12" w:rsidP="00EB6AAB">
            <w:pPr>
              <w:wordWrap/>
              <w:snapToGrid w:val="0"/>
              <w:jc w:val="center"/>
              <w:rPr>
                <w:b/>
              </w:rPr>
            </w:pPr>
            <w:r w:rsidRPr="0020632F">
              <w:rPr>
                <w:b/>
                <w:sz w:val="20"/>
              </w:rPr>
              <w:t xml:space="preserve">Empirical </w:t>
            </w:r>
            <w:r w:rsidRPr="0020632F">
              <w:rPr>
                <w:b/>
                <w:spacing w:val="-4"/>
                <w:sz w:val="20"/>
              </w:rPr>
              <w:t xml:space="preserve">two-sided </w:t>
            </w:r>
            <m:oMath>
              <m:r>
                <m:rPr>
                  <m:sty m:val="bi"/>
                </m:rPr>
                <w:rPr>
                  <w:rFonts w:ascii="Cambria Math" w:hAnsi="Cambria Math"/>
                  <w:spacing w:val="-4"/>
                </w:rPr>
                <m:t>p</m:t>
              </m:r>
            </m:oMath>
          </w:p>
        </w:tc>
      </w:tr>
      <w:tr w:rsidR="00C76F70" w:rsidRPr="000C5E12" w:rsidTr="00EB6AAB">
        <w:trPr>
          <w:cantSplit/>
        </w:trPr>
        <w:tc>
          <w:tcPr>
            <w:tcW w:w="4392" w:type="dxa"/>
          </w:tcPr>
          <w:p w:rsidR="00C76F70" w:rsidRPr="00B50677" w:rsidRDefault="00C76F70" w:rsidP="00EB6AAB">
            <w:pPr>
              <w:wordWrap/>
            </w:pPr>
            <w:r w:rsidRPr="00B50677">
              <w:t>Primary: exact state tercile, 5 controls</w:t>
            </w:r>
          </w:p>
        </w:tc>
        <w:tc>
          <w:tcPr>
            <w:tcW w:w="850" w:type="dxa"/>
            <w:vAlign w:val="center"/>
          </w:tcPr>
          <w:p w:rsidR="00C76F70" w:rsidRPr="00B50677" w:rsidRDefault="00C76F70" w:rsidP="00EB6AAB">
            <w:pPr>
              <w:wordWrap/>
              <w:jc w:val="center"/>
            </w:pPr>
            <w:r w:rsidRPr="00B50677">
              <w:t>286</w:t>
            </w:r>
          </w:p>
        </w:tc>
        <w:tc>
          <w:tcPr>
            <w:tcW w:w="996" w:type="dxa"/>
            <w:vAlign w:val="center"/>
          </w:tcPr>
          <w:p w:rsidR="00C76F70" w:rsidRPr="00B50677" w:rsidRDefault="00C76F70" w:rsidP="00EB6AAB">
            <w:pPr>
              <w:wordWrap/>
              <w:jc w:val="center"/>
            </w:pPr>
            <w:r w:rsidRPr="00B50677">
              <w:t>0.7101</w:t>
            </w:r>
          </w:p>
        </w:tc>
        <w:tc>
          <w:tcPr>
            <w:tcW w:w="1421" w:type="dxa"/>
            <w:vAlign w:val="center"/>
          </w:tcPr>
          <w:p w:rsidR="00C76F70" w:rsidRPr="00B50677" w:rsidRDefault="00C76F70" w:rsidP="00EB6AAB">
            <w:pPr>
              <w:wordWrap/>
              <w:jc w:val="center"/>
            </w:pPr>
            <w:r w:rsidRPr="00B50677">
              <w:t>3.96</w:t>
            </w:r>
          </w:p>
        </w:tc>
        <w:tc>
          <w:tcPr>
            <w:tcW w:w="1362" w:type="dxa"/>
            <w:vAlign w:val="center"/>
          </w:tcPr>
          <w:p w:rsidR="00C76F70" w:rsidRPr="00B50677" w:rsidRDefault="00C76F70" w:rsidP="00EB6AAB">
            <w:pPr>
              <w:wordWrap/>
              <w:jc w:val="center"/>
            </w:pPr>
            <w:r w:rsidRPr="00B50677">
              <w:t>0.0005</w:t>
            </w:r>
          </w:p>
        </w:tc>
      </w:tr>
      <w:tr w:rsidR="00C76F70" w:rsidRPr="000C5E12" w:rsidTr="00EB6AAB">
        <w:trPr>
          <w:cantSplit/>
        </w:trPr>
        <w:tc>
          <w:tcPr>
            <w:tcW w:w="4392" w:type="dxa"/>
          </w:tcPr>
          <w:p w:rsidR="00C76F70" w:rsidRPr="00B50677" w:rsidRDefault="00C76F70" w:rsidP="00EB6AAB">
            <w:pPr>
              <w:wordWrap/>
            </w:pPr>
            <w:r w:rsidRPr="00B50677">
              <w:t>Exact state tercile, 20 controls</w:t>
            </w:r>
          </w:p>
        </w:tc>
        <w:tc>
          <w:tcPr>
            <w:tcW w:w="850" w:type="dxa"/>
            <w:vAlign w:val="center"/>
          </w:tcPr>
          <w:p w:rsidR="00C76F70" w:rsidRPr="00B50677" w:rsidRDefault="00C76F70" w:rsidP="00EB6AAB">
            <w:pPr>
              <w:wordWrap/>
              <w:jc w:val="center"/>
            </w:pPr>
            <w:r w:rsidRPr="00B50677">
              <w:t>286</w:t>
            </w:r>
          </w:p>
        </w:tc>
        <w:tc>
          <w:tcPr>
            <w:tcW w:w="996" w:type="dxa"/>
            <w:vAlign w:val="center"/>
          </w:tcPr>
          <w:p w:rsidR="00C76F70" w:rsidRPr="00B50677" w:rsidRDefault="00C76F70" w:rsidP="00EB6AAB">
            <w:pPr>
              <w:wordWrap/>
              <w:jc w:val="center"/>
            </w:pPr>
            <w:r w:rsidRPr="00B50677">
              <w:t>0.6778</w:t>
            </w:r>
          </w:p>
        </w:tc>
        <w:tc>
          <w:tcPr>
            <w:tcW w:w="1421" w:type="dxa"/>
            <w:vAlign w:val="center"/>
          </w:tcPr>
          <w:p w:rsidR="00C76F70" w:rsidRPr="00B50677" w:rsidRDefault="00C76F70" w:rsidP="00EB6AAB">
            <w:pPr>
              <w:wordWrap/>
              <w:jc w:val="center"/>
            </w:pPr>
            <w:r w:rsidRPr="00B50677">
              <w:t>4.12</w:t>
            </w:r>
          </w:p>
        </w:tc>
        <w:tc>
          <w:tcPr>
            <w:tcW w:w="1362" w:type="dxa"/>
            <w:vAlign w:val="center"/>
          </w:tcPr>
          <w:p w:rsidR="00C76F70" w:rsidRPr="00B50677" w:rsidRDefault="00C76F70" w:rsidP="00EB6AAB">
            <w:pPr>
              <w:wordWrap/>
              <w:jc w:val="center"/>
            </w:pPr>
            <w:r w:rsidRPr="00B50677">
              <w:t>0.0010</w:t>
            </w:r>
          </w:p>
        </w:tc>
      </w:tr>
      <w:tr w:rsidR="00C76F70" w:rsidRPr="000C5E12" w:rsidTr="00EB6AAB">
        <w:trPr>
          <w:cantSplit/>
        </w:trPr>
        <w:tc>
          <w:tcPr>
            <w:tcW w:w="4392" w:type="dxa"/>
          </w:tcPr>
          <w:p w:rsidR="00C76F70" w:rsidRPr="00B50677" w:rsidRDefault="00C76F70" w:rsidP="00EB6AAB">
            <w:pPr>
              <w:wordWrap/>
            </w:pPr>
            <w:r w:rsidRPr="00B50677">
              <w:t>State included in neighbour distance, 5 controls</w:t>
            </w:r>
          </w:p>
        </w:tc>
        <w:tc>
          <w:tcPr>
            <w:tcW w:w="850" w:type="dxa"/>
            <w:vAlign w:val="center"/>
          </w:tcPr>
          <w:p w:rsidR="00C76F70" w:rsidRPr="00B50677" w:rsidRDefault="00C76F70" w:rsidP="00EB6AAB">
            <w:pPr>
              <w:wordWrap/>
              <w:jc w:val="center"/>
            </w:pPr>
            <w:r w:rsidRPr="00B50677">
              <w:t>299</w:t>
            </w:r>
          </w:p>
        </w:tc>
        <w:tc>
          <w:tcPr>
            <w:tcW w:w="996" w:type="dxa"/>
            <w:vAlign w:val="center"/>
          </w:tcPr>
          <w:p w:rsidR="00C76F70" w:rsidRPr="00B50677" w:rsidRDefault="00C76F70" w:rsidP="00EB6AAB">
            <w:pPr>
              <w:wordWrap/>
              <w:jc w:val="center"/>
            </w:pPr>
            <w:r w:rsidRPr="00B50677">
              <w:t>0.6400</w:t>
            </w:r>
          </w:p>
        </w:tc>
        <w:tc>
          <w:tcPr>
            <w:tcW w:w="1421" w:type="dxa"/>
            <w:vAlign w:val="center"/>
          </w:tcPr>
          <w:p w:rsidR="00C76F70" w:rsidRPr="00B50677" w:rsidRDefault="00C76F70" w:rsidP="00EB6AAB">
            <w:pPr>
              <w:wordWrap/>
              <w:jc w:val="center"/>
            </w:pPr>
            <w:r w:rsidRPr="00B50677">
              <w:t>3.54</w:t>
            </w:r>
          </w:p>
        </w:tc>
        <w:tc>
          <w:tcPr>
            <w:tcW w:w="1362" w:type="dxa"/>
            <w:vAlign w:val="center"/>
          </w:tcPr>
          <w:p w:rsidR="00C76F70" w:rsidRPr="00B50677" w:rsidRDefault="00C76F70" w:rsidP="00EB6AAB">
            <w:pPr>
              <w:wordWrap/>
              <w:jc w:val="center"/>
            </w:pPr>
            <w:r w:rsidRPr="00B50677">
              <w:t>0.0015</w:t>
            </w:r>
          </w:p>
        </w:tc>
      </w:tr>
      <w:tr w:rsidR="00C76F70" w:rsidRPr="000C5E12" w:rsidTr="00EB6AAB">
        <w:trPr>
          <w:cantSplit/>
        </w:trPr>
        <w:tc>
          <w:tcPr>
            <w:tcW w:w="4392" w:type="dxa"/>
          </w:tcPr>
          <w:p w:rsidR="00C76F70" w:rsidRPr="00B50677" w:rsidRDefault="00C76F70" w:rsidP="00EB6AAB">
            <w:pPr>
              <w:wordWrap/>
            </w:pPr>
            <w:r w:rsidRPr="00B50677">
              <w:t>At least 6 of 12 state months observed</w:t>
            </w:r>
          </w:p>
        </w:tc>
        <w:tc>
          <w:tcPr>
            <w:tcW w:w="850" w:type="dxa"/>
            <w:vAlign w:val="center"/>
          </w:tcPr>
          <w:p w:rsidR="00C76F70" w:rsidRPr="00B50677" w:rsidRDefault="00C76F70" w:rsidP="00EB6AAB">
            <w:pPr>
              <w:wordWrap/>
              <w:jc w:val="center"/>
            </w:pPr>
            <w:r w:rsidRPr="00B50677">
              <w:t>310</w:t>
            </w:r>
          </w:p>
        </w:tc>
        <w:tc>
          <w:tcPr>
            <w:tcW w:w="996" w:type="dxa"/>
            <w:vAlign w:val="center"/>
          </w:tcPr>
          <w:p w:rsidR="00C76F70" w:rsidRPr="00B50677" w:rsidRDefault="00C76F70" w:rsidP="00EB6AAB">
            <w:pPr>
              <w:wordWrap/>
              <w:jc w:val="center"/>
            </w:pPr>
            <w:r w:rsidRPr="00B50677">
              <w:t>0.6545</w:t>
            </w:r>
          </w:p>
        </w:tc>
        <w:tc>
          <w:tcPr>
            <w:tcW w:w="1421" w:type="dxa"/>
            <w:vAlign w:val="center"/>
          </w:tcPr>
          <w:p w:rsidR="00C76F70" w:rsidRPr="00B50677" w:rsidRDefault="00C76F70" w:rsidP="00EB6AAB">
            <w:pPr>
              <w:wordWrap/>
              <w:jc w:val="center"/>
            </w:pPr>
            <w:r w:rsidRPr="00B50677">
              <w:t>4.57</w:t>
            </w:r>
          </w:p>
        </w:tc>
        <w:tc>
          <w:tcPr>
            <w:tcW w:w="1362" w:type="dxa"/>
            <w:vAlign w:val="center"/>
          </w:tcPr>
          <w:p w:rsidR="00C76F70" w:rsidRPr="00B50677" w:rsidRDefault="00C76F70" w:rsidP="00EB6AAB">
            <w:pPr>
              <w:wordWrap/>
              <w:jc w:val="center"/>
            </w:pPr>
            <w:r w:rsidRPr="00B50677">
              <w:t>0.0005</w:t>
            </w:r>
          </w:p>
        </w:tc>
      </w:tr>
      <w:tr w:rsidR="00C76F70" w:rsidRPr="000C5E12" w:rsidTr="00EB6AAB">
        <w:trPr>
          <w:cantSplit/>
        </w:trPr>
        <w:tc>
          <w:tcPr>
            <w:tcW w:w="4392" w:type="dxa"/>
          </w:tcPr>
          <w:p w:rsidR="00C76F70" w:rsidRPr="00B50677" w:rsidRDefault="00C76F70" w:rsidP="00EB6AAB">
            <w:pPr>
              <w:wordWrap/>
            </w:pPr>
            <w:r w:rsidRPr="00B50677">
              <w:t>Two state bins rather than three</w:t>
            </w:r>
          </w:p>
        </w:tc>
        <w:tc>
          <w:tcPr>
            <w:tcW w:w="850" w:type="dxa"/>
            <w:vAlign w:val="center"/>
          </w:tcPr>
          <w:p w:rsidR="00C76F70" w:rsidRPr="00B50677" w:rsidRDefault="00C76F70" w:rsidP="00EB6AAB">
            <w:pPr>
              <w:wordWrap/>
              <w:jc w:val="center"/>
            </w:pPr>
            <w:r w:rsidRPr="00B50677">
              <w:t>292</w:t>
            </w:r>
          </w:p>
        </w:tc>
        <w:tc>
          <w:tcPr>
            <w:tcW w:w="996" w:type="dxa"/>
            <w:vAlign w:val="center"/>
          </w:tcPr>
          <w:p w:rsidR="00C76F70" w:rsidRPr="00B50677" w:rsidRDefault="00C76F70" w:rsidP="00EB6AAB">
            <w:pPr>
              <w:wordWrap/>
              <w:jc w:val="center"/>
            </w:pPr>
            <w:r w:rsidRPr="00B50677">
              <w:t>0.6101</w:t>
            </w:r>
          </w:p>
        </w:tc>
        <w:tc>
          <w:tcPr>
            <w:tcW w:w="1421" w:type="dxa"/>
            <w:vAlign w:val="center"/>
          </w:tcPr>
          <w:p w:rsidR="00C76F70" w:rsidRPr="00B50677" w:rsidRDefault="00C76F70" w:rsidP="00EB6AAB">
            <w:pPr>
              <w:wordWrap/>
              <w:jc w:val="center"/>
            </w:pPr>
            <w:r w:rsidRPr="00B50677">
              <w:t>3.65</w:t>
            </w:r>
          </w:p>
        </w:tc>
        <w:tc>
          <w:tcPr>
            <w:tcW w:w="1362" w:type="dxa"/>
            <w:vAlign w:val="center"/>
          </w:tcPr>
          <w:p w:rsidR="00C76F70" w:rsidRPr="00B50677" w:rsidRDefault="00C76F70" w:rsidP="00EB6AAB">
            <w:pPr>
              <w:wordWrap/>
              <w:jc w:val="center"/>
            </w:pPr>
            <w:r w:rsidRPr="00B50677">
              <w:t>0.0005</w:t>
            </w:r>
          </w:p>
        </w:tc>
      </w:tr>
      <w:tr w:rsidR="00C76F70" w:rsidRPr="000C5E12" w:rsidTr="00EB6AAB">
        <w:trPr>
          <w:cantSplit/>
        </w:trPr>
        <w:tc>
          <w:tcPr>
            <w:tcW w:w="4392" w:type="dxa"/>
          </w:tcPr>
          <w:p w:rsidR="00C76F70" w:rsidRPr="00B50677" w:rsidRDefault="00C76F70" w:rsidP="00EB6AAB">
            <w:pPr>
              <w:wordWrap/>
            </w:pPr>
            <w:r w:rsidRPr="00B50677">
              <w:t>One-digit rather than two-digit industry cell</w:t>
            </w:r>
          </w:p>
        </w:tc>
        <w:tc>
          <w:tcPr>
            <w:tcW w:w="850" w:type="dxa"/>
            <w:vAlign w:val="center"/>
          </w:tcPr>
          <w:p w:rsidR="00C76F70" w:rsidRPr="00B50677" w:rsidRDefault="00C76F70" w:rsidP="00EB6AAB">
            <w:pPr>
              <w:wordWrap/>
              <w:jc w:val="center"/>
            </w:pPr>
            <w:r w:rsidRPr="00B50677">
              <w:t>299</w:t>
            </w:r>
          </w:p>
        </w:tc>
        <w:tc>
          <w:tcPr>
            <w:tcW w:w="996" w:type="dxa"/>
            <w:vAlign w:val="center"/>
          </w:tcPr>
          <w:p w:rsidR="00C76F70" w:rsidRPr="00B50677" w:rsidRDefault="00C76F70" w:rsidP="00EB6AAB">
            <w:pPr>
              <w:wordWrap/>
              <w:jc w:val="center"/>
            </w:pPr>
            <w:r w:rsidRPr="00B50677">
              <w:t>0.6361</w:t>
            </w:r>
          </w:p>
        </w:tc>
        <w:tc>
          <w:tcPr>
            <w:tcW w:w="1421" w:type="dxa"/>
            <w:vAlign w:val="center"/>
          </w:tcPr>
          <w:p w:rsidR="00C76F70" w:rsidRPr="00B50677" w:rsidRDefault="00C76F70" w:rsidP="00EB6AAB">
            <w:pPr>
              <w:wordWrap/>
              <w:jc w:val="center"/>
            </w:pPr>
            <w:r w:rsidRPr="00B50677">
              <w:t>3.69</w:t>
            </w:r>
          </w:p>
        </w:tc>
        <w:tc>
          <w:tcPr>
            <w:tcW w:w="1362" w:type="dxa"/>
            <w:vAlign w:val="center"/>
          </w:tcPr>
          <w:p w:rsidR="00C76F70" w:rsidRPr="00B50677" w:rsidRDefault="00C76F70" w:rsidP="00EB6AAB">
            <w:pPr>
              <w:wordWrap/>
              <w:jc w:val="center"/>
            </w:pPr>
            <w:r w:rsidRPr="00B50677">
              <w:t>0.0010</w:t>
            </w:r>
          </w:p>
        </w:tc>
      </w:tr>
      <w:tr w:rsidR="00C76F70" w:rsidRPr="000C5E12" w:rsidTr="00EB6AAB">
        <w:trPr>
          <w:cantSplit/>
        </w:trPr>
        <w:tc>
          <w:tcPr>
            <w:tcW w:w="4392" w:type="dxa"/>
          </w:tcPr>
          <w:p w:rsidR="00C76F70" w:rsidRPr="00B50677" w:rsidRDefault="00C76F70" w:rsidP="00EB6AAB">
            <w:pPr>
              <w:wordWrap/>
            </w:pPr>
            <w:r w:rsidRPr="00B50677">
              <w:t xml:space="preserve">State measured over months </w:t>
            </w:r>
            <w:r w:rsidRPr="00B50677">
              <w:rPr>
                <w:rFonts w:ascii="바탕" w:eastAsia="바탕" w:hAnsi="바탕" w:cs="바탕" w:hint="eastAsia"/>
              </w:rPr>
              <w:t>−</w:t>
            </w:r>
            <w:r w:rsidRPr="00B50677">
              <w:t xml:space="preserve">36 to </w:t>
            </w:r>
            <w:r w:rsidRPr="00B50677">
              <w:rPr>
                <w:rFonts w:ascii="바탕" w:eastAsia="바탕" w:hAnsi="바탕" w:cs="바탕" w:hint="eastAsia"/>
              </w:rPr>
              <w:t>−</w:t>
            </w:r>
            <w:r w:rsidRPr="00B50677">
              <w:t>13</w:t>
            </w:r>
          </w:p>
        </w:tc>
        <w:tc>
          <w:tcPr>
            <w:tcW w:w="850" w:type="dxa"/>
            <w:vAlign w:val="center"/>
          </w:tcPr>
          <w:p w:rsidR="00C76F70" w:rsidRPr="00B50677" w:rsidRDefault="00C76F70" w:rsidP="00EB6AAB">
            <w:pPr>
              <w:wordWrap/>
              <w:jc w:val="center"/>
            </w:pPr>
            <w:r w:rsidRPr="00B50677">
              <w:t>244</w:t>
            </w:r>
          </w:p>
        </w:tc>
        <w:tc>
          <w:tcPr>
            <w:tcW w:w="996" w:type="dxa"/>
            <w:vAlign w:val="center"/>
          </w:tcPr>
          <w:p w:rsidR="00C76F70" w:rsidRPr="00B50677" w:rsidRDefault="00C76F70" w:rsidP="00EB6AAB">
            <w:pPr>
              <w:wordWrap/>
              <w:jc w:val="center"/>
            </w:pPr>
            <w:r w:rsidRPr="00B50677">
              <w:t>0.3883</w:t>
            </w:r>
          </w:p>
        </w:tc>
        <w:tc>
          <w:tcPr>
            <w:tcW w:w="1421" w:type="dxa"/>
            <w:vAlign w:val="center"/>
          </w:tcPr>
          <w:p w:rsidR="00C76F70" w:rsidRPr="00B50677" w:rsidRDefault="00C76F70" w:rsidP="00EB6AAB">
            <w:pPr>
              <w:wordWrap/>
              <w:jc w:val="center"/>
            </w:pPr>
            <w:r w:rsidRPr="00B50677">
              <w:t>2.33</w:t>
            </w:r>
          </w:p>
        </w:tc>
        <w:tc>
          <w:tcPr>
            <w:tcW w:w="1362" w:type="dxa"/>
            <w:vAlign w:val="center"/>
          </w:tcPr>
          <w:p w:rsidR="00C76F70" w:rsidRPr="00B50677" w:rsidRDefault="00C76F70" w:rsidP="00EB6AAB">
            <w:pPr>
              <w:wordWrap/>
              <w:jc w:val="center"/>
            </w:pPr>
            <w:r w:rsidRPr="00B50677">
              <w:t>0.0185</w:t>
            </w:r>
          </w:p>
        </w:tc>
      </w:tr>
      <w:tr w:rsidR="00C76F70" w:rsidRPr="000C5E12" w:rsidTr="00EB6AAB">
        <w:trPr>
          <w:cantSplit/>
        </w:trPr>
        <w:tc>
          <w:tcPr>
            <w:tcW w:w="4392" w:type="dxa"/>
          </w:tcPr>
          <w:p w:rsidR="00C76F70" w:rsidRPr="00B50677" w:rsidRDefault="00C76F70" w:rsidP="00EB6AAB">
            <w:pPr>
              <w:wordWrap/>
            </w:pPr>
            <w:r w:rsidRPr="00B50677">
              <w:t>Inverse-variance weighting</w:t>
            </w:r>
          </w:p>
        </w:tc>
        <w:tc>
          <w:tcPr>
            <w:tcW w:w="850" w:type="dxa"/>
            <w:vAlign w:val="center"/>
          </w:tcPr>
          <w:p w:rsidR="00C76F70" w:rsidRPr="00B50677" w:rsidRDefault="00C76F70" w:rsidP="00EB6AAB">
            <w:pPr>
              <w:wordWrap/>
              <w:jc w:val="center"/>
            </w:pPr>
            <w:r w:rsidRPr="00B50677">
              <w:t>286</w:t>
            </w:r>
          </w:p>
        </w:tc>
        <w:tc>
          <w:tcPr>
            <w:tcW w:w="996" w:type="dxa"/>
            <w:vAlign w:val="center"/>
          </w:tcPr>
          <w:p w:rsidR="00C76F70" w:rsidRPr="00B50677" w:rsidRDefault="00C76F70" w:rsidP="00EB6AAB">
            <w:pPr>
              <w:wordWrap/>
              <w:jc w:val="center"/>
            </w:pPr>
            <w:r w:rsidRPr="00B50677">
              <w:t>0.3458</w:t>
            </w:r>
          </w:p>
        </w:tc>
        <w:tc>
          <w:tcPr>
            <w:tcW w:w="1421" w:type="dxa"/>
            <w:vAlign w:val="center"/>
          </w:tcPr>
          <w:p w:rsidR="00C76F70" w:rsidRPr="00B50677" w:rsidRDefault="00C76F70" w:rsidP="00EB6AAB">
            <w:pPr>
              <w:wordWrap/>
              <w:jc w:val="center"/>
            </w:pPr>
            <w:r w:rsidRPr="00B50677">
              <w:t>2.28</w:t>
            </w:r>
          </w:p>
        </w:tc>
        <w:tc>
          <w:tcPr>
            <w:tcW w:w="1362" w:type="dxa"/>
            <w:vAlign w:val="center"/>
          </w:tcPr>
          <w:p w:rsidR="00C76F70" w:rsidRPr="00B50677" w:rsidRDefault="00C76F70" w:rsidP="00EB6AAB">
            <w:pPr>
              <w:wordWrap/>
              <w:jc w:val="center"/>
            </w:pPr>
            <w:r w:rsidRPr="00B50677">
              <w:t>0.0185</w:t>
            </w:r>
          </w:p>
        </w:tc>
      </w:tr>
      <w:tr w:rsidR="00C76F70" w:rsidRPr="000C5E12" w:rsidTr="00EB6AAB">
        <w:trPr>
          <w:cantSplit/>
        </w:trPr>
        <w:tc>
          <w:tcPr>
            <w:tcW w:w="4392" w:type="dxa"/>
          </w:tcPr>
          <w:p w:rsidR="00C76F70" w:rsidRPr="00B50677" w:rsidRDefault="00C76F70" w:rsidP="00EB6AAB">
            <w:pPr>
              <w:wordWrap/>
            </w:pPr>
            <w:r w:rsidRPr="00B50677">
              <w:t>Add deal-year fixed effects</w:t>
            </w:r>
          </w:p>
        </w:tc>
        <w:tc>
          <w:tcPr>
            <w:tcW w:w="850" w:type="dxa"/>
            <w:vAlign w:val="center"/>
          </w:tcPr>
          <w:p w:rsidR="00C76F70" w:rsidRPr="00B50677" w:rsidRDefault="00C76F70" w:rsidP="00EB6AAB">
            <w:pPr>
              <w:wordWrap/>
              <w:jc w:val="center"/>
            </w:pPr>
            <w:r w:rsidRPr="00B50677">
              <w:t>286</w:t>
            </w:r>
          </w:p>
        </w:tc>
        <w:tc>
          <w:tcPr>
            <w:tcW w:w="996" w:type="dxa"/>
            <w:vAlign w:val="center"/>
          </w:tcPr>
          <w:p w:rsidR="00C76F70" w:rsidRPr="00B50677" w:rsidRDefault="00C76F70" w:rsidP="00EB6AAB">
            <w:pPr>
              <w:wordWrap/>
              <w:jc w:val="center"/>
            </w:pPr>
            <w:r w:rsidRPr="00B50677">
              <w:t>0.6779</w:t>
            </w:r>
          </w:p>
        </w:tc>
        <w:tc>
          <w:tcPr>
            <w:tcW w:w="1421" w:type="dxa"/>
            <w:vAlign w:val="center"/>
          </w:tcPr>
          <w:p w:rsidR="00C76F70" w:rsidRPr="00B50677" w:rsidRDefault="00C76F70" w:rsidP="00EB6AAB">
            <w:pPr>
              <w:wordWrap/>
              <w:jc w:val="center"/>
            </w:pPr>
            <w:r w:rsidRPr="00B50677">
              <w:t>3.50</w:t>
            </w:r>
          </w:p>
        </w:tc>
        <w:tc>
          <w:tcPr>
            <w:tcW w:w="1362" w:type="dxa"/>
            <w:vAlign w:val="center"/>
          </w:tcPr>
          <w:p w:rsidR="00C76F70" w:rsidRDefault="00C76F70" w:rsidP="00EB6AAB">
            <w:pPr>
              <w:wordWrap/>
              <w:jc w:val="center"/>
            </w:pPr>
            <w:r w:rsidRPr="00B50677">
              <w:t>0.0010</w:t>
            </w:r>
          </w:p>
        </w:tc>
      </w:tr>
    </w:tbl>
    <w:p w:rsidR="000C5E12" w:rsidRDefault="000C5E12" w:rsidP="00EB6AAB">
      <w:pPr>
        <w:pStyle w:val="aff3"/>
        <w:wordWrap/>
        <w:spacing w:before="0"/>
        <w:rPr>
          <w:color w:val="7F7F7F" w:themeColor="text1" w:themeTint="80"/>
        </w:rPr>
      </w:pPr>
      <w:r w:rsidRPr="0020632F">
        <w:rPr>
          <w:color w:val="7F7F7F" w:themeColor="text1" w:themeTint="80"/>
        </w:rPr>
        <w:t xml:space="preserve">Notes. </w:t>
      </w:r>
      <w:r w:rsidR="00C76F70" w:rsidRPr="00C76F70">
        <w:rPr>
          <w:color w:val="7F7F7F" w:themeColor="text1" w:themeTint="80"/>
        </w:rPr>
        <w:t>Each row is evaluated against its own untreated reference distribution. The inverse-variance specification uses weights proportional to the inverse of</w:t>
      </w:r>
      <w:r w:rsidR="00C76F70">
        <w:rPr>
          <w:color w:val="7F7F7F" w:themeColor="text1" w:themeTint="80"/>
        </w:rPr>
        <w:t xml:space="preserve"> </w:t>
      </w:r>
      <m:oMath>
        <m:sSubSup>
          <m:sSubSupPr>
            <m:ctrlPr>
              <w:rPr>
                <w:rFonts w:ascii="Cambria Math" w:hAnsi="Cambria Math"/>
                <w:color w:val="7F7F7F" w:themeColor="text1" w:themeTint="80"/>
              </w:rPr>
            </m:ctrlPr>
          </m:sSubSupPr>
          <m:e>
            <m:r>
              <w:rPr>
                <w:rFonts w:ascii="Cambria Math" w:hAnsi="Cambria Math"/>
                <w:color w:val="7F7F7F" w:themeColor="text1" w:themeTint="80"/>
              </w:rPr>
              <m:t>1/N</m:t>
            </m:r>
          </m:e>
          <m:sub>
            <m:r>
              <w:rPr>
                <w:rFonts w:ascii="Cambria Math" w:hAnsi="Cambria Math"/>
                <w:color w:val="7F7F7F" w:themeColor="text1" w:themeTint="80"/>
              </w:rPr>
              <m:t>i</m:t>
            </m:r>
          </m:sub>
          <m:sup>
            <m:r>
              <w:rPr>
                <w:rFonts w:ascii="Cambria Math" w:hAnsi="Cambria Math"/>
                <w:color w:val="7F7F7F" w:themeColor="text1" w:themeTint="80"/>
              </w:rPr>
              <m:t>pre</m:t>
            </m:r>
          </m:sup>
        </m:sSubSup>
        <m:r>
          <w:rPr>
            <w:rFonts w:ascii="Cambria Math" w:hAnsi="Cambria Math"/>
            <w:color w:val="7F7F7F" w:themeColor="text1" w:themeTint="80"/>
          </w:rPr>
          <m:t>+</m:t>
        </m:r>
        <m:sSubSup>
          <m:sSubSupPr>
            <m:ctrlPr>
              <w:rPr>
                <w:rFonts w:ascii="Cambria Math" w:hAnsi="Cambria Math"/>
                <w:color w:val="7F7F7F" w:themeColor="text1" w:themeTint="80"/>
              </w:rPr>
            </m:ctrlPr>
          </m:sSubSupPr>
          <m:e>
            <m:r>
              <w:rPr>
                <w:rFonts w:ascii="Cambria Math" w:hAnsi="Cambria Math"/>
                <w:color w:val="7F7F7F" w:themeColor="text1" w:themeTint="80"/>
              </w:rPr>
              <m:t>1/N</m:t>
            </m:r>
          </m:e>
          <m:sub>
            <m:r>
              <w:rPr>
                <w:rFonts w:ascii="Cambria Math" w:hAnsi="Cambria Math"/>
                <w:color w:val="7F7F7F" w:themeColor="text1" w:themeTint="80"/>
              </w:rPr>
              <m:t>i</m:t>
            </m:r>
          </m:sub>
          <m:sup>
            <m:r>
              <w:rPr>
                <w:rFonts w:ascii="Cambria Math" w:hAnsi="Cambria Math"/>
                <w:color w:val="7F7F7F" w:themeColor="text1" w:themeTint="80"/>
              </w:rPr>
              <m:t>post</m:t>
            </m:r>
          </m:sup>
        </m:sSubSup>
      </m:oMath>
      <w:r w:rsidR="00C76F70" w:rsidRPr="00C76F70">
        <w:rPr>
          <w:color w:val="7F7F7F" w:themeColor="text1" w:themeTint="80"/>
        </w:rPr>
        <w:t>, with the entry counts floored at one before calculating the variance proxy; the resulting weights are normalised to have mean one. The alternatives support a positive state relationship across several matching choices while also showing that its magnitude is sensitive to weighting and to the horizon over which the state is measured.</w:t>
      </w:r>
    </w:p>
    <w:p w:rsidR="000C5E12" w:rsidRPr="000C5E12" w:rsidRDefault="000C5E12" w:rsidP="00EB6AAB">
      <w:pPr>
        <w:pStyle w:val="aff3"/>
        <w:wordWrap/>
      </w:pPr>
      <w:r>
        <w:rPr>
          <w:rFonts w:eastAsia="Times New Roman"/>
        </w:rPr>
        <w:lastRenderedPageBreak/>
        <w:t>The gradient is 0.678 with twenty rather than five controls and 0.640 when the state enters neighbour distance rather than the exact cell. Two state bins give 0.610; one-digit rather than two-digit industry matching gives 0.636.</w:t>
      </w:r>
      <w:r>
        <w:t xml:space="preserve"> </w:t>
      </w:r>
      <w:r>
        <w:rPr>
          <w:rFonts w:eastAsia="Times New Roman"/>
        </w:rPr>
        <w:t>Allowing as few as six observed state months raises the sample to 310 events and yields a gradient of 0.655. The primary specification retains complete windows so that the moderator has the same measurement horizon across events.</w:t>
      </w:r>
    </w:p>
    <w:p w:rsidR="000C5E12" w:rsidRPr="000C5E12" w:rsidRDefault="000C5E12" w:rsidP="00EB6AAB">
      <w:pPr>
        <w:pStyle w:val="aff3"/>
        <w:wordWrap/>
      </w:pPr>
      <w:r w:rsidRPr="000C5E12">
        <w:t xml:space="preserve">Using a longer state window from months </w:t>
      </w:r>
      <m:oMath>
        <m:r>
          <m:rPr>
            <m:sty m:val="p"/>
          </m:rPr>
          <w:rPr>
            <w:rFonts w:ascii="Cambria Math" w:hAnsi="Cambria Math"/>
          </w:rPr>
          <m:t>-</m:t>
        </m:r>
        <m:r>
          <w:rPr>
            <w:rFonts w:ascii="Cambria Math" w:hAnsi="Cambria Math"/>
          </w:rPr>
          <m:t>36</m:t>
        </m:r>
      </m:oMath>
      <w:r w:rsidRPr="000C5E12">
        <w:t xml:space="preserve"> through </w:t>
      </w:r>
      <m:oMath>
        <m:r>
          <m:rPr>
            <m:sty m:val="p"/>
          </m:rPr>
          <w:rPr>
            <w:rFonts w:ascii="Cambria Math" w:hAnsi="Cambria Math"/>
          </w:rPr>
          <m:t>-</m:t>
        </m:r>
        <m:r>
          <w:rPr>
            <w:rFonts w:ascii="Cambria Math" w:hAnsi="Cambria Math"/>
          </w:rPr>
          <m:t>13</m:t>
        </m:r>
      </m:oMath>
      <w:r w:rsidRPr="000C5E12">
        <w:t xml:space="preserve"> reduces the sample to 244 events and the gradient to 0.388. The result is consistent with the separate earlier-state analysis in Section B.2: hiring history measured further from the transaction provides a weaker ordering of subsequent responses.</w:t>
      </w:r>
      <w:r>
        <w:t xml:space="preserve"> </w:t>
      </w:r>
      <w:r>
        <w:rPr>
          <w:rFonts w:eastAsia="Times New Roman"/>
        </w:rPr>
        <w:t>Event weighting matters more. Inverse-variance weighting lowers the gradient to 0.346, 2.28 standard deviations above its specification-specific reference mean. Deal-year fixed effects give 0.678 and a standardised distance of 3.50.</w:t>
      </w:r>
      <w:r>
        <w:t xml:space="preserve"> </w:t>
      </w:r>
      <w:r>
        <w:rPr>
          <w:rFonts w:eastAsia="Times New Roman"/>
        </w:rPr>
        <w:t>The coefficient is positive across these designs, but its magnitude and precision are not invariant. The inverse-variance and longer-window estimates are substantive sensitivity results, not exceptions to be set aside.</w:t>
      </w:r>
    </w:p>
    <w:p w:rsidR="000C5E12" w:rsidRPr="000C5E12" w:rsidRDefault="000C5E12" w:rsidP="00EB6AAB">
      <w:pPr>
        <w:pStyle w:val="3"/>
      </w:pPr>
      <w:r w:rsidRPr="000C5E12">
        <w:t>B.5 Pre-deal financial condition and hiring-response heterogeneity</w:t>
      </w:r>
    </w:p>
    <w:p w:rsidR="000C5E12" w:rsidRPr="000C5E12" w:rsidRDefault="000C5E12" w:rsidP="00EB6AAB">
      <w:pPr>
        <w:pStyle w:val="aff3"/>
        <w:wordWrap/>
      </w:pPr>
      <w:r>
        <w:rPr>
          <w:rFonts w:eastAsia="Times New Roman"/>
        </w:rPr>
        <w:t>To assess whether observable financial condition orders the response, we compare the hiring state with pre-deal cash relative to assets, leverage, interest coverage, and return on assets.</w:t>
      </w:r>
      <w:r>
        <w:t xml:space="preserve"> </w:t>
      </w:r>
      <w:r>
        <w:rPr>
          <w:rFonts w:eastAsia="Times New Roman"/>
        </w:rPr>
        <w:t>Each measure comes from the audited statement for the fiscal year before the deal, is clipped at the within-sample 1st and 99th percentiles, and is standardised. Coefficients are changes in the event-level matched response per one-standard-deviation difference in the measure.</w:t>
      </w:r>
    </w:p>
    <w:p w:rsidR="000C5E12" w:rsidRPr="00FF4DCD" w:rsidRDefault="000C5E12" w:rsidP="00EB6AAB">
      <w:pPr>
        <w:pStyle w:val="aff3"/>
        <w:wordWrap/>
        <w:rPr>
          <w:b/>
        </w:rPr>
      </w:pPr>
      <w:r w:rsidRPr="00FF4DCD">
        <w:rPr>
          <w:b/>
        </w:rPr>
        <w:t>Table B5. Pre-deal financial condition and hiring-response heterogeneity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675"/>
        <w:gridCol w:w="1843"/>
        <w:gridCol w:w="1843"/>
        <w:gridCol w:w="660"/>
      </w:tblGrid>
      <w:tr w:rsidR="000C5E12" w:rsidRPr="000C5E12" w:rsidTr="00EB6AAB">
        <w:trPr>
          <w:cantSplit/>
          <w:tblHeader/>
        </w:trPr>
        <w:tc>
          <w:tcPr>
            <w:tcW w:w="4675" w:type="dxa"/>
            <w:vAlign w:val="center"/>
          </w:tcPr>
          <w:p w:rsidR="000C5E12" w:rsidRPr="0020632F" w:rsidRDefault="000C5E12" w:rsidP="00EB6AAB">
            <w:pPr>
              <w:wordWrap/>
              <w:rPr>
                <w:b/>
              </w:rPr>
            </w:pPr>
            <w:r w:rsidRPr="0020632F">
              <w:rPr>
                <w:b/>
                <w:sz w:val="20"/>
              </w:rPr>
              <w:t>Pre-deal measure, standardised</w:t>
            </w:r>
          </w:p>
        </w:tc>
        <w:tc>
          <w:tcPr>
            <w:tcW w:w="1843" w:type="dxa"/>
            <w:vAlign w:val="center"/>
          </w:tcPr>
          <w:p w:rsidR="000C5E12" w:rsidRPr="0020632F" w:rsidRDefault="000C5E12" w:rsidP="00EB6AAB">
            <w:pPr>
              <w:wordWrap/>
              <w:rPr>
                <w:b/>
              </w:rPr>
            </w:pPr>
            <w:r w:rsidRPr="0020632F">
              <w:rPr>
                <w:b/>
                <w:sz w:val="20"/>
              </w:rPr>
              <w:t>Coefficient per SD</w:t>
            </w:r>
          </w:p>
        </w:tc>
        <w:tc>
          <w:tcPr>
            <w:tcW w:w="1843" w:type="dxa"/>
            <w:vAlign w:val="center"/>
          </w:tcPr>
          <w:p w:rsidR="000C5E12" w:rsidRPr="0020632F" w:rsidRDefault="000C5E12" w:rsidP="00EB6AAB">
            <w:pPr>
              <w:wordWrap/>
              <w:rPr>
                <w:b/>
              </w:rPr>
            </w:pPr>
            <w:r w:rsidRPr="0020632F">
              <w:rPr>
                <w:b/>
                <w:sz w:val="20"/>
              </w:rPr>
              <w:t>95% CI</w:t>
            </w:r>
          </w:p>
        </w:tc>
        <w:tc>
          <w:tcPr>
            <w:tcW w:w="660" w:type="dxa"/>
            <w:vAlign w:val="center"/>
          </w:tcPr>
          <w:p w:rsidR="000C5E12" w:rsidRPr="0020632F" w:rsidRDefault="000C5E12" w:rsidP="00EB6AAB">
            <w:pPr>
              <w:wordWrap/>
              <w:rPr>
                <w:b/>
              </w:rPr>
            </w:pPr>
            <w:r w:rsidRPr="0020632F">
              <w:rPr>
                <w:b/>
                <w:sz w:val="20"/>
              </w:rPr>
              <w:t>N</w:t>
            </w:r>
          </w:p>
        </w:tc>
      </w:tr>
      <w:tr w:rsidR="000C5E12" w:rsidRPr="000C5E12" w:rsidTr="00EB6AAB">
        <w:trPr>
          <w:cantSplit/>
        </w:trPr>
        <w:tc>
          <w:tcPr>
            <w:tcW w:w="4675" w:type="dxa"/>
          </w:tcPr>
          <w:p w:rsidR="000C5E12" w:rsidRPr="00EB6AAB" w:rsidRDefault="000C5E12" w:rsidP="00EB6AAB">
            <w:pPr>
              <w:wordWrap/>
              <w:rPr>
                <w:spacing w:val="-6"/>
              </w:rPr>
            </w:pPr>
            <w:r w:rsidRPr="00EB6AAB">
              <w:rPr>
                <w:spacing w:val="-6"/>
              </w:rPr>
              <w:t>Cash / assets</w:t>
            </w:r>
          </w:p>
        </w:tc>
        <w:tc>
          <w:tcPr>
            <w:tcW w:w="1843" w:type="dxa"/>
          </w:tcPr>
          <w:p w:rsidR="000C5E12" w:rsidRPr="000C5E12" w:rsidRDefault="000C5E12" w:rsidP="00EB6AAB">
            <w:pPr>
              <w:wordWrap/>
            </w:pPr>
            <w:r w:rsidRPr="000C5E12">
              <w:t>+0.0255</w:t>
            </w:r>
          </w:p>
        </w:tc>
        <w:tc>
          <w:tcPr>
            <w:tcW w:w="1843" w:type="dxa"/>
          </w:tcPr>
          <w:p w:rsidR="000C5E12" w:rsidRPr="000C5E12" w:rsidRDefault="000C5E12" w:rsidP="00EB6AAB">
            <w:pPr>
              <w:wordWrap/>
            </w:pPr>
            <w:r w:rsidRPr="000C5E12">
              <w:t>[−0.0650, 0.1152]</w:t>
            </w:r>
          </w:p>
        </w:tc>
        <w:tc>
          <w:tcPr>
            <w:tcW w:w="660" w:type="dxa"/>
          </w:tcPr>
          <w:p w:rsidR="000C5E12" w:rsidRPr="000C5E12" w:rsidRDefault="000C5E12" w:rsidP="00EB6AAB">
            <w:pPr>
              <w:wordWrap/>
            </w:pPr>
            <w:r w:rsidRPr="000C5E12">
              <w:t>186</w:t>
            </w:r>
          </w:p>
        </w:tc>
      </w:tr>
      <w:tr w:rsidR="000C5E12" w:rsidRPr="000C5E12" w:rsidTr="00EB6AAB">
        <w:trPr>
          <w:cantSplit/>
        </w:trPr>
        <w:tc>
          <w:tcPr>
            <w:tcW w:w="4675" w:type="dxa"/>
          </w:tcPr>
          <w:p w:rsidR="000C5E12" w:rsidRPr="00EB6AAB" w:rsidRDefault="000C5E12" w:rsidP="00EB6AAB">
            <w:pPr>
              <w:wordWrap/>
              <w:rPr>
                <w:spacing w:val="-6"/>
              </w:rPr>
            </w:pPr>
            <w:r w:rsidRPr="00EB6AAB">
              <w:rPr>
                <w:spacing w:val="-6"/>
              </w:rPr>
              <w:t>Leverage, liabilities / assets</w:t>
            </w:r>
          </w:p>
        </w:tc>
        <w:tc>
          <w:tcPr>
            <w:tcW w:w="1843" w:type="dxa"/>
          </w:tcPr>
          <w:p w:rsidR="000C5E12" w:rsidRPr="000C5E12" w:rsidRDefault="000C5E12" w:rsidP="00EB6AAB">
            <w:pPr>
              <w:wordWrap/>
            </w:pPr>
            <w:r w:rsidRPr="000C5E12">
              <w:t>−0.0045</w:t>
            </w:r>
          </w:p>
        </w:tc>
        <w:tc>
          <w:tcPr>
            <w:tcW w:w="1843" w:type="dxa"/>
          </w:tcPr>
          <w:p w:rsidR="000C5E12" w:rsidRPr="000C5E12" w:rsidRDefault="000C5E12" w:rsidP="00EB6AAB">
            <w:pPr>
              <w:wordWrap/>
            </w:pPr>
            <w:r w:rsidRPr="000C5E12">
              <w:t>[−0.1027, 0.0875]</w:t>
            </w:r>
          </w:p>
        </w:tc>
        <w:tc>
          <w:tcPr>
            <w:tcW w:w="660" w:type="dxa"/>
          </w:tcPr>
          <w:p w:rsidR="000C5E12" w:rsidRPr="000C5E12" w:rsidRDefault="000C5E12" w:rsidP="00EB6AAB">
            <w:pPr>
              <w:wordWrap/>
            </w:pPr>
            <w:r w:rsidRPr="000C5E12">
              <w:t>186</w:t>
            </w:r>
          </w:p>
        </w:tc>
      </w:tr>
      <w:tr w:rsidR="000C5E12" w:rsidRPr="000C5E12" w:rsidTr="00EB6AAB">
        <w:trPr>
          <w:cantSplit/>
        </w:trPr>
        <w:tc>
          <w:tcPr>
            <w:tcW w:w="4675" w:type="dxa"/>
          </w:tcPr>
          <w:p w:rsidR="000C5E12" w:rsidRPr="00EB6AAB" w:rsidRDefault="000C5E12" w:rsidP="00EB6AAB">
            <w:pPr>
              <w:wordWrap/>
              <w:rPr>
                <w:spacing w:val="-6"/>
              </w:rPr>
            </w:pPr>
            <w:r w:rsidRPr="00EB6AAB">
              <w:rPr>
                <w:spacing w:val="-6"/>
              </w:rPr>
              <w:t>Interest coverage, operating income / interest expense</w:t>
            </w:r>
          </w:p>
        </w:tc>
        <w:tc>
          <w:tcPr>
            <w:tcW w:w="1843" w:type="dxa"/>
          </w:tcPr>
          <w:p w:rsidR="000C5E12" w:rsidRPr="000C5E12" w:rsidRDefault="000C5E12" w:rsidP="00EB6AAB">
            <w:pPr>
              <w:wordWrap/>
            </w:pPr>
            <w:r w:rsidRPr="000C5E12">
              <w:t>+0.0489</w:t>
            </w:r>
          </w:p>
        </w:tc>
        <w:tc>
          <w:tcPr>
            <w:tcW w:w="1843" w:type="dxa"/>
          </w:tcPr>
          <w:p w:rsidR="000C5E12" w:rsidRPr="000C5E12" w:rsidRDefault="000C5E12" w:rsidP="00EB6AAB">
            <w:pPr>
              <w:wordWrap/>
            </w:pPr>
            <w:r w:rsidRPr="000C5E12">
              <w:t>[−0.0420, 0.0891]</w:t>
            </w:r>
          </w:p>
        </w:tc>
        <w:tc>
          <w:tcPr>
            <w:tcW w:w="660" w:type="dxa"/>
          </w:tcPr>
          <w:p w:rsidR="000C5E12" w:rsidRPr="000C5E12" w:rsidRDefault="000C5E12" w:rsidP="00EB6AAB">
            <w:pPr>
              <w:wordWrap/>
            </w:pPr>
            <w:r w:rsidRPr="000C5E12">
              <w:t>170</w:t>
            </w:r>
          </w:p>
        </w:tc>
      </w:tr>
      <w:tr w:rsidR="000C5E12" w:rsidRPr="000C5E12" w:rsidTr="00EB6AAB">
        <w:trPr>
          <w:cantSplit/>
        </w:trPr>
        <w:tc>
          <w:tcPr>
            <w:tcW w:w="4675" w:type="dxa"/>
          </w:tcPr>
          <w:p w:rsidR="000C5E12" w:rsidRPr="00EB6AAB" w:rsidRDefault="000C5E12" w:rsidP="00EB6AAB">
            <w:pPr>
              <w:wordWrap/>
              <w:rPr>
                <w:spacing w:val="-6"/>
              </w:rPr>
            </w:pPr>
            <w:r w:rsidRPr="00EB6AAB">
              <w:rPr>
                <w:spacing w:val="-6"/>
              </w:rPr>
              <w:t>Profitability, ROA</w:t>
            </w:r>
          </w:p>
        </w:tc>
        <w:tc>
          <w:tcPr>
            <w:tcW w:w="1843" w:type="dxa"/>
          </w:tcPr>
          <w:p w:rsidR="000C5E12" w:rsidRPr="000C5E12" w:rsidRDefault="000C5E12" w:rsidP="00EB6AAB">
            <w:pPr>
              <w:wordWrap/>
            </w:pPr>
            <w:r w:rsidRPr="000C5E12">
              <w:t>−0.0055</w:t>
            </w:r>
          </w:p>
        </w:tc>
        <w:tc>
          <w:tcPr>
            <w:tcW w:w="1843" w:type="dxa"/>
          </w:tcPr>
          <w:p w:rsidR="000C5E12" w:rsidRPr="000C5E12" w:rsidRDefault="000C5E12" w:rsidP="00EB6AAB">
            <w:pPr>
              <w:wordWrap/>
            </w:pPr>
            <w:r w:rsidRPr="000C5E12">
              <w:t>[−0.0911, 0.1018]</w:t>
            </w:r>
          </w:p>
        </w:tc>
        <w:tc>
          <w:tcPr>
            <w:tcW w:w="660" w:type="dxa"/>
          </w:tcPr>
          <w:p w:rsidR="000C5E12" w:rsidRPr="000C5E12" w:rsidRDefault="000C5E12" w:rsidP="00EB6AAB">
            <w:pPr>
              <w:wordWrap/>
            </w:pPr>
            <w:r w:rsidRPr="000C5E12">
              <w:t>184</w:t>
            </w:r>
          </w:p>
        </w:tc>
      </w:tr>
      <w:tr w:rsidR="000C5E12" w:rsidRPr="000C5E12" w:rsidTr="00EB6AAB">
        <w:trPr>
          <w:cantSplit/>
        </w:trPr>
        <w:tc>
          <w:tcPr>
            <w:tcW w:w="4675" w:type="dxa"/>
          </w:tcPr>
          <w:p w:rsidR="000C5E12" w:rsidRPr="00EB6AAB" w:rsidRDefault="000C5E12" w:rsidP="00EB6AAB">
            <w:pPr>
              <w:wordWrap/>
              <w:rPr>
                <w:spacing w:val="-6"/>
              </w:rPr>
            </w:pPr>
            <w:r w:rsidRPr="00EB6AAB">
              <w:rPr>
                <w:spacing w:val="-6"/>
              </w:rPr>
              <w:t>Pre-deal hiring state, audited subsample</w:t>
            </w:r>
          </w:p>
        </w:tc>
        <w:tc>
          <w:tcPr>
            <w:tcW w:w="1843" w:type="dxa"/>
          </w:tcPr>
          <w:p w:rsidR="000C5E12" w:rsidRPr="000C5E12" w:rsidRDefault="000C5E12" w:rsidP="00EB6AAB">
            <w:pPr>
              <w:wordWrap/>
            </w:pPr>
            <w:r w:rsidRPr="000C5E12">
              <w:t>+0.1087</w:t>
            </w:r>
          </w:p>
        </w:tc>
        <w:tc>
          <w:tcPr>
            <w:tcW w:w="1843" w:type="dxa"/>
          </w:tcPr>
          <w:p w:rsidR="000C5E12" w:rsidRPr="000C5E12" w:rsidRDefault="000C5E12" w:rsidP="00EB6AAB">
            <w:pPr>
              <w:wordWrap/>
            </w:pPr>
            <w:r w:rsidRPr="000C5E12">
              <w:t>[0.0229, 0.1964]</w:t>
            </w:r>
          </w:p>
        </w:tc>
        <w:tc>
          <w:tcPr>
            <w:tcW w:w="660" w:type="dxa"/>
          </w:tcPr>
          <w:p w:rsidR="000C5E12" w:rsidRPr="000C5E12" w:rsidRDefault="000C5E12" w:rsidP="00EB6AAB">
            <w:pPr>
              <w:wordWrap/>
            </w:pPr>
            <w:r w:rsidRPr="000C5E12">
              <w:t>169</w:t>
            </w:r>
          </w:p>
        </w:tc>
      </w:tr>
      <w:tr w:rsidR="000C5E12" w:rsidRPr="000C5E12" w:rsidTr="00EB6AAB">
        <w:trPr>
          <w:cantSplit/>
        </w:trPr>
        <w:tc>
          <w:tcPr>
            <w:tcW w:w="4675" w:type="dxa"/>
          </w:tcPr>
          <w:p w:rsidR="000C5E12" w:rsidRPr="00EB6AAB" w:rsidRDefault="000C5E12" w:rsidP="00EB6AAB">
            <w:pPr>
              <w:wordWrap/>
              <w:rPr>
                <w:spacing w:val="-6"/>
              </w:rPr>
            </w:pPr>
            <w:r w:rsidRPr="00EB6AAB">
              <w:rPr>
                <w:spacing w:val="-6"/>
              </w:rPr>
              <w:t>Memo: pre-deal hiring state, conventional full sample</w:t>
            </w:r>
          </w:p>
        </w:tc>
        <w:tc>
          <w:tcPr>
            <w:tcW w:w="1843" w:type="dxa"/>
          </w:tcPr>
          <w:p w:rsidR="000C5E12" w:rsidRPr="000C5E12" w:rsidRDefault="000C5E12" w:rsidP="00EB6AAB">
            <w:pPr>
              <w:wordWrap/>
            </w:pPr>
            <w:r w:rsidRPr="000C5E12">
              <w:t>+0.1095</w:t>
            </w:r>
          </w:p>
        </w:tc>
        <w:tc>
          <w:tcPr>
            <w:tcW w:w="1843" w:type="dxa"/>
          </w:tcPr>
          <w:p w:rsidR="000C5E12" w:rsidRPr="000C5E12" w:rsidRDefault="000C5E12" w:rsidP="00EB6AAB">
            <w:pPr>
              <w:wordWrap/>
            </w:pPr>
            <w:r w:rsidRPr="000C5E12">
              <w:t>[0.0221, 0.1949]</w:t>
            </w:r>
          </w:p>
        </w:tc>
        <w:tc>
          <w:tcPr>
            <w:tcW w:w="660" w:type="dxa"/>
          </w:tcPr>
          <w:p w:rsidR="000C5E12" w:rsidRPr="000C5E12" w:rsidRDefault="000C5E12" w:rsidP="00EB6AAB">
            <w:pPr>
              <w:wordWrap/>
            </w:pPr>
            <w:r w:rsidRPr="000C5E12">
              <w:t>301</w:t>
            </w:r>
          </w:p>
        </w:tc>
      </w:tr>
    </w:tbl>
    <w:p w:rsidR="000C5E12" w:rsidRPr="0020632F" w:rsidRDefault="000C5E12" w:rsidP="00EB6AAB">
      <w:pPr>
        <w:pStyle w:val="aff3"/>
        <w:wordWrap/>
        <w:spacing w:before="0"/>
        <w:rPr>
          <w:color w:val="7F7F7F" w:themeColor="text1" w:themeTint="80"/>
        </w:rPr>
      </w:pPr>
      <w:r w:rsidRPr="0020632F">
        <w:rPr>
          <w:color w:val="7F7F7F" w:themeColor="text1" w:themeTint="80"/>
        </w:rPr>
        <w:t xml:space="preserve">Notes. The outcome is the unwinsorised event-level treated-minus-control change in the log hiring rate. Financial variables come from the fiscal year preceding the deal year, are clipped at the within-sample 1st and 99th percentiles, and are standardised before estimation. Confidence intervals are obtained by </w:t>
      </w:r>
      <w:r w:rsidRPr="0020632F">
        <w:rPr>
          <w:color w:val="7F7F7F" w:themeColor="text1" w:themeTint="80"/>
        </w:rPr>
        <w:lastRenderedPageBreak/>
        <w:t>resampling treated firms. The audited-subsample state row reports the hiring-state coefficient where the corresponding audited observations are available. The memo row reports the same form of state coefficient in the 301-event conventional full sample and is included to distinguish sample restriction from the choice of financial variable.</w:t>
      </w:r>
    </w:p>
    <w:p w:rsidR="000C5E12" w:rsidRPr="000C5E12" w:rsidRDefault="000C5E12" w:rsidP="00EB6AAB">
      <w:pPr>
        <w:pStyle w:val="aff3"/>
        <w:wordWrap/>
      </w:pPr>
      <w:r w:rsidRPr="000C5E12">
        <w:t xml:space="preserve">None of the four accounting variables provides a comparably clear ordering of the realised hiring response in its available audited sample. Cash relative to assets has a coefficient of 0.0255 [−0.0650, 0.1152], leverage </w:t>
      </w:r>
      <m:oMath>
        <m:r>
          <m:rPr>
            <m:sty m:val="p"/>
          </m:rPr>
          <w:rPr>
            <w:rFonts w:ascii="Cambria Math" w:hAnsi="Cambria Math"/>
          </w:rPr>
          <m:t>-</m:t>
        </m:r>
        <m:r>
          <w:rPr>
            <w:rFonts w:ascii="Cambria Math" w:hAnsi="Cambria Math"/>
          </w:rPr>
          <m:t>0.0045</m:t>
        </m:r>
      </m:oMath>
      <w:r w:rsidRPr="000C5E12">
        <w:t xml:space="preserve"> [−0.1027, 0.0875], interest coverage 0.0489 [−0.0420, 0.0891], and profitability </w:t>
      </w:r>
      <m:oMath>
        <m:r>
          <m:rPr>
            <m:sty m:val="p"/>
          </m:rPr>
          <w:rPr>
            <w:rFonts w:ascii="Cambria Math" w:hAnsi="Cambria Math"/>
          </w:rPr>
          <m:t>-</m:t>
        </m:r>
        <m:r>
          <w:rPr>
            <w:rFonts w:ascii="Cambria Math" w:hAnsi="Cambria Math"/>
          </w:rPr>
          <m:t>0.0055</m:t>
        </m:r>
      </m:oMath>
      <w:r w:rsidRPr="000C5E12">
        <w:t xml:space="preserve"> [−0.0911, 0.1018].</w:t>
      </w:r>
      <w:r>
        <w:t xml:space="preserve"> </w:t>
      </w:r>
      <w:r>
        <w:rPr>
          <w:rFonts w:eastAsia="Times New Roman"/>
        </w:rPr>
        <w:t>The hiring-state coefficient remains 0.1087 [0.0229, 0.1964] in the smaller audited sample, close to 0.1095 [0.0221, 0.1949] in the 301-event conventional sample. The weaker financial-variable gradients are thus not simply a generic consequence of restricting the sample to firms with audited accounts.</w:t>
      </w:r>
      <w:r>
        <w:t xml:space="preserve"> </w:t>
      </w:r>
      <w:r>
        <w:rPr>
          <w:rFonts w:eastAsia="Times New Roman"/>
        </w:rPr>
        <w:t>These accounting variables are imperfect measures of access to finance, and the audited sample is larger and more selected than the pension-based population. Their weak gradients do not test a financing-constraint mechanism or rule out financing capacity, governance, product demand, managerial capacity, or recruiting access.</w:t>
      </w:r>
    </w:p>
    <w:p w:rsidR="0020632F" w:rsidRPr="0020632F" w:rsidRDefault="0020632F" w:rsidP="00EB6AAB">
      <w:pPr>
        <w:pStyle w:val="3"/>
      </w:pPr>
      <w:r w:rsidRPr="0020632F">
        <w:t>Appendix C. Validation of administrative worker inflows and flow outcomes</w:t>
      </w:r>
    </w:p>
    <w:p w:rsidR="0020632F" w:rsidRPr="0020632F" w:rsidRDefault="0020632F" w:rsidP="00EB6AAB">
      <w:pPr>
        <w:pStyle w:val="aff3"/>
        <w:wordWrap/>
      </w:pPr>
      <w:r>
        <w:rPr>
          <w:rFonts w:eastAsia="Times New Roman"/>
        </w:rPr>
        <w:t>NPS entries measure administrative worker inflows, not necessarily one-for-one external recruitment: re-registration, payroll consolidation, and other administrative changes can also generate entries. In addition, hiring and separation rates use employment as a denominator. This appendix checks flow-stock accounting, applies measurement filters, reconstructs inflows without the reported entry field, and compares flow measures with the employment stock.</w:t>
      </w:r>
    </w:p>
    <w:p w:rsidR="0020632F" w:rsidRPr="0020632F" w:rsidRDefault="0020632F" w:rsidP="00EB6AAB">
      <w:pPr>
        <w:pStyle w:val="3"/>
      </w:pPr>
      <w:r w:rsidRPr="0020632F">
        <w:t>C.1 Accounting consistency of worker entries and exits</w:t>
      </w:r>
    </w:p>
    <w:p w:rsidR="0020632F" w:rsidRPr="0020632F" w:rsidRDefault="0020632F" w:rsidP="00EB6AAB">
      <w:pPr>
        <w:pStyle w:val="aff3"/>
        <w:wordWrap/>
      </w:pPr>
      <w:r w:rsidRPr="0020632F">
        <w:t xml:space="preserve">Let </w:t>
      </w:r>
      <m:oMath>
        <m:sSub>
          <m:sSubPr>
            <m:ctrlPr>
              <w:rPr>
                <w:rFonts w:ascii="Cambria Math" w:hAnsi="Cambria Math"/>
              </w:rPr>
            </m:ctrlPr>
          </m:sSubPr>
          <m:e>
            <m:r>
              <w:rPr>
                <w:rFonts w:ascii="Cambria Math" w:hAnsi="Cambria Math"/>
              </w:rPr>
              <m:t>E</m:t>
            </m:r>
          </m:e>
          <m:sub>
            <m:r>
              <w:rPr>
                <w:rFonts w:ascii="Cambria Math" w:hAnsi="Cambria Math"/>
              </w:rPr>
              <m:t>it</m:t>
            </m:r>
          </m:sub>
        </m:sSub>
      </m:oMath>
      <w:r w:rsidRPr="0020632F">
        <w:t xml:space="preserve"> denote </w:t>
      </w:r>
      <w:r w:rsidR="00C76F70">
        <w:t xml:space="preserve">the month-end insured-employment stock, </w:t>
      </w:r>
      <m:oMath>
        <m:r>
          <w:rPr>
            <w:rFonts w:ascii="Cambria Math" w:hAnsi="Cambria Math"/>
          </w:rPr>
          <m:t>Entr</m:t>
        </m:r>
        <m:sSub>
          <m:sSubPr>
            <m:ctrlPr>
              <w:rPr>
                <w:rFonts w:ascii="Cambria Math" w:hAnsi="Cambria Math"/>
              </w:rPr>
            </m:ctrlPr>
          </m:sSubPr>
          <m:e>
            <m:r>
              <w:rPr>
                <w:rFonts w:ascii="Cambria Math" w:hAnsi="Cambria Math"/>
              </w:rPr>
              <m:t>y</m:t>
            </m:r>
          </m:e>
          <m:sub>
            <m:r>
              <w:rPr>
                <w:rFonts w:ascii="Cambria Math" w:hAnsi="Cambria Math"/>
              </w:rPr>
              <m:t>it</m:t>
            </m:r>
          </m:sub>
        </m:sSub>
      </m:oMath>
      <w:r w:rsidRPr="0020632F">
        <w:t xml:space="preserve"> reported worker entries</w:t>
      </w:r>
      <w:r w:rsidR="00C76F70">
        <w:t xml:space="preserve"> during month </w:t>
      </w:r>
      <m:oMath>
        <m:r>
          <w:rPr>
            <w:rFonts w:ascii="Cambria Math" w:hAnsi="Cambria Math"/>
          </w:rPr>
          <m:t>t</m:t>
        </m:r>
      </m:oMath>
      <w:r w:rsidRPr="0020632F">
        <w:t xml:space="preserve">, and </w:t>
      </w:r>
      <m:oMath>
        <m:r>
          <w:rPr>
            <w:rFonts w:ascii="Cambria Math" w:hAnsi="Cambria Math"/>
          </w:rPr>
          <m:t>Exi</m:t>
        </m:r>
        <m:sSub>
          <m:sSubPr>
            <m:ctrlPr>
              <w:rPr>
                <w:rFonts w:ascii="Cambria Math" w:hAnsi="Cambria Math"/>
              </w:rPr>
            </m:ctrlPr>
          </m:sSubPr>
          <m:e>
            <m:r>
              <w:rPr>
                <w:rFonts w:ascii="Cambria Math" w:hAnsi="Cambria Math"/>
              </w:rPr>
              <m:t>t</m:t>
            </m:r>
          </m:e>
          <m:sub>
            <m:r>
              <w:rPr>
                <w:rFonts w:ascii="Cambria Math" w:hAnsi="Cambria Math"/>
              </w:rPr>
              <m:t>it</m:t>
            </m:r>
          </m:sub>
        </m:sSub>
      </m:oMath>
      <w:r w:rsidRPr="0020632F">
        <w:t xml:space="preserve"> reported worker exits. </w:t>
      </w:r>
      <w:r w:rsidR="00E429BD">
        <w:t>Define</w:t>
      </w:r>
    </w:p>
    <w:p w:rsidR="0020632F" w:rsidRPr="0020632F" w:rsidRDefault="00EB6AAB" w:rsidP="00EB6AAB">
      <w:pPr>
        <w:pStyle w:val="aff3"/>
        <w:wordWrap/>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Entr</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Exi</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oMath>
      </m:oMathPara>
    </w:p>
    <w:p w:rsidR="00E429BD" w:rsidRDefault="00E429BD" w:rsidP="00EB6AAB">
      <w:pPr>
        <w:pStyle w:val="aff3"/>
        <w:wordWrap/>
        <w:rPr>
          <w:kern w:val="0"/>
          <w:sz w:val="24"/>
        </w:rPr>
      </w:pPr>
      <w:r>
        <w:t xml:space="preserve">Perfect reconciliation under a common timing convention would imply </w:t>
      </w:r>
      <m:oMath>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 xml:space="preserve">= </m:t>
        </m:r>
      </m:oMath>
      <w:r>
        <w:rPr>
          <w:rStyle w:val="katex"/>
        </w:rPr>
        <w:t>0</w:t>
      </w:r>
      <w:r>
        <w:t xml:space="preserve">. In practice, the stock is measured at month end whereas entries and exits are monthly acquisition and loss records; late filings and administrative corrections can therefore make the two series differ. </w:t>
      </w:r>
      <w:r>
        <w:rPr>
          <w:rFonts w:eastAsia="Times New Roman"/>
        </w:rPr>
        <w:t>We scale the absolute discrepancy by lagged insured employment:</w:t>
      </w:r>
    </w:p>
    <w:p w:rsidR="0020632F" w:rsidRPr="0020632F" w:rsidRDefault="00EB6AAB" w:rsidP="00EB6AAB">
      <w:pPr>
        <w:pStyle w:val="aff3"/>
        <w:wordWrap/>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en>
          </m:f>
          <m:r>
            <m:rPr>
              <m:sty m:val="p"/>
            </m:rPr>
            <w:rPr>
              <w:rFonts w:ascii="Cambria Math" w:hAnsi="Cambria Math"/>
            </w:rPr>
            <m:t>.</m:t>
          </m:r>
        </m:oMath>
      </m:oMathPara>
    </w:p>
    <w:p w:rsidR="00E429BD" w:rsidRDefault="00E429BD" w:rsidP="00EB6AAB">
      <w:pPr>
        <w:pStyle w:val="aff3"/>
        <w:wordWrap/>
      </w:pPr>
      <w:r>
        <w:t xml:space="preserve">excluding observations for which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=0</m:t>
        </m:r>
      </m:oMath>
      <w:r>
        <w:rPr>
          <w:rFonts w:hint="eastAsia"/>
        </w:rPr>
        <w:t>.</w:t>
      </w:r>
      <w:r>
        <w:t xml:space="preserve"> </w:t>
      </w:r>
      <w:r>
        <w:rPr>
          <w:rFonts w:eastAsia="Times New Roman"/>
        </w:rPr>
        <w:t>Among 227,339 firm-months, the median absolute discrepancy is one worker and 24.3 percent reconcile exactly. The median discrepancy is 1.4 percent of employment; the 90th percentile is 7.1 percent.</w:t>
      </w:r>
    </w:p>
    <w:p w:rsidR="0020632F" w:rsidRPr="00FF4DCD" w:rsidRDefault="0020632F" w:rsidP="00EB6AAB">
      <w:pPr>
        <w:pStyle w:val="aff3"/>
        <w:wordWrap/>
        <w:rPr>
          <w:b/>
        </w:rPr>
      </w:pPr>
      <w:r w:rsidRPr="00FF4DCD">
        <w:rPr>
          <w:b/>
        </w:rPr>
        <w:t>Table C1. Accounting consistency of pension worker flows</w:t>
      </w:r>
    </w:p>
    <w:tbl>
      <w:tblPr>
        <w:tblW w:w="56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4507"/>
        <w:gridCol w:w="1107"/>
      </w:tblGrid>
      <w:tr w:rsidR="0020632F" w:rsidRPr="0020632F" w:rsidTr="00EB6AAB">
        <w:trPr>
          <w:cantSplit/>
          <w:trHeight w:val="424"/>
          <w:tblHeader/>
        </w:trPr>
        <w:tc>
          <w:tcPr>
            <w:tcW w:w="0" w:type="auto"/>
            <w:vAlign w:val="center"/>
          </w:tcPr>
          <w:p w:rsidR="0020632F" w:rsidRPr="0020632F" w:rsidRDefault="0020632F" w:rsidP="00EB6AAB">
            <w:pPr>
              <w:wordWrap/>
            </w:pPr>
            <w:r w:rsidRPr="0020632F">
              <w:t>Measure</w:t>
            </w:r>
          </w:p>
        </w:tc>
        <w:tc>
          <w:tcPr>
            <w:tcW w:w="0" w:type="auto"/>
            <w:vAlign w:val="center"/>
          </w:tcPr>
          <w:p w:rsidR="0020632F" w:rsidRPr="0020632F" w:rsidRDefault="0020632F" w:rsidP="00EB6AAB">
            <w:pPr>
              <w:wordWrap/>
              <w:jc w:val="center"/>
            </w:pPr>
            <w:r w:rsidRPr="0020632F">
              <w:t>Value</w:t>
            </w:r>
          </w:p>
        </w:tc>
      </w:tr>
      <w:tr w:rsidR="0020632F" w:rsidRPr="0020632F" w:rsidTr="00EB6AAB">
        <w:trPr>
          <w:cantSplit/>
          <w:trHeight w:val="410"/>
        </w:trPr>
        <w:tc>
          <w:tcPr>
            <w:tcW w:w="0" w:type="auto"/>
          </w:tcPr>
          <w:p w:rsidR="0020632F" w:rsidRPr="0020632F" w:rsidRDefault="0020632F" w:rsidP="00EB6AAB">
            <w:pPr>
              <w:wordWrap/>
            </w:pPr>
            <w:r w:rsidRPr="0020632F">
              <w:t>Firm-month observations</w:t>
            </w:r>
          </w:p>
        </w:tc>
        <w:tc>
          <w:tcPr>
            <w:tcW w:w="0" w:type="auto"/>
          </w:tcPr>
          <w:p w:rsidR="0020632F" w:rsidRPr="0020632F" w:rsidRDefault="0020632F" w:rsidP="00EB6AAB">
            <w:pPr>
              <w:tabs>
                <w:tab w:val="left" w:pos="201"/>
              </w:tabs>
              <w:wordWrap/>
              <w:jc w:val="right"/>
            </w:pPr>
            <w:r w:rsidRPr="0020632F">
              <w:t>227,339</w:t>
            </w:r>
          </w:p>
        </w:tc>
      </w:tr>
      <w:tr w:rsidR="0020632F" w:rsidRPr="0020632F" w:rsidTr="00EB6AAB">
        <w:trPr>
          <w:cantSplit/>
          <w:trHeight w:val="424"/>
        </w:trPr>
        <w:tc>
          <w:tcPr>
            <w:tcW w:w="0" w:type="auto"/>
          </w:tcPr>
          <w:p w:rsidR="0020632F" w:rsidRPr="0020632F" w:rsidRDefault="0020632F" w:rsidP="00EB6AAB">
            <w:pPr>
              <w:wordWrap/>
            </w:pPr>
            <w:r w:rsidRPr="0020632F">
              <w:t>Median absolute discrepancy</w:t>
            </w:r>
          </w:p>
        </w:tc>
        <w:tc>
          <w:tcPr>
            <w:tcW w:w="0" w:type="auto"/>
          </w:tcPr>
          <w:p w:rsidR="0020632F" w:rsidRPr="0020632F" w:rsidRDefault="0020632F" w:rsidP="00EB6AAB">
            <w:pPr>
              <w:tabs>
                <w:tab w:val="left" w:pos="201"/>
              </w:tabs>
              <w:wordWrap/>
              <w:jc w:val="right"/>
            </w:pPr>
            <w:r w:rsidRPr="0020632F">
              <w:t>1 worker</w:t>
            </w:r>
          </w:p>
        </w:tc>
      </w:tr>
      <w:tr w:rsidR="0020632F" w:rsidRPr="0020632F" w:rsidTr="00EB6AAB">
        <w:trPr>
          <w:cantSplit/>
          <w:trHeight w:val="410"/>
        </w:trPr>
        <w:tc>
          <w:tcPr>
            <w:tcW w:w="0" w:type="auto"/>
          </w:tcPr>
          <w:p w:rsidR="0020632F" w:rsidRPr="0020632F" w:rsidRDefault="0020632F" w:rsidP="00EB6AAB">
            <w:pPr>
              <w:wordWrap/>
            </w:pPr>
            <w:r w:rsidRPr="0020632F">
              <w:t>Share reconciling exactly</w:t>
            </w:r>
          </w:p>
        </w:tc>
        <w:tc>
          <w:tcPr>
            <w:tcW w:w="0" w:type="auto"/>
          </w:tcPr>
          <w:p w:rsidR="0020632F" w:rsidRPr="0020632F" w:rsidRDefault="0020632F" w:rsidP="00EB6AAB">
            <w:pPr>
              <w:tabs>
                <w:tab w:val="left" w:pos="201"/>
              </w:tabs>
              <w:wordWrap/>
              <w:jc w:val="right"/>
            </w:pPr>
            <w:r w:rsidRPr="0020632F">
              <w:t>24.3%</w:t>
            </w:r>
          </w:p>
        </w:tc>
      </w:tr>
      <w:tr w:rsidR="0020632F" w:rsidRPr="0020632F" w:rsidTr="00EB6AAB">
        <w:trPr>
          <w:cantSplit/>
          <w:trHeight w:val="424"/>
        </w:trPr>
        <w:tc>
          <w:tcPr>
            <w:tcW w:w="0" w:type="auto"/>
          </w:tcPr>
          <w:p w:rsidR="0020632F" w:rsidRPr="0020632F" w:rsidRDefault="0020632F" w:rsidP="00EB6AAB">
            <w:pPr>
              <w:wordWrap/>
            </w:pPr>
            <w:r w:rsidRPr="0020632F">
              <w:t>Median discrepancy relative to employment</w:t>
            </w:r>
          </w:p>
        </w:tc>
        <w:tc>
          <w:tcPr>
            <w:tcW w:w="0" w:type="auto"/>
          </w:tcPr>
          <w:p w:rsidR="0020632F" w:rsidRPr="0020632F" w:rsidRDefault="0020632F" w:rsidP="00EB6AAB">
            <w:pPr>
              <w:tabs>
                <w:tab w:val="left" w:pos="201"/>
              </w:tabs>
              <w:wordWrap/>
              <w:jc w:val="right"/>
            </w:pPr>
            <w:r w:rsidRPr="0020632F">
              <w:t>1.4%</w:t>
            </w:r>
          </w:p>
        </w:tc>
      </w:tr>
      <w:tr w:rsidR="0020632F" w:rsidRPr="0020632F" w:rsidTr="00EB6AAB">
        <w:trPr>
          <w:cantSplit/>
          <w:trHeight w:val="410"/>
        </w:trPr>
        <w:tc>
          <w:tcPr>
            <w:tcW w:w="0" w:type="auto"/>
          </w:tcPr>
          <w:p w:rsidR="0020632F" w:rsidRPr="0020632F" w:rsidRDefault="0020632F" w:rsidP="00EB6AAB">
            <w:pPr>
              <w:wordWrap/>
            </w:pPr>
            <w:r w:rsidRPr="0020632F">
              <w:t>90th percentile, relative discrepancy</w:t>
            </w:r>
          </w:p>
        </w:tc>
        <w:tc>
          <w:tcPr>
            <w:tcW w:w="0" w:type="auto"/>
          </w:tcPr>
          <w:p w:rsidR="0020632F" w:rsidRPr="0020632F" w:rsidRDefault="0020632F" w:rsidP="00EB6AAB">
            <w:pPr>
              <w:tabs>
                <w:tab w:val="left" w:pos="201"/>
              </w:tabs>
              <w:wordWrap/>
              <w:jc w:val="right"/>
            </w:pPr>
            <w:r w:rsidRPr="0020632F">
              <w:t>7.1%</w:t>
            </w:r>
          </w:p>
        </w:tc>
      </w:tr>
      <w:tr w:rsidR="0020632F" w:rsidRPr="0020632F" w:rsidTr="00EB6AAB">
        <w:trPr>
          <w:cantSplit/>
          <w:trHeight w:val="424"/>
        </w:trPr>
        <w:tc>
          <w:tcPr>
            <w:tcW w:w="0" w:type="auto"/>
          </w:tcPr>
          <w:p w:rsidR="0020632F" w:rsidRPr="0020632F" w:rsidRDefault="0020632F" w:rsidP="00EB6AAB">
            <w:pPr>
              <w:wordWrap/>
            </w:pPr>
            <w:r w:rsidRPr="0020632F">
              <w:t>Treated firms, year before transaction</w:t>
            </w:r>
          </w:p>
        </w:tc>
        <w:tc>
          <w:tcPr>
            <w:tcW w:w="0" w:type="auto"/>
          </w:tcPr>
          <w:p w:rsidR="0020632F" w:rsidRPr="0020632F" w:rsidRDefault="0020632F" w:rsidP="00EB6AAB">
            <w:pPr>
              <w:tabs>
                <w:tab w:val="left" w:pos="201"/>
              </w:tabs>
              <w:wordWrap/>
              <w:jc w:val="right"/>
            </w:pPr>
            <w:r w:rsidRPr="0020632F">
              <w:t>2.8%</w:t>
            </w:r>
          </w:p>
        </w:tc>
      </w:tr>
      <w:tr w:rsidR="0020632F" w:rsidRPr="0020632F" w:rsidTr="00EB6AAB">
        <w:trPr>
          <w:cantSplit/>
          <w:trHeight w:val="410"/>
        </w:trPr>
        <w:tc>
          <w:tcPr>
            <w:tcW w:w="0" w:type="auto"/>
          </w:tcPr>
          <w:p w:rsidR="0020632F" w:rsidRPr="0020632F" w:rsidRDefault="0020632F" w:rsidP="00EB6AAB">
            <w:pPr>
              <w:wordWrap/>
            </w:pPr>
            <w:r w:rsidRPr="0020632F">
              <w:t>Treated firms, transaction month</w:t>
            </w:r>
          </w:p>
        </w:tc>
        <w:tc>
          <w:tcPr>
            <w:tcW w:w="0" w:type="auto"/>
          </w:tcPr>
          <w:p w:rsidR="0020632F" w:rsidRPr="0020632F" w:rsidRDefault="0020632F" w:rsidP="00EB6AAB">
            <w:pPr>
              <w:tabs>
                <w:tab w:val="left" w:pos="201"/>
              </w:tabs>
              <w:wordWrap/>
              <w:jc w:val="right"/>
            </w:pPr>
            <w:r w:rsidRPr="0020632F">
              <w:t>3.6%</w:t>
            </w:r>
          </w:p>
        </w:tc>
      </w:tr>
      <w:tr w:rsidR="0020632F" w:rsidRPr="0020632F" w:rsidTr="00EB6AAB">
        <w:trPr>
          <w:cantSplit/>
          <w:trHeight w:val="424"/>
        </w:trPr>
        <w:tc>
          <w:tcPr>
            <w:tcW w:w="0" w:type="auto"/>
          </w:tcPr>
          <w:p w:rsidR="0020632F" w:rsidRPr="0020632F" w:rsidRDefault="0020632F" w:rsidP="00EB6AAB">
            <w:pPr>
              <w:wordWrap/>
            </w:pPr>
            <w:r w:rsidRPr="0020632F">
              <w:t>Treated firms, post-transaction period</w:t>
            </w:r>
          </w:p>
        </w:tc>
        <w:tc>
          <w:tcPr>
            <w:tcW w:w="0" w:type="auto"/>
          </w:tcPr>
          <w:p w:rsidR="0020632F" w:rsidRPr="0020632F" w:rsidRDefault="0020632F" w:rsidP="00EB6AAB">
            <w:pPr>
              <w:tabs>
                <w:tab w:val="left" w:pos="201"/>
              </w:tabs>
              <w:wordWrap/>
              <w:jc w:val="right"/>
            </w:pPr>
            <w:r w:rsidRPr="0020632F">
              <w:t>3.1%</w:t>
            </w:r>
          </w:p>
        </w:tc>
      </w:tr>
    </w:tbl>
    <w:p w:rsidR="00E429BD" w:rsidRPr="00E429BD" w:rsidRDefault="0020632F" w:rsidP="00EB6AAB">
      <w:pPr>
        <w:pStyle w:val="aff3"/>
        <w:wordWrap/>
        <w:spacing w:before="0"/>
        <w:rPr>
          <w:color w:val="7F7F7F" w:themeColor="text1" w:themeTint="80"/>
        </w:rPr>
      </w:pPr>
      <w:r w:rsidRPr="00E429BD">
        <w:rPr>
          <w:color w:val="7F7F7F" w:themeColor="text1" w:themeTint="80"/>
        </w:rPr>
        <w:t xml:space="preserve">Notes. </w:t>
      </w:r>
      <w:r w:rsidR="00E429BD" w:rsidRPr="00E429BD">
        <w:rPr>
          <w:color w:val="7F7F7F" w:themeColor="text1" w:themeTint="80"/>
        </w:rPr>
        <w:t>The last three rows report mean relative discrepancies for treated firms over the indicated periods. Employment is the month-end NPS insured-employment stock. Only three of the 379 baseline treated firms change their registered-workplace count around the transaction. The accounting checks support interpreting NPS entries as administrative worker inflows while preserving the distinction between a recorded pension entry and an independently observed recruiting decision.</w:t>
      </w:r>
    </w:p>
    <w:p w:rsidR="0020632F" w:rsidRPr="0020632F" w:rsidRDefault="0020632F" w:rsidP="00EB6AAB">
      <w:pPr>
        <w:pStyle w:val="aff3"/>
        <w:wordWrap/>
      </w:pPr>
      <w:r>
        <w:rPr>
          <w:rFonts w:eastAsia="Times New Roman"/>
        </w:rPr>
        <w:t>The mean relative discrepancy rises from 2.8 percent in the year before the transaction to 3.6 percent in the transaction month, then falls to 3.1 percent. The movement is modest but rules out assuming perfect reconciliation precisely at the ownership change. Section C.2 therefore tests sensitivity to large discrepancies and administrative restructuring.</w:t>
      </w:r>
      <w:r>
        <w:t xml:space="preserve"> </w:t>
      </w:r>
      <w:r>
        <w:rPr>
          <w:rFonts w:eastAsia="Times New Roman"/>
        </w:rPr>
        <w:t>Only three of the 379 treated firms change their number of registered NPS workplaces around the transaction. Observable workplace restructuring is rare, although that fact cannot show that every recorded entry is an external recruit.</w:t>
      </w:r>
    </w:p>
    <w:p w:rsidR="0020632F" w:rsidRPr="0020632F" w:rsidRDefault="0020632F" w:rsidP="00EB6AAB">
      <w:pPr>
        <w:pStyle w:val="3"/>
      </w:pPr>
      <w:r w:rsidRPr="0020632F">
        <w:t>C.2 Measurement filters and reconstructed worker inflows</w:t>
      </w:r>
    </w:p>
    <w:p w:rsidR="0020632F" w:rsidRPr="0020632F" w:rsidRDefault="0020632F" w:rsidP="00EB6AAB">
      <w:pPr>
        <w:pStyle w:val="aff3"/>
        <w:wordWrap/>
      </w:pPr>
      <w:r>
        <w:rPr>
          <w:rFonts w:eastAsia="Times New Roman"/>
        </w:rPr>
        <w:t xml:space="preserve">We re-estimate the state gradient after removing firm-months with large flow-stock discrepancies, months with exceptionally high turnover, and treated firms whose registered-workplace count changes </w:t>
      </w:r>
      <w:r>
        <w:rPr>
          <w:rFonts w:eastAsia="Times New Roman"/>
        </w:rPr>
        <w:lastRenderedPageBreak/>
        <w:t>around investment.</w:t>
      </w:r>
    </w:p>
    <w:p w:rsidR="0020632F" w:rsidRPr="0020632F" w:rsidRDefault="0020632F" w:rsidP="00EB6AAB">
      <w:pPr>
        <w:pStyle w:val="aff3"/>
        <w:wordWrap/>
      </w:pPr>
      <w:r w:rsidRPr="0020632F">
        <w:t>The final specification reconstructs worker inflows without using the reported entry variable. From the employment-flow identity,</w:t>
      </w:r>
    </w:p>
    <w:p w:rsidR="0020632F" w:rsidRPr="0020632F" w:rsidRDefault="00EB6AAB" w:rsidP="00EB6AAB">
      <w:pPr>
        <w:pStyle w:val="aff3"/>
        <w:wordWrap/>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Entr</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Exi</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oMath>
      </m:oMathPara>
    </w:p>
    <w:p w:rsidR="0020632F" w:rsidRPr="0020632F" w:rsidRDefault="0020632F" w:rsidP="00EB6AAB">
      <w:pPr>
        <w:pStyle w:val="aff3"/>
        <w:wordWrap/>
      </w:pPr>
      <w:r w:rsidRPr="0020632F">
        <w:t>the implied inflow absent the discrepancy term is</w:t>
      </w:r>
    </w:p>
    <w:p w:rsidR="0020632F" w:rsidRPr="0020632F" w:rsidRDefault="0020632F" w:rsidP="00EB6AAB">
      <w:pPr>
        <w:pStyle w:val="aff3"/>
        <w:wordWrap/>
      </w:pPr>
      <m:oMathPara>
        <m:oMathParaPr>
          <m:jc m:val="center"/>
        </m:oMathParaPr>
        <m:oMath>
          <m:r>
            <w:rPr>
              <w:rFonts w:ascii="Cambria Math" w:hAnsi="Cambria Math"/>
            </w:rPr>
            <m:t>Entr</m:t>
          </m:r>
          <m:sSubSup>
            <m:sSubSupPr>
              <m:ctrlPr>
                <w:rPr>
                  <w:rFonts w:ascii="Cambria Math" w:hAnsi="Cambria Math"/>
                </w:rPr>
              </m:ctrlPr>
            </m:sSubSupPr>
            <m:e>
              <m:r>
                <w:rPr>
                  <w:rFonts w:ascii="Cambria Math" w:hAnsi="Cambria Math"/>
                </w:rPr>
                <m:t>y</m:t>
              </m:r>
            </m:e>
            <m:sub>
              <m:r>
                <w:rPr>
                  <w:rFonts w:ascii="Cambria Math" w:hAnsi="Cambria Math"/>
                </w:rPr>
                <m:t>it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Exi</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oMath>
      </m:oMathPara>
    </w:p>
    <w:p w:rsidR="0020632F" w:rsidRPr="0020632F" w:rsidRDefault="0020632F" w:rsidP="00EB6AAB">
      <w:pPr>
        <w:pStyle w:val="aff3"/>
        <w:wordWrap/>
      </w:pPr>
      <w:r w:rsidRPr="0020632F">
        <w:t>The implemented reconstructed measure follows</w:t>
      </w:r>
    </w:p>
    <w:p w:rsidR="0020632F" w:rsidRPr="0020632F" w:rsidRDefault="00EB6AAB" w:rsidP="00EB6AAB">
      <w:pPr>
        <w:pStyle w:val="aff3"/>
        <w:wordWrap/>
      </w:pPr>
      <m:oMathPara>
        <m:oMathParaPr>
          <m:jc m:val="center"/>
        </m:oMathParaPr>
        <m:oMath>
          <m:sSubSup>
            <m:sSubSupPr>
              <m:ctrlPr>
                <w:rPr>
                  <w:rFonts w:ascii="Cambria Math" w:hAnsi="Cambria Math"/>
                </w:rPr>
              </m:ctrlPr>
            </m:sSubSupPr>
            <m:e>
              <m:r>
                <m:rPr>
                  <m:nor/>
                </m:rPr>
                <m:t>Entry</m:t>
              </m:r>
            </m:e>
            <m:sub>
              <m:r>
                <w:rPr>
                  <w:rFonts w:ascii="Cambria Math" w:hAnsi="Cambria Math"/>
                </w:rPr>
                <m:t>it</m:t>
              </m:r>
            </m:sub>
            <m:sup>
              <m:r>
                <m:rPr>
                  <m:sty m:val="p"/>
                </m:rPr>
                <w:rPr>
                  <w:rFonts w:ascii="Cambria Math" w:hAnsi="Cambria Math"/>
                </w:rPr>
                <m:t>*</m:t>
              </m:r>
            </m:sup>
          </m:sSubSup>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m:rPr>
                  <m:nor/>
                </m:rPr>
                <m:t>Exit</m:t>
              </m:r>
            </m:e>
            <m:sub>
              <m:r>
                <w:rPr>
                  <w:rFonts w:ascii="Cambria Math" w:hAnsi="Cambria Math"/>
                </w:rPr>
                <m:t>it</m:t>
              </m:r>
            </m:sub>
          </m:sSub>
          <m:r>
            <m:rPr>
              <m:sty m:val="p"/>
            </m:rPr>
            <w:rPr>
              <w:rFonts w:ascii="Cambria Math" w:hAnsi="Cambria Math"/>
            </w:rPr>
            <m:t>},</m:t>
          </m:r>
        </m:oMath>
      </m:oMathPara>
    </w:p>
    <w:p w:rsidR="0020632F" w:rsidRPr="0020632F" w:rsidRDefault="0020632F" w:rsidP="00EB6AAB">
      <w:pPr>
        <w:pStyle w:val="aff3"/>
        <w:wordWrap/>
      </w:pPr>
      <w:r>
        <w:rPr>
          <w:rFonts w:eastAsia="Times New Roman"/>
        </w:rPr>
        <w:t>Negative implied inflows are set to zero, and missing or non-consecutive observations invalidate the window. We exclude the transaction month, aggregate reconstructed entries over months −12 to −1 and +1 to +12, and scale by mean insured employment in each window.</w:t>
      </w:r>
    </w:p>
    <w:p w:rsidR="0020632F" w:rsidRPr="00FF4DCD" w:rsidRDefault="0020632F" w:rsidP="00EB6AAB">
      <w:pPr>
        <w:pStyle w:val="aff3"/>
        <w:wordWrap/>
        <w:rPr>
          <w:b/>
        </w:rPr>
      </w:pPr>
      <w:r w:rsidRPr="00FF4DCD">
        <w:rPr>
          <w:b/>
        </w:rPr>
        <w:t>Table C2. Hiring-state gradient under worker-flow measurement checks</w:t>
      </w:r>
    </w:p>
    <w:tbl>
      <w:tblPr>
        <w:tblW w:w="509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252"/>
        <w:gridCol w:w="709"/>
        <w:gridCol w:w="995"/>
        <w:gridCol w:w="1871"/>
        <w:gridCol w:w="1362"/>
      </w:tblGrid>
      <w:tr w:rsidR="0020632F" w:rsidRPr="0020632F" w:rsidTr="00EB6AAB">
        <w:trPr>
          <w:cantSplit/>
          <w:tblHeader/>
        </w:trPr>
        <w:tc>
          <w:tcPr>
            <w:tcW w:w="4251" w:type="dxa"/>
            <w:vAlign w:val="center"/>
          </w:tcPr>
          <w:p w:rsidR="0020632F" w:rsidRPr="00B474F8" w:rsidRDefault="0020632F" w:rsidP="00EB6AAB">
            <w:pPr>
              <w:wordWrap/>
              <w:snapToGrid w:val="0"/>
              <w:jc w:val="left"/>
              <w:rPr>
                <w:b/>
              </w:rPr>
            </w:pPr>
            <w:r w:rsidRPr="00B474F8">
              <w:rPr>
                <w:b/>
                <w:sz w:val="20"/>
              </w:rPr>
              <w:t>Specification</w:t>
            </w:r>
          </w:p>
        </w:tc>
        <w:tc>
          <w:tcPr>
            <w:tcW w:w="709" w:type="dxa"/>
            <w:vAlign w:val="center"/>
          </w:tcPr>
          <w:p w:rsidR="0020632F" w:rsidRPr="00B474F8" w:rsidRDefault="0020632F" w:rsidP="00EB6AAB">
            <w:pPr>
              <w:wordWrap/>
              <w:snapToGrid w:val="0"/>
              <w:jc w:val="center"/>
              <w:rPr>
                <w:b/>
                <w:spacing w:val="-6"/>
              </w:rPr>
            </w:pPr>
            <w:r w:rsidRPr="00B474F8">
              <w:rPr>
                <w:b/>
                <w:spacing w:val="-6"/>
                <w:sz w:val="20"/>
              </w:rPr>
              <w:t>N</w:t>
            </w:r>
          </w:p>
        </w:tc>
        <w:tc>
          <w:tcPr>
            <w:tcW w:w="995" w:type="dxa"/>
            <w:vAlign w:val="center"/>
          </w:tcPr>
          <w:p w:rsidR="0020632F" w:rsidRPr="00B474F8" w:rsidRDefault="0020632F" w:rsidP="00EB6AAB">
            <w:pPr>
              <w:wordWrap/>
              <w:snapToGrid w:val="0"/>
              <w:jc w:val="center"/>
              <w:rPr>
                <w:b/>
              </w:rPr>
            </w:pPr>
            <w:r w:rsidRPr="00B474F8">
              <w:rPr>
                <w:b/>
                <w:sz w:val="20"/>
              </w:rPr>
              <w:t>Grad.</w:t>
            </w:r>
          </w:p>
        </w:tc>
        <w:tc>
          <w:tcPr>
            <w:tcW w:w="1871" w:type="dxa"/>
            <w:vAlign w:val="center"/>
          </w:tcPr>
          <w:p w:rsidR="0020632F" w:rsidRPr="00B474F8" w:rsidRDefault="0020632F" w:rsidP="00EB6AAB">
            <w:pPr>
              <w:wordWrap/>
              <w:snapToGrid w:val="0"/>
              <w:jc w:val="center"/>
              <w:rPr>
                <w:b/>
              </w:rPr>
            </w:pPr>
            <w:r w:rsidRPr="00B474F8">
              <w:rPr>
                <w:b/>
                <w:sz w:val="20"/>
              </w:rPr>
              <w:t>95% CI</w:t>
            </w:r>
          </w:p>
        </w:tc>
        <w:tc>
          <w:tcPr>
            <w:tcW w:w="1362" w:type="dxa"/>
            <w:vAlign w:val="center"/>
          </w:tcPr>
          <w:p w:rsidR="0020632F" w:rsidRPr="00B474F8" w:rsidRDefault="0020632F" w:rsidP="00EB6AAB">
            <w:pPr>
              <w:wordWrap/>
              <w:snapToGrid w:val="0"/>
              <w:jc w:val="center"/>
              <w:rPr>
                <w:b/>
              </w:rPr>
            </w:pPr>
            <w:r w:rsidRPr="00B474F8">
              <w:rPr>
                <w:b/>
                <w:sz w:val="20"/>
              </w:rPr>
              <w:t>Empirical two-sided p</w:t>
            </w:r>
          </w:p>
        </w:tc>
      </w:tr>
      <w:tr w:rsidR="0020632F" w:rsidRPr="0020632F" w:rsidTr="00EB6AAB">
        <w:trPr>
          <w:cantSplit/>
        </w:trPr>
        <w:tc>
          <w:tcPr>
            <w:tcW w:w="4251" w:type="dxa"/>
          </w:tcPr>
          <w:p w:rsidR="0020632F" w:rsidRPr="0020632F" w:rsidRDefault="0020632F" w:rsidP="00EB6AAB">
            <w:pPr>
              <w:wordWrap/>
              <w:jc w:val="left"/>
            </w:pPr>
            <w:r>
              <w:t>Primary worker-entry measure</w:t>
            </w:r>
          </w:p>
        </w:tc>
        <w:tc>
          <w:tcPr>
            <w:tcW w:w="709" w:type="dxa"/>
            <w:vAlign w:val="center"/>
          </w:tcPr>
          <w:p w:rsidR="0020632F" w:rsidRPr="0020632F" w:rsidRDefault="0020632F" w:rsidP="00EB6AAB">
            <w:pPr>
              <w:wordWrap/>
              <w:jc w:val="center"/>
            </w:pPr>
            <w:r>
              <w:t>286</w:t>
            </w:r>
          </w:p>
        </w:tc>
        <w:tc>
          <w:tcPr>
            <w:tcW w:w="995" w:type="dxa"/>
            <w:vAlign w:val="center"/>
          </w:tcPr>
          <w:p w:rsidR="0020632F" w:rsidRPr="0020632F" w:rsidRDefault="0020632F" w:rsidP="00EB6AAB">
            <w:pPr>
              <w:wordWrap/>
              <w:jc w:val="center"/>
            </w:pPr>
            <w:r>
              <w:t>0.7101</w:t>
            </w:r>
          </w:p>
        </w:tc>
        <w:tc>
          <w:tcPr>
            <w:tcW w:w="1871" w:type="dxa"/>
            <w:vAlign w:val="center"/>
          </w:tcPr>
          <w:p w:rsidR="0020632F" w:rsidRPr="0020632F" w:rsidRDefault="0020632F" w:rsidP="00EB6AAB">
            <w:pPr>
              <w:wordWrap/>
              <w:jc w:val="center"/>
            </w:pPr>
            <w:r>
              <w:t>[0.3187, 1.1254]</w:t>
            </w:r>
          </w:p>
        </w:tc>
        <w:tc>
          <w:tcPr>
            <w:tcW w:w="1362" w:type="dxa"/>
            <w:vAlign w:val="center"/>
          </w:tcPr>
          <w:p w:rsidR="0020632F" w:rsidRPr="0020632F" w:rsidRDefault="0020632F" w:rsidP="00EB6AAB">
            <w:pPr>
              <w:wordWrap/>
              <w:jc w:val="center"/>
            </w:pPr>
            <w:r>
              <w:t>0.0005</w:t>
            </w:r>
          </w:p>
        </w:tc>
      </w:tr>
      <w:tr w:rsidR="0020632F" w:rsidRPr="0020632F" w:rsidTr="00EB6AAB">
        <w:trPr>
          <w:cantSplit/>
        </w:trPr>
        <w:tc>
          <w:tcPr>
            <w:tcW w:w="4251" w:type="dxa"/>
          </w:tcPr>
          <w:p w:rsidR="0020632F" w:rsidRPr="0020632F" w:rsidRDefault="0020632F" w:rsidP="00EB6AAB">
            <w:pPr>
              <w:wordWrap/>
              <w:jc w:val="left"/>
            </w:pPr>
            <w:r>
              <w:t>Exclude relative discrepancy &gt;10%</w:t>
            </w:r>
          </w:p>
        </w:tc>
        <w:tc>
          <w:tcPr>
            <w:tcW w:w="709" w:type="dxa"/>
            <w:vAlign w:val="center"/>
          </w:tcPr>
          <w:p w:rsidR="0020632F" w:rsidRPr="0020632F" w:rsidRDefault="0020632F" w:rsidP="00EB6AAB">
            <w:pPr>
              <w:wordWrap/>
              <w:jc w:val="center"/>
            </w:pPr>
            <w:r>
              <w:t>288</w:t>
            </w:r>
          </w:p>
        </w:tc>
        <w:tc>
          <w:tcPr>
            <w:tcW w:w="995" w:type="dxa"/>
            <w:vAlign w:val="center"/>
          </w:tcPr>
          <w:p w:rsidR="0020632F" w:rsidRPr="0020632F" w:rsidRDefault="0020632F" w:rsidP="00EB6AAB">
            <w:pPr>
              <w:wordWrap/>
              <w:jc w:val="center"/>
            </w:pPr>
            <w:r>
              <w:t>0.3118</w:t>
            </w:r>
          </w:p>
        </w:tc>
        <w:tc>
          <w:tcPr>
            <w:tcW w:w="1871" w:type="dxa"/>
            <w:vAlign w:val="center"/>
          </w:tcPr>
          <w:p w:rsidR="0020632F" w:rsidRPr="0020632F" w:rsidRDefault="0020632F" w:rsidP="00EB6AAB">
            <w:pPr>
              <w:wordWrap/>
              <w:jc w:val="center"/>
            </w:pPr>
            <w:r>
              <w:t>[−0.0784, 0.7155]</w:t>
            </w:r>
          </w:p>
        </w:tc>
        <w:tc>
          <w:tcPr>
            <w:tcW w:w="1362" w:type="dxa"/>
            <w:vAlign w:val="center"/>
          </w:tcPr>
          <w:p w:rsidR="0020632F" w:rsidRPr="0020632F" w:rsidRDefault="0020632F" w:rsidP="00EB6AAB">
            <w:pPr>
              <w:wordWrap/>
              <w:jc w:val="center"/>
            </w:pPr>
            <w:r>
              <w:t>—</w:t>
            </w:r>
          </w:p>
        </w:tc>
      </w:tr>
      <w:tr w:rsidR="0020632F" w:rsidRPr="0020632F" w:rsidTr="00EB6AAB">
        <w:trPr>
          <w:cantSplit/>
        </w:trPr>
        <w:tc>
          <w:tcPr>
            <w:tcW w:w="4251" w:type="dxa"/>
          </w:tcPr>
          <w:p w:rsidR="0020632F" w:rsidRPr="0020632F" w:rsidRDefault="0020632F" w:rsidP="00EB6AAB">
            <w:pPr>
              <w:wordWrap/>
              <w:jc w:val="left"/>
            </w:pPr>
            <w:r>
              <w:t>Exclude relative discrepancy &gt;5%</w:t>
            </w:r>
          </w:p>
        </w:tc>
        <w:tc>
          <w:tcPr>
            <w:tcW w:w="709" w:type="dxa"/>
            <w:vAlign w:val="center"/>
          </w:tcPr>
          <w:p w:rsidR="0020632F" w:rsidRPr="0020632F" w:rsidRDefault="0020632F" w:rsidP="00EB6AAB">
            <w:pPr>
              <w:wordWrap/>
              <w:jc w:val="center"/>
            </w:pPr>
            <w:r>
              <w:t>231</w:t>
            </w:r>
          </w:p>
        </w:tc>
        <w:tc>
          <w:tcPr>
            <w:tcW w:w="995" w:type="dxa"/>
            <w:vAlign w:val="center"/>
          </w:tcPr>
          <w:p w:rsidR="0020632F" w:rsidRPr="0020632F" w:rsidRDefault="0020632F" w:rsidP="00EB6AAB">
            <w:pPr>
              <w:wordWrap/>
              <w:jc w:val="center"/>
            </w:pPr>
            <w:r>
              <w:t>0.5441</w:t>
            </w:r>
          </w:p>
        </w:tc>
        <w:tc>
          <w:tcPr>
            <w:tcW w:w="1871" w:type="dxa"/>
            <w:vAlign w:val="center"/>
          </w:tcPr>
          <w:p w:rsidR="0020632F" w:rsidRPr="0020632F" w:rsidRDefault="0020632F" w:rsidP="00EB6AAB">
            <w:pPr>
              <w:wordWrap/>
              <w:jc w:val="center"/>
            </w:pPr>
            <w:r>
              <w:t>[−0.1059, 1.1829]</w:t>
            </w:r>
          </w:p>
        </w:tc>
        <w:tc>
          <w:tcPr>
            <w:tcW w:w="1362" w:type="dxa"/>
            <w:vAlign w:val="center"/>
          </w:tcPr>
          <w:p w:rsidR="0020632F" w:rsidRPr="0020632F" w:rsidRDefault="0020632F" w:rsidP="00EB6AAB">
            <w:pPr>
              <w:wordWrap/>
              <w:jc w:val="center"/>
            </w:pPr>
            <w:r>
              <w:t>—</w:t>
            </w:r>
          </w:p>
        </w:tc>
      </w:tr>
      <w:tr w:rsidR="0020632F" w:rsidRPr="0020632F" w:rsidTr="00EB6AAB">
        <w:trPr>
          <w:cantSplit/>
        </w:trPr>
        <w:tc>
          <w:tcPr>
            <w:tcW w:w="4251" w:type="dxa"/>
          </w:tcPr>
          <w:p w:rsidR="0020632F" w:rsidRPr="0020632F" w:rsidRDefault="0020632F" w:rsidP="00EB6AAB">
            <w:pPr>
              <w:wordWrap/>
              <w:jc w:val="left"/>
            </w:pPr>
            <w:r>
              <w:t>Exclude total turnover &gt;50% of employment</w:t>
            </w:r>
          </w:p>
        </w:tc>
        <w:tc>
          <w:tcPr>
            <w:tcW w:w="709" w:type="dxa"/>
            <w:vAlign w:val="center"/>
          </w:tcPr>
          <w:p w:rsidR="0020632F" w:rsidRPr="0020632F" w:rsidRDefault="0020632F" w:rsidP="00EB6AAB">
            <w:pPr>
              <w:wordWrap/>
              <w:jc w:val="center"/>
            </w:pPr>
            <w:r>
              <w:t>300</w:t>
            </w:r>
          </w:p>
        </w:tc>
        <w:tc>
          <w:tcPr>
            <w:tcW w:w="995" w:type="dxa"/>
            <w:vAlign w:val="center"/>
          </w:tcPr>
          <w:p w:rsidR="0020632F" w:rsidRPr="0020632F" w:rsidRDefault="0020632F" w:rsidP="00EB6AAB">
            <w:pPr>
              <w:wordWrap/>
              <w:jc w:val="center"/>
            </w:pPr>
            <w:r>
              <w:t>0.4883</w:t>
            </w:r>
          </w:p>
        </w:tc>
        <w:tc>
          <w:tcPr>
            <w:tcW w:w="1871" w:type="dxa"/>
            <w:vAlign w:val="center"/>
          </w:tcPr>
          <w:p w:rsidR="0020632F" w:rsidRPr="0020632F" w:rsidRDefault="0020632F" w:rsidP="00EB6AAB">
            <w:pPr>
              <w:wordWrap/>
              <w:jc w:val="center"/>
            </w:pPr>
            <w:r>
              <w:t>[0.1017, 0.8502]</w:t>
            </w:r>
          </w:p>
        </w:tc>
        <w:tc>
          <w:tcPr>
            <w:tcW w:w="1362" w:type="dxa"/>
            <w:vAlign w:val="center"/>
          </w:tcPr>
          <w:p w:rsidR="0020632F" w:rsidRPr="0020632F" w:rsidRDefault="0020632F" w:rsidP="00EB6AAB">
            <w:pPr>
              <w:wordWrap/>
              <w:jc w:val="center"/>
            </w:pPr>
            <w:r>
              <w:t>—</w:t>
            </w:r>
          </w:p>
        </w:tc>
      </w:tr>
      <w:tr w:rsidR="0020632F" w:rsidRPr="0020632F" w:rsidTr="00EB6AAB">
        <w:trPr>
          <w:cantSplit/>
        </w:trPr>
        <w:tc>
          <w:tcPr>
            <w:tcW w:w="4251" w:type="dxa"/>
          </w:tcPr>
          <w:p w:rsidR="0020632F" w:rsidRPr="0020632F" w:rsidRDefault="0020632F" w:rsidP="00EB6AAB">
            <w:pPr>
              <w:wordWrap/>
              <w:jc w:val="left"/>
            </w:pPr>
            <w:r>
              <w:t>Exclude treated firms with workplace-count changes</w:t>
            </w:r>
          </w:p>
        </w:tc>
        <w:tc>
          <w:tcPr>
            <w:tcW w:w="709" w:type="dxa"/>
            <w:vAlign w:val="center"/>
          </w:tcPr>
          <w:p w:rsidR="0020632F" w:rsidRPr="0020632F" w:rsidRDefault="0020632F" w:rsidP="00EB6AAB">
            <w:pPr>
              <w:wordWrap/>
              <w:jc w:val="center"/>
            </w:pPr>
            <w:r>
              <w:t>299</w:t>
            </w:r>
          </w:p>
        </w:tc>
        <w:tc>
          <w:tcPr>
            <w:tcW w:w="995" w:type="dxa"/>
            <w:vAlign w:val="center"/>
          </w:tcPr>
          <w:p w:rsidR="0020632F" w:rsidRPr="0020632F" w:rsidRDefault="0020632F" w:rsidP="00EB6AAB">
            <w:pPr>
              <w:wordWrap/>
              <w:jc w:val="center"/>
            </w:pPr>
            <w:r>
              <w:t>0.5571</w:t>
            </w:r>
          </w:p>
        </w:tc>
        <w:tc>
          <w:tcPr>
            <w:tcW w:w="1871" w:type="dxa"/>
            <w:vAlign w:val="center"/>
          </w:tcPr>
          <w:p w:rsidR="0020632F" w:rsidRPr="0020632F" w:rsidRDefault="0020632F" w:rsidP="00EB6AAB">
            <w:pPr>
              <w:wordWrap/>
              <w:jc w:val="center"/>
            </w:pPr>
            <w:r>
              <w:t>[0.1596, 0.9299]</w:t>
            </w:r>
          </w:p>
        </w:tc>
        <w:tc>
          <w:tcPr>
            <w:tcW w:w="1362" w:type="dxa"/>
            <w:vAlign w:val="center"/>
          </w:tcPr>
          <w:p w:rsidR="0020632F" w:rsidRPr="0020632F" w:rsidRDefault="0020632F" w:rsidP="00EB6AAB">
            <w:pPr>
              <w:wordWrap/>
              <w:jc w:val="center"/>
            </w:pPr>
            <w:r>
              <w:t>—</w:t>
            </w:r>
          </w:p>
        </w:tc>
      </w:tr>
      <w:tr w:rsidR="0020632F" w:rsidRPr="0020632F" w:rsidTr="00EB6AAB">
        <w:trPr>
          <w:cantSplit/>
        </w:trPr>
        <w:tc>
          <w:tcPr>
            <w:tcW w:w="4251" w:type="dxa"/>
          </w:tcPr>
          <w:p w:rsidR="0020632F" w:rsidRPr="0020632F" w:rsidRDefault="0020632F" w:rsidP="00EB6AAB">
            <w:pPr>
              <w:wordWrap/>
              <w:jc w:val="left"/>
            </w:pPr>
            <w:r>
              <w:t>Reconstructed worker inflows</w:t>
            </w:r>
          </w:p>
        </w:tc>
        <w:tc>
          <w:tcPr>
            <w:tcW w:w="709" w:type="dxa"/>
            <w:vAlign w:val="center"/>
          </w:tcPr>
          <w:p w:rsidR="0020632F" w:rsidRPr="0020632F" w:rsidRDefault="0020632F" w:rsidP="00EB6AAB">
            <w:pPr>
              <w:wordWrap/>
              <w:jc w:val="center"/>
            </w:pPr>
            <w:r>
              <w:t>288</w:t>
            </w:r>
          </w:p>
        </w:tc>
        <w:tc>
          <w:tcPr>
            <w:tcW w:w="995" w:type="dxa"/>
            <w:vAlign w:val="center"/>
          </w:tcPr>
          <w:p w:rsidR="0020632F" w:rsidRPr="0020632F" w:rsidRDefault="0020632F" w:rsidP="00EB6AAB">
            <w:pPr>
              <w:wordWrap/>
              <w:jc w:val="center"/>
            </w:pPr>
            <w:r>
              <w:t>0.3650</w:t>
            </w:r>
          </w:p>
        </w:tc>
        <w:tc>
          <w:tcPr>
            <w:tcW w:w="1871" w:type="dxa"/>
            <w:vAlign w:val="center"/>
          </w:tcPr>
          <w:p w:rsidR="0020632F" w:rsidRPr="0020632F" w:rsidRDefault="0020632F" w:rsidP="00EB6AAB">
            <w:pPr>
              <w:wordWrap/>
              <w:jc w:val="center"/>
            </w:pPr>
            <w:r>
              <w:t>—</w:t>
            </w:r>
          </w:p>
        </w:tc>
        <w:tc>
          <w:tcPr>
            <w:tcW w:w="1362" w:type="dxa"/>
            <w:vAlign w:val="center"/>
          </w:tcPr>
          <w:p w:rsidR="0020632F" w:rsidRPr="0020632F" w:rsidRDefault="0020632F" w:rsidP="00EB6AAB">
            <w:pPr>
              <w:wordWrap/>
              <w:jc w:val="center"/>
            </w:pPr>
            <w:r>
              <w:t>0.0230</w:t>
            </w:r>
          </w:p>
        </w:tc>
      </w:tr>
    </w:tbl>
    <w:p w:rsidR="0020632F" w:rsidRPr="00952628" w:rsidRDefault="0020632F"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turnover restriction excludes months in which reported entries plus exits exceed 50 percent of same-month insured employment. The workplace-count restriction removes treated firms whose number of registered NPS workplaces changes at any point in the observed panel. The discrepancy and workplace rows use the conventional matched sample with regression adjustment and bootstrap intervals. The reconstructed-flow row uses the state-balanced design and its own untreated reference distribution. Its coefficient remains positive but is materially smaller than the primary reported-entry coefficient, so the two worker-flow measures should not be treated as numerically interchangeable.</w:t>
      </w:r>
    </w:p>
    <w:p w:rsidR="0020632F" w:rsidRPr="0020632F" w:rsidRDefault="0020632F" w:rsidP="00EB6AAB">
      <w:pPr>
        <w:pStyle w:val="aff3"/>
        <w:wordWrap/>
      </w:pPr>
      <w:r>
        <w:rPr>
          <w:rFonts w:eastAsia="Times New Roman"/>
        </w:rPr>
        <w:lastRenderedPageBreak/>
        <w:t>The gradient remains positive but varies across filters. It is 0.312 after removing relative discrepancies above 10 percent, 0.544 at the 5-percent threshold, and 0.488 [0.102, 0.850] after removing months in which entries plus exits exceed half of employment.</w:t>
      </w:r>
      <w:r>
        <w:t xml:space="preserve"> </w:t>
      </w:r>
      <w:r>
        <w:rPr>
          <w:rFonts w:eastAsia="Times New Roman"/>
        </w:rPr>
        <w:t>Excluding treated firms with workplace-count changes gives 0.557 [0.160, 0.930]. The result is not confined to targets with an observable change in pension-reporting structure.</w:t>
      </w:r>
    </w:p>
    <w:p w:rsidR="0020632F" w:rsidRPr="0020632F" w:rsidRDefault="0020632F" w:rsidP="00EB6AAB">
      <w:pPr>
        <w:pStyle w:val="aff3"/>
        <w:wordWrap/>
      </w:pPr>
      <w:r>
        <w:rPr>
          <w:rFonts w:eastAsia="Times New Roman"/>
        </w:rPr>
        <w:t>Reconstructed inflows produce a gradient of 0.3650 and an empirical two-sided p-value of 0.0230. The estimate is positive but materially below the 0.7101 gradient based on reported entries, so the measures are not numerically interchangeable. The comparison is diagnostic: the ordering remains when inflows are inferred from employment changes and recorded exits.</w:t>
      </w:r>
      <w:r>
        <w:t xml:space="preserve"> </w:t>
      </w:r>
      <w:r>
        <w:rPr>
          <w:rFonts w:eastAsia="Times New Roman"/>
        </w:rPr>
        <w:t>The stricter discrepancy filters also remove information, so their intervals must be read with the event counts in Table C2. The direction is not confined to observations with the clearest accounting or registration concerns, although administrative measurement can affect the magnitude.</w:t>
      </w:r>
    </w:p>
    <w:p w:rsidR="0020632F" w:rsidRPr="0020632F" w:rsidRDefault="0020632F" w:rsidP="00EB6AAB">
      <w:pPr>
        <w:pStyle w:val="3"/>
      </w:pPr>
      <w:r w:rsidRPr="0020632F">
        <w:t>C.3 Worker-entry counts, employment denominators, and level-flow accounting</w:t>
      </w:r>
    </w:p>
    <w:p w:rsidR="0020632F" w:rsidRPr="0020632F" w:rsidRDefault="0020632F" w:rsidP="00EB6AAB">
      <w:pPr>
        <w:pStyle w:val="aff3"/>
        <w:wordWrap/>
      </w:pPr>
      <w:r>
        <w:rPr>
          <w:rFonts w:eastAsia="Times New Roman"/>
        </w:rPr>
        <w:t>Because the primary hiring rate divides entries by mean insured employment, post-investment employment changes could affect the gradient mechanically. We therefore examine entry counts directly.</w:t>
      </w:r>
      <w:r>
        <w:t xml:space="preserve"> </w:t>
      </w:r>
      <w:r w:rsidRPr="0020632F">
        <w:t xml:space="preserve">On the same 286-event design used in Table 4, the gradient in the log worker-entry count is 0.6315. The corresponding untreated reference mean is 0.1858, and the empirical two-sided </w:t>
      </w:r>
      <m:oMath>
        <m:r>
          <w:rPr>
            <w:rFonts w:ascii="Cambria Math" w:hAnsi="Cambria Math"/>
          </w:rPr>
          <m:t>p</m:t>
        </m:r>
      </m:oMath>
      <w:r w:rsidRPr="0020632F">
        <w:t>-value is 0.0110. The positive state relationship therefore remains when employment is removed from the outcome denominator.</w:t>
      </w:r>
      <w:r>
        <w:t xml:space="preserve"> </w:t>
      </w:r>
      <w:r w:rsidRPr="0020632F">
        <w:t xml:space="preserve">A diagnostic specification additionally controls for the change in log employment. The worker-entry-count gradient is then 0.6957, against an outcome-specific untreated reference mean of 0.0377; the two-sided empirical </w:t>
      </w:r>
      <m:oMath>
        <m:r>
          <w:rPr>
            <w:rFonts w:ascii="Cambria Math" w:hAnsi="Cambria Math"/>
          </w:rPr>
          <m:t>p</m:t>
        </m:r>
      </m:oMath>
      <w:r w:rsidRPr="0020632F">
        <w:t>-value is 0.0005. Because the change in employment is itself a post-investment outcome, this coefficient is not interpreted as a controlled causal effect. It is reported solely as a denominator check.</w:t>
      </w:r>
      <w:r>
        <w:t xml:space="preserve"> </w:t>
      </w:r>
      <w:r>
        <w:rPr>
          <w:rFonts w:eastAsia="Times New Roman"/>
        </w:rPr>
        <w:t>For comparison, the primary log hiring-rate gradient is 0.7101 and its reference mean is 0.1006. Each reference mean is re-estimated for its outcome while the event design remains fixed.</w:t>
      </w:r>
    </w:p>
    <w:p w:rsidR="0020632F" w:rsidRPr="0020632F" w:rsidRDefault="0020632F" w:rsidP="00EB6AAB">
      <w:pPr>
        <w:pStyle w:val="aff3"/>
        <w:wordWrap/>
      </w:pPr>
      <w:r w:rsidRPr="0020632F">
        <w:t xml:space="preserve">Level worker-flow measures provide a separate accounting diagnostic. The state gradients in the worker-entry rate, separation rate, and net-inflow rate are </w:t>
      </w:r>
      <m:oMath>
        <m:r>
          <m:rPr>
            <m:sty m:val="p"/>
          </m:rPr>
          <w:rPr>
            <w:rFonts w:ascii="Cambria Math" w:hAnsi="Cambria Math"/>
          </w:rPr>
          <m:t>+</m:t>
        </m:r>
        <m:r>
          <w:rPr>
            <w:rFonts w:ascii="Cambria Math" w:hAnsi="Cambria Math"/>
          </w:rPr>
          <m:t>0.263</m:t>
        </m:r>
      </m:oMath>
      <w:r w:rsidRPr="0020632F">
        <w:t xml:space="preserve">, </w:t>
      </w:r>
      <m:oMath>
        <m:r>
          <m:rPr>
            <m:sty m:val="p"/>
          </m:rPr>
          <w:rPr>
            <w:rFonts w:ascii="Cambria Math" w:hAnsi="Cambria Math"/>
          </w:rPr>
          <m:t>+</m:t>
        </m:r>
        <m:r>
          <w:rPr>
            <w:rFonts w:ascii="Cambria Math" w:hAnsi="Cambria Math"/>
          </w:rPr>
          <m:t>0.094</m:t>
        </m:r>
      </m:oMath>
      <w:r w:rsidRPr="0020632F">
        <w:t xml:space="preserve">, and </w:t>
      </w:r>
      <m:oMath>
        <m:r>
          <m:rPr>
            <m:sty m:val="p"/>
          </m:rPr>
          <w:rPr>
            <w:rFonts w:ascii="Cambria Math" w:hAnsi="Cambria Math"/>
          </w:rPr>
          <m:t>+</m:t>
        </m:r>
        <m:r>
          <w:rPr>
            <w:rFonts w:ascii="Cambria Math" w:hAnsi="Cambria Math"/>
          </w:rPr>
          <m:t>0.172</m:t>
        </m:r>
      </m:oMath>
      <w:r w:rsidRPr="0020632F">
        <w:t>, respectively. The entry-minus-separation relation therefore reconciles with the net-inflow gradient to within approximately 0.003.</w:t>
      </w:r>
    </w:p>
    <w:p w:rsidR="0020632F" w:rsidRPr="00FF4DCD" w:rsidRDefault="0020632F" w:rsidP="00EB6AAB">
      <w:pPr>
        <w:pStyle w:val="aff3"/>
        <w:wordWrap/>
        <w:rPr>
          <w:b/>
        </w:rPr>
      </w:pPr>
      <w:r w:rsidRPr="00FF4DCD">
        <w:rPr>
          <w:b/>
        </w:rPr>
        <w:lastRenderedPageBreak/>
        <w:t>Table C3. Worker-flow accounting and employment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2301"/>
        <w:gridCol w:w="1542"/>
      </w:tblGrid>
      <w:tr w:rsidR="0020632F" w:rsidRPr="0020632F" w:rsidTr="00EB6AAB">
        <w:trPr>
          <w:cantSplit/>
          <w:tblHeader/>
        </w:trPr>
        <w:tc>
          <w:tcPr>
            <w:tcW w:w="0" w:type="auto"/>
            <w:vAlign w:val="center"/>
          </w:tcPr>
          <w:p w:rsidR="0020632F" w:rsidRPr="00B474F8" w:rsidRDefault="0020632F" w:rsidP="00EB6AAB">
            <w:pPr>
              <w:wordWrap/>
              <w:rPr>
                <w:b/>
              </w:rPr>
            </w:pPr>
            <w:r w:rsidRPr="00B474F8">
              <w:rPr>
                <w:b/>
              </w:rPr>
              <w:t>Outcome</w:t>
            </w:r>
          </w:p>
        </w:tc>
        <w:tc>
          <w:tcPr>
            <w:tcW w:w="0" w:type="auto"/>
            <w:vAlign w:val="center"/>
          </w:tcPr>
          <w:p w:rsidR="0020632F" w:rsidRPr="00B474F8" w:rsidRDefault="0020632F" w:rsidP="00EB6AAB">
            <w:pPr>
              <w:wordWrap/>
              <w:rPr>
                <w:b/>
              </w:rPr>
            </w:pPr>
            <w:r w:rsidRPr="00B474F8">
              <w:rPr>
                <w:b/>
              </w:rPr>
              <w:t>State gradient</w:t>
            </w:r>
          </w:p>
        </w:tc>
      </w:tr>
      <w:tr w:rsidR="0020632F" w:rsidRPr="0020632F" w:rsidTr="00EB6AAB">
        <w:trPr>
          <w:cantSplit/>
        </w:trPr>
        <w:tc>
          <w:tcPr>
            <w:tcW w:w="0" w:type="auto"/>
          </w:tcPr>
          <w:p w:rsidR="0020632F" w:rsidRPr="0020632F" w:rsidRDefault="0020632F" w:rsidP="00EB6AAB">
            <w:pPr>
              <w:wordWrap/>
            </w:pPr>
            <w:r w:rsidRPr="0020632F">
              <w:t>Level worker-entry rate</w:t>
            </w:r>
          </w:p>
        </w:tc>
        <w:tc>
          <w:tcPr>
            <w:tcW w:w="0" w:type="auto"/>
          </w:tcPr>
          <w:p w:rsidR="0020632F" w:rsidRPr="0020632F" w:rsidRDefault="0020632F" w:rsidP="00EB6AAB">
            <w:pPr>
              <w:wordWrap/>
            </w:pPr>
            <w:r w:rsidRPr="0020632F">
              <w:t>+0.263</w:t>
            </w:r>
          </w:p>
        </w:tc>
      </w:tr>
      <w:tr w:rsidR="0020632F" w:rsidRPr="0020632F" w:rsidTr="00EB6AAB">
        <w:trPr>
          <w:cantSplit/>
        </w:trPr>
        <w:tc>
          <w:tcPr>
            <w:tcW w:w="0" w:type="auto"/>
          </w:tcPr>
          <w:p w:rsidR="0020632F" w:rsidRPr="0020632F" w:rsidRDefault="0020632F" w:rsidP="00EB6AAB">
            <w:pPr>
              <w:wordWrap/>
            </w:pPr>
            <w:r w:rsidRPr="0020632F">
              <w:t>Level separation rate</w:t>
            </w:r>
          </w:p>
        </w:tc>
        <w:tc>
          <w:tcPr>
            <w:tcW w:w="0" w:type="auto"/>
          </w:tcPr>
          <w:p w:rsidR="0020632F" w:rsidRPr="0020632F" w:rsidRDefault="0020632F" w:rsidP="00EB6AAB">
            <w:pPr>
              <w:wordWrap/>
            </w:pPr>
            <w:r w:rsidRPr="0020632F">
              <w:t>+0.094</w:t>
            </w:r>
          </w:p>
        </w:tc>
      </w:tr>
      <w:tr w:rsidR="0020632F" w:rsidRPr="0020632F" w:rsidTr="00EB6AAB">
        <w:trPr>
          <w:cantSplit/>
        </w:trPr>
        <w:tc>
          <w:tcPr>
            <w:tcW w:w="0" w:type="auto"/>
          </w:tcPr>
          <w:p w:rsidR="0020632F" w:rsidRPr="0020632F" w:rsidRDefault="0020632F" w:rsidP="00EB6AAB">
            <w:pPr>
              <w:wordWrap/>
            </w:pPr>
            <w:r w:rsidRPr="0020632F">
              <w:t>Level net-inflow rate</w:t>
            </w:r>
          </w:p>
        </w:tc>
        <w:tc>
          <w:tcPr>
            <w:tcW w:w="0" w:type="auto"/>
          </w:tcPr>
          <w:p w:rsidR="0020632F" w:rsidRPr="0020632F" w:rsidRDefault="0020632F" w:rsidP="00EB6AAB">
            <w:pPr>
              <w:wordWrap/>
            </w:pPr>
            <w:r w:rsidRPr="0020632F">
              <w:t>+0.172</w:t>
            </w:r>
          </w:p>
        </w:tc>
      </w:tr>
      <w:tr w:rsidR="0020632F" w:rsidRPr="0020632F" w:rsidTr="00EB6AAB">
        <w:trPr>
          <w:cantSplit/>
        </w:trPr>
        <w:tc>
          <w:tcPr>
            <w:tcW w:w="0" w:type="auto"/>
          </w:tcPr>
          <w:p w:rsidR="0020632F" w:rsidRPr="0020632F" w:rsidRDefault="0020632F" w:rsidP="00EB6AAB">
            <w:pPr>
              <w:wordWrap/>
            </w:pPr>
            <w:r w:rsidRPr="0020632F">
              <w:t>Log employment</w:t>
            </w:r>
          </w:p>
        </w:tc>
        <w:tc>
          <w:tcPr>
            <w:tcW w:w="0" w:type="auto"/>
          </w:tcPr>
          <w:p w:rsidR="0020632F" w:rsidRPr="0020632F" w:rsidRDefault="0020632F" w:rsidP="00EB6AAB">
            <w:pPr>
              <w:wordWrap/>
            </w:pPr>
            <w:r w:rsidRPr="0020632F">
              <w:t>−0.058</w:t>
            </w:r>
          </w:p>
        </w:tc>
      </w:tr>
    </w:tbl>
    <w:p w:rsidR="0020632F" w:rsidRPr="00FF4DCD" w:rsidRDefault="0020632F" w:rsidP="00EB6AAB">
      <w:pPr>
        <w:pStyle w:val="aff3"/>
        <w:wordWrap/>
        <w:spacing w:before="0"/>
        <w:rPr>
          <w:color w:val="7F7F7F" w:themeColor="text1" w:themeTint="80"/>
        </w:rPr>
      </w:pPr>
      <w:r w:rsidRPr="00FF4DCD">
        <w:rPr>
          <w:color w:val="7F7F7F" w:themeColor="text1" w:themeTint="80"/>
        </w:rPr>
        <w:t>Notes. The first three rows are level worker-flow rates and use employment in their denominators. Their estimated gradients satisfy the corresponding worker-flow accounting identity to within approximately 0.003. The log-employment row measures the employment stock directly and is not an algebraic component of this rate identity.</w:t>
      </w:r>
    </w:p>
    <w:p w:rsidR="0020632F" w:rsidRPr="0020632F" w:rsidRDefault="0020632F" w:rsidP="00EB6AAB">
      <w:pPr>
        <w:pStyle w:val="aff3"/>
        <w:wordWrap/>
      </w:pPr>
      <w:r>
        <w:rPr>
          <w:rFonts w:eastAsia="Times New Roman"/>
        </w:rPr>
        <w:t>A positive net-inflow-rate gradient can coexist with a negative log-employment gradient. The former scales contemporaneous flows by employment; the latter measures the matched change in the stock. Denominators, timing, and cumulation can therefore produce different gradients. We use the level-flow identity as an accounting check and log employment for differential net-employment growth.</w:t>
      </w:r>
    </w:p>
    <w:p w:rsidR="0020632F" w:rsidRPr="0020632F" w:rsidRDefault="0020632F" w:rsidP="00EB6AAB">
      <w:pPr>
        <w:pStyle w:val="3"/>
      </w:pPr>
      <w:r w:rsidRPr="0020632F">
        <w:t>C.4 Employment at longer horizons and an additional worker-flow contrast</w:t>
      </w:r>
    </w:p>
    <w:p w:rsidR="0020632F" w:rsidRPr="0020632F" w:rsidRDefault="0020632F" w:rsidP="00EB6AAB">
      <w:pPr>
        <w:pStyle w:val="aff3"/>
        <w:wordWrap/>
      </w:pPr>
      <w:r w:rsidRPr="0020632F">
        <w:t xml:space="preserve">We examine whether the negative employment-state relationship is confined to the primary horizon. Table C4 reports log employment at 12, 24, and 36 months relative to mean employment over months </w:t>
      </w:r>
      <m:oMath>
        <m:r>
          <m:rPr>
            <m:sty m:val="p"/>
          </m:rPr>
          <w:rPr>
            <w:rFonts w:ascii="Cambria Math" w:hAnsi="Cambria Math"/>
          </w:rPr>
          <m:t>-</m:t>
        </m:r>
        <m:r>
          <w:rPr>
            <w:rFonts w:ascii="Cambria Math" w:hAnsi="Cambria Math"/>
          </w:rPr>
          <m:t>6</m:t>
        </m:r>
      </m:oMath>
      <w:r w:rsidRPr="0020632F">
        <w:t xml:space="preserve"> through </w:t>
      </w:r>
      <m:oMath>
        <m:r>
          <m:rPr>
            <m:sty m:val="p"/>
          </m:rPr>
          <w:rPr>
            <w:rFonts w:ascii="Cambria Math" w:hAnsi="Cambria Math"/>
          </w:rPr>
          <m:t>-</m:t>
        </m:r>
        <m:r>
          <w:rPr>
            <w:rFonts w:ascii="Cambria Math" w:hAnsi="Cambria Math"/>
          </w:rPr>
          <m:t>1</m:t>
        </m:r>
      </m:oMath>
      <w:r w:rsidRPr="0020632F">
        <w:t xml:space="preserve">. This outcome construction differs from the main Table 4 employment specification and should not be read as a replication of its </w:t>
      </w:r>
      <m:oMath>
        <m:r>
          <m:rPr>
            <m:sty m:val="p"/>
          </m:rPr>
          <w:rPr>
            <w:rFonts w:ascii="Cambria Math" w:hAnsi="Cambria Math"/>
          </w:rPr>
          <m:t>-</m:t>
        </m:r>
        <m:r>
          <w:rPr>
            <w:rFonts w:ascii="Cambria Math" w:hAnsi="Cambria Math"/>
          </w:rPr>
          <m:t>0.0580</m:t>
        </m:r>
      </m:oMath>
      <w:r w:rsidRPr="0020632F">
        <w:t xml:space="preserve"> coefficient.</w:t>
      </w:r>
      <w:r>
        <w:t xml:space="preserve"> </w:t>
      </w:r>
      <w:r w:rsidRPr="0020632F">
        <w:t xml:space="preserve">At twelve months, the horizon-specific gradient is </w:t>
      </w:r>
      <m:oMath>
        <m:r>
          <m:rPr>
            <m:sty m:val="p"/>
          </m:rPr>
          <w:rPr>
            <w:rFonts w:ascii="Cambria Math" w:hAnsi="Cambria Math"/>
          </w:rPr>
          <m:t>-</m:t>
        </m:r>
        <m:r>
          <w:rPr>
            <w:rFonts w:ascii="Cambria Math" w:hAnsi="Cambria Math"/>
          </w:rPr>
          <m:t>0.0316</m:t>
        </m:r>
      </m:oMath>
      <w:r w:rsidRPr="0020632F">
        <w:t xml:space="preserve">, with a standardised distance of </w:t>
      </w:r>
      <m:oMath>
        <m:r>
          <m:rPr>
            <m:sty m:val="p"/>
          </m:rPr>
          <w:rPr>
            <w:rFonts w:ascii="Cambria Math" w:hAnsi="Cambria Math"/>
          </w:rPr>
          <m:t>-</m:t>
        </m:r>
        <m:r>
          <w:rPr>
            <w:rFonts w:ascii="Cambria Math" w:hAnsi="Cambria Math"/>
          </w:rPr>
          <m:t>1.92</m:t>
        </m:r>
      </m:oMath>
      <w:r w:rsidRPr="0020632F">
        <w:t xml:space="preserve"> relative to its untreated reference distribution. At 24 months the gradient is </w:t>
      </w:r>
      <m:oMath>
        <m:r>
          <m:rPr>
            <m:sty m:val="p"/>
          </m:rPr>
          <w:rPr>
            <w:rFonts w:ascii="Cambria Math" w:hAnsi="Cambria Math"/>
          </w:rPr>
          <m:t>-</m:t>
        </m:r>
        <m:r>
          <w:rPr>
            <w:rFonts w:ascii="Cambria Math" w:hAnsi="Cambria Math"/>
          </w:rPr>
          <m:t>0.1616</m:t>
        </m:r>
      </m:oMath>
      <w:r w:rsidRPr="0020632F">
        <w:t xml:space="preserve">, and at 36 months it is </w:t>
      </w:r>
      <m:oMath>
        <m:r>
          <m:rPr>
            <m:sty m:val="p"/>
          </m:rPr>
          <w:rPr>
            <w:rFonts w:ascii="Cambria Math" w:hAnsi="Cambria Math"/>
          </w:rPr>
          <m:t>-</m:t>
        </m:r>
        <m:r>
          <w:rPr>
            <w:rFonts w:ascii="Cambria Math" w:hAnsi="Cambria Math"/>
          </w:rPr>
          <m:t>0.2092</m:t>
        </m:r>
      </m:oMath>
      <w:r w:rsidRPr="0020632F">
        <w:t xml:space="preserve">. The corresponding standardised distances are </w:t>
      </w:r>
      <m:oMath>
        <m:r>
          <m:rPr>
            <m:sty m:val="p"/>
          </m:rPr>
          <w:rPr>
            <w:rFonts w:ascii="Cambria Math" w:hAnsi="Cambria Math"/>
          </w:rPr>
          <m:t>-</m:t>
        </m:r>
        <m:r>
          <w:rPr>
            <w:rFonts w:ascii="Cambria Math" w:hAnsi="Cambria Math"/>
          </w:rPr>
          <m:t>1.63</m:t>
        </m:r>
      </m:oMath>
      <w:r w:rsidRPr="0020632F">
        <w:t xml:space="preserve"> and </w:t>
      </w:r>
      <m:oMath>
        <m:r>
          <m:rPr>
            <m:sty m:val="p"/>
          </m:rPr>
          <w:rPr>
            <w:rFonts w:ascii="Cambria Math" w:hAnsi="Cambria Math"/>
          </w:rPr>
          <m:t>-</m:t>
        </m:r>
        <m:r>
          <w:rPr>
            <w:rFonts w:ascii="Cambria Math" w:hAnsi="Cambria Math"/>
          </w:rPr>
          <m:t>2.29</m:t>
        </m:r>
      </m:oMath>
      <w:r w:rsidRPr="0020632F">
        <w:t>.</w:t>
      </w:r>
    </w:p>
    <w:p w:rsidR="0020632F" w:rsidRPr="0020632F" w:rsidRDefault="0020632F" w:rsidP="00EB6AAB">
      <w:pPr>
        <w:pStyle w:val="aff3"/>
        <w:wordWrap/>
      </w:pPr>
      <w:r w:rsidRPr="0020632F">
        <w:t>Table C4. Additional employment horizons and worker-flow contrast</w:t>
      </w:r>
    </w:p>
    <w:p w:rsidR="0020632F" w:rsidRPr="0020632F" w:rsidRDefault="0020632F" w:rsidP="00EB6AAB">
      <w:pPr>
        <w:pStyle w:val="aff3"/>
        <w:wordWrap/>
      </w:pPr>
      <w:r w:rsidRPr="0020632F">
        <w:rPr>
          <w:b/>
          <w:bCs/>
        </w:rPr>
        <w:t>Panel A. Relative employment at longer horizons</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87"/>
        <w:gridCol w:w="1247"/>
        <w:gridCol w:w="1417"/>
        <w:gridCol w:w="964"/>
      </w:tblGrid>
      <w:tr w:rsidR="0020632F" w:rsidRPr="0020632F" w:rsidTr="00B474F8">
        <w:trPr>
          <w:cantSplit/>
          <w:tblHeader/>
        </w:trPr>
        <w:tc>
          <w:tcPr>
            <w:tcW w:w="1587" w:type="dxa"/>
            <w:vAlign w:val="center"/>
          </w:tcPr>
          <w:p w:rsidR="0020632F" w:rsidRPr="00B474F8" w:rsidRDefault="0020632F" w:rsidP="00EB6AAB">
            <w:pPr>
              <w:wordWrap/>
              <w:rPr>
                <w:b/>
              </w:rPr>
            </w:pPr>
            <w:r w:rsidRPr="00B474F8">
              <w:rPr>
                <w:b/>
                <w:sz w:val="20"/>
              </w:rPr>
              <w:t>Horizon</w:t>
            </w:r>
          </w:p>
        </w:tc>
        <w:tc>
          <w:tcPr>
            <w:tcW w:w="1247" w:type="dxa"/>
            <w:vAlign w:val="center"/>
          </w:tcPr>
          <w:p w:rsidR="0020632F" w:rsidRPr="00B474F8" w:rsidRDefault="0020632F" w:rsidP="00EB6AAB">
            <w:pPr>
              <w:wordWrap/>
              <w:jc w:val="center"/>
              <w:rPr>
                <w:b/>
              </w:rPr>
            </w:pPr>
            <w:r w:rsidRPr="00B474F8">
              <w:rPr>
                <w:b/>
                <w:sz w:val="20"/>
              </w:rPr>
              <w:t>Grad.</w:t>
            </w:r>
          </w:p>
        </w:tc>
        <w:tc>
          <w:tcPr>
            <w:tcW w:w="1417" w:type="dxa"/>
            <w:vAlign w:val="center"/>
          </w:tcPr>
          <w:p w:rsidR="0020632F" w:rsidRPr="00B474F8" w:rsidRDefault="0020632F" w:rsidP="00EB6AAB">
            <w:pPr>
              <w:wordWrap/>
              <w:jc w:val="center"/>
              <w:rPr>
                <w:b/>
              </w:rPr>
            </w:pPr>
            <w:r w:rsidRPr="00B474F8">
              <w:rPr>
                <w:b/>
                <w:sz w:val="20"/>
              </w:rPr>
              <w:t>Std. distance</w:t>
            </w:r>
          </w:p>
        </w:tc>
        <w:tc>
          <w:tcPr>
            <w:tcW w:w="964" w:type="dxa"/>
            <w:vAlign w:val="center"/>
          </w:tcPr>
          <w:p w:rsidR="0020632F" w:rsidRPr="00B474F8" w:rsidRDefault="0020632F" w:rsidP="00EB6AAB">
            <w:pPr>
              <w:wordWrap/>
              <w:jc w:val="center"/>
              <w:rPr>
                <w:b/>
              </w:rPr>
            </w:pPr>
            <w:r w:rsidRPr="00B474F8">
              <w:rPr>
                <w:b/>
                <w:sz w:val="20"/>
              </w:rPr>
              <w:t>N</w:t>
            </w:r>
          </w:p>
        </w:tc>
      </w:tr>
      <w:tr w:rsidR="0020632F" w:rsidRPr="0020632F" w:rsidTr="00B474F8">
        <w:trPr>
          <w:cantSplit/>
        </w:trPr>
        <w:tc>
          <w:tcPr>
            <w:tcW w:w="1587" w:type="dxa"/>
          </w:tcPr>
          <w:p w:rsidR="0020632F" w:rsidRPr="0020632F" w:rsidRDefault="0020632F" w:rsidP="00EB6AAB">
            <w:pPr>
              <w:wordWrap/>
            </w:pPr>
            <w:r w:rsidRPr="0020632F">
              <w:t>+12 months</w:t>
            </w:r>
          </w:p>
        </w:tc>
        <w:tc>
          <w:tcPr>
            <w:tcW w:w="1247" w:type="dxa"/>
            <w:vAlign w:val="center"/>
          </w:tcPr>
          <w:p w:rsidR="0020632F" w:rsidRPr="0020632F" w:rsidRDefault="0020632F" w:rsidP="00EB6AAB">
            <w:pPr>
              <w:wordWrap/>
              <w:jc w:val="center"/>
            </w:pPr>
            <w:r w:rsidRPr="0020632F">
              <w:t>−0.0316</w:t>
            </w:r>
          </w:p>
        </w:tc>
        <w:tc>
          <w:tcPr>
            <w:tcW w:w="1417" w:type="dxa"/>
            <w:vAlign w:val="center"/>
          </w:tcPr>
          <w:p w:rsidR="0020632F" w:rsidRPr="0020632F" w:rsidRDefault="0020632F" w:rsidP="00EB6AAB">
            <w:pPr>
              <w:wordWrap/>
              <w:jc w:val="center"/>
            </w:pPr>
            <w:r w:rsidRPr="0020632F">
              <w:t>−1.92</w:t>
            </w:r>
          </w:p>
        </w:tc>
        <w:tc>
          <w:tcPr>
            <w:tcW w:w="964" w:type="dxa"/>
            <w:vAlign w:val="center"/>
          </w:tcPr>
          <w:p w:rsidR="0020632F" w:rsidRPr="0020632F" w:rsidRDefault="0020632F" w:rsidP="00EB6AAB">
            <w:pPr>
              <w:wordWrap/>
              <w:jc w:val="center"/>
            </w:pPr>
            <w:r w:rsidRPr="0020632F">
              <w:t>291</w:t>
            </w:r>
          </w:p>
        </w:tc>
      </w:tr>
      <w:tr w:rsidR="0020632F" w:rsidRPr="0020632F" w:rsidTr="00B474F8">
        <w:trPr>
          <w:cantSplit/>
        </w:trPr>
        <w:tc>
          <w:tcPr>
            <w:tcW w:w="1587" w:type="dxa"/>
          </w:tcPr>
          <w:p w:rsidR="0020632F" w:rsidRPr="0020632F" w:rsidRDefault="0020632F" w:rsidP="00EB6AAB">
            <w:pPr>
              <w:wordWrap/>
            </w:pPr>
            <w:r w:rsidRPr="0020632F">
              <w:t>+24 months</w:t>
            </w:r>
          </w:p>
        </w:tc>
        <w:tc>
          <w:tcPr>
            <w:tcW w:w="1247" w:type="dxa"/>
            <w:vAlign w:val="center"/>
          </w:tcPr>
          <w:p w:rsidR="0020632F" w:rsidRPr="0020632F" w:rsidRDefault="0020632F" w:rsidP="00EB6AAB">
            <w:pPr>
              <w:wordWrap/>
              <w:jc w:val="center"/>
            </w:pPr>
            <w:r w:rsidRPr="0020632F">
              <w:t>−0.1616</w:t>
            </w:r>
          </w:p>
        </w:tc>
        <w:tc>
          <w:tcPr>
            <w:tcW w:w="1417" w:type="dxa"/>
            <w:vAlign w:val="center"/>
          </w:tcPr>
          <w:p w:rsidR="0020632F" w:rsidRPr="0020632F" w:rsidRDefault="0020632F" w:rsidP="00EB6AAB">
            <w:pPr>
              <w:wordWrap/>
              <w:jc w:val="center"/>
            </w:pPr>
            <w:r w:rsidRPr="0020632F">
              <w:t>−1.63</w:t>
            </w:r>
          </w:p>
        </w:tc>
        <w:tc>
          <w:tcPr>
            <w:tcW w:w="964" w:type="dxa"/>
            <w:vAlign w:val="center"/>
          </w:tcPr>
          <w:p w:rsidR="0020632F" w:rsidRPr="0020632F" w:rsidRDefault="0020632F" w:rsidP="00EB6AAB">
            <w:pPr>
              <w:wordWrap/>
              <w:jc w:val="center"/>
            </w:pPr>
            <w:r w:rsidRPr="0020632F">
              <w:t>245</w:t>
            </w:r>
          </w:p>
        </w:tc>
      </w:tr>
      <w:tr w:rsidR="0020632F" w:rsidRPr="0020632F" w:rsidTr="00B474F8">
        <w:trPr>
          <w:cantSplit/>
        </w:trPr>
        <w:tc>
          <w:tcPr>
            <w:tcW w:w="1587" w:type="dxa"/>
          </w:tcPr>
          <w:p w:rsidR="0020632F" w:rsidRPr="0020632F" w:rsidRDefault="0020632F" w:rsidP="00EB6AAB">
            <w:pPr>
              <w:wordWrap/>
            </w:pPr>
            <w:r w:rsidRPr="0020632F">
              <w:t>+36 months</w:t>
            </w:r>
          </w:p>
        </w:tc>
        <w:tc>
          <w:tcPr>
            <w:tcW w:w="1247" w:type="dxa"/>
            <w:vAlign w:val="center"/>
          </w:tcPr>
          <w:p w:rsidR="0020632F" w:rsidRPr="0020632F" w:rsidRDefault="0020632F" w:rsidP="00EB6AAB">
            <w:pPr>
              <w:wordWrap/>
              <w:jc w:val="center"/>
            </w:pPr>
            <w:r w:rsidRPr="0020632F">
              <w:t>−0.2092</w:t>
            </w:r>
          </w:p>
        </w:tc>
        <w:tc>
          <w:tcPr>
            <w:tcW w:w="1417" w:type="dxa"/>
            <w:vAlign w:val="center"/>
          </w:tcPr>
          <w:p w:rsidR="0020632F" w:rsidRPr="0020632F" w:rsidRDefault="0020632F" w:rsidP="00EB6AAB">
            <w:pPr>
              <w:wordWrap/>
              <w:jc w:val="center"/>
            </w:pPr>
            <w:r w:rsidRPr="0020632F">
              <w:t>−2.29</w:t>
            </w:r>
          </w:p>
        </w:tc>
        <w:tc>
          <w:tcPr>
            <w:tcW w:w="964" w:type="dxa"/>
            <w:vAlign w:val="center"/>
          </w:tcPr>
          <w:p w:rsidR="0020632F" w:rsidRPr="0020632F" w:rsidRDefault="0020632F" w:rsidP="00EB6AAB">
            <w:pPr>
              <w:wordWrap/>
              <w:jc w:val="center"/>
            </w:pPr>
            <w:r w:rsidRPr="0020632F">
              <w:t>203</w:t>
            </w:r>
          </w:p>
        </w:tc>
      </w:tr>
    </w:tbl>
    <w:p w:rsidR="0020632F" w:rsidRPr="0020632F" w:rsidRDefault="0020632F" w:rsidP="00EB6AAB">
      <w:pPr>
        <w:pStyle w:val="aff3"/>
        <w:wordWrap/>
      </w:pPr>
      <w:r w:rsidRPr="0020632F">
        <w:rPr>
          <w:b/>
          <w:bCs/>
        </w:rPr>
        <w:t>Panel B. Additional within-event worker-flow contrast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675"/>
        <w:gridCol w:w="1137"/>
        <w:gridCol w:w="2273"/>
        <w:gridCol w:w="936"/>
      </w:tblGrid>
      <w:tr w:rsidR="0020632F" w:rsidRPr="0020632F" w:rsidTr="00EB6AAB">
        <w:trPr>
          <w:cantSplit/>
          <w:tblHeader/>
        </w:trPr>
        <w:tc>
          <w:tcPr>
            <w:tcW w:w="4665" w:type="dxa"/>
            <w:vAlign w:val="center"/>
          </w:tcPr>
          <w:p w:rsidR="0020632F" w:rsidRPr="00B474F8" w:rsidRDefault="0020632F" w:rsidP="00EB6AAB">
            <w:pPr>
              <w:wordWrap/>
              <w:jc w:val="left"/>
              <w:rPr>
                <w:b/>
              </w:rPr>
            </w:pPr>
            <w:r w:rsidRPr="00B474F8">
              <w:rPr>
                <w:b/>
                <w:sz w:val="20"/>
              </w:rPr>
              <w:lastRenderedPageBreak/>
              <w:t>Contrast</w:t>
            </w:r>
          </w:p>
        </w:tc>
        <w:tc>
          <w:tcPr>
            <w:tcW w:w="1134" w:type="dxa"/>
            <w:vAlign w:val="center"/>
          </w:tcPr>
          <w:p w:rsidR="0020632F" w:rsidRPr="00B474F8" w:rsidRDefault="0020632F" w:rsidP="00EB6AAB">
            <w:pPr>
              <w:wordWrap/>
              <w:jc w:val="center"/>
              <w:rPr>
                <w:b/>
              </w:rPr>
            </w:pPr>
            <w:r w:rsidRPr="00B474F8">
              <w:rPr>
                <w:b/>
                <w:sz w:val="20"/>
              </w:rPr>
              <w:t>Estimate</w:t>
            </w:r>
          </w:p>
        </w:tc>
        <w:tc>
          <w:tcPr>
            <w:tcW w:w="2268" w:type="dxa"/>
            <w:vAlign w:val="center"/>
          </w:tcPr>
          <w:p w:rsidR="0020632F" w:rsidRPr="00B474F8" w:rsidRDefault="0020632F" w:rsidP="00EB6AAB">
            <w:pPr>
              <w:wordWrap/>
              <w:jc w:val="center"/>
              <w:rPr>
                <w:b/>
              </w:rPr>
            </w:pPr>
            <w:r w:rsidRPr="00B474F8">
              <w:rPr>
                <w:b/>
                <w:sz w:val="20"/>
              </w:rPr>
              <w:t>Empirical two-sided p</w:t>
            </w:r>
          </w:p>
        </w:tc>
        <w:tc>
          <w:tcPr>
            <w:tcW w:w="934" w:type="dxa"/>
            <w:vAlign w:val="center"/>
          </w:tcPr>
          <w:p w:rsidR="0020632F" w:rsidRPr="00B474F8" w:rsidRDefault="0020632F" w:rsidP="00EB6AAB">
            <w:pPr>
              <w:wordWrap/>
              <w:jc w:val="center"/>
              <w:rPr>
                <w:b/>
              </w:rPr>
            </w:pPr>
            <w:r w:rsidRPr="00B474F8">
              <w:rPr>
                <w:b/>
                <w:sz w:val="20"/>
              </w:rPr>
              <w:t>N</w:t>
            </w:r>
          </w:p>
        </w:tc>
      </w:tr>
      <w:tr w:rsidR="0020632F" w:rsidRPr="0020632F" w:rsidTr="00EB6AAB">
        <w:trPr>
          <w:cantSplit/>
        </w:trPr>
        <w:tc>
          <w:tcPr>
            <w:tcW w:w="4665" w:type="dxa"/>
          </w:tcPr>
          <w:p w:rsidR="0020632F" w:rsidRPr="0020632F" w:rsidRDefault="0020632F" w:rsidP="00EB6AAB">
            <w:pPr>
              <w:wordWrap/>
              <w:jc w:val="left"/>
            </w:pPr>
            <w:r>
              <w:t>Worker-entry gradient − separation gradient</w:t>
            </w:r>
          </w:p>
        </w:tc>
        <w:tc>
          <w:tcPr>
            <w:tcW w:w="1134" w:type="dxa"/>
            <w:vAlign w:val="center"/>
          </w:tcPr>
          <w:p w:rsidR="0020632F" w:rsidRPr="0020632F" w:rsidRDefault="0020632F" w:rsidP="00EB6AAB">
            <w:pPr>
              <w:wordWrap/>
              <w:jc w:val="center"/>
            </w:pPr>
            <w:r>
              <w:t>0.5746</w:t>
            </w:r>
          </w:p>
        </w:tc>
        <w:tc>
          <w:tcPr>
            <w:tcW w:w="2268" w:type="dxa"/>
            <w:vAlign w:val="center"/>
          </w:tcPr>
          <w:p w:rsidR="0020632F" w:rsidRPr="0020632F" w:rsidRDefault="0020632F" w:rsidP="00EB6AAB">
            <w:pPr>
              <w:wordWrap/>
              <w:jc w:val="center"/>
            </w:pPr>
            <w:r>
              <w:t>0.0415</w:t>
            </w:r>
          </w:p>
        </w:tc>
        <w:tc>
          <w:tcPr>
            <w:tcW w:w="934" w:type="dxa"/>
            <w:vAlign w:val="center"/>
          </w:tcPr>
          <w:p w:rsidR="0020632F" w:rsidRPr="0020632F" w:rsidRDefault="0020632F" w:rsidP="00EB6AAB">
            <w:pPr>
              <w:wordWrap/>
              <w:jc w:val="center"/>
            </w:pPr>
            <w:r>
              <w:t>279</w:t>
            </w:r>
          </w:p>
        </w:tc>
      </w:tr>
    </w:tbl>
    <w:p w:rsidR="0020632F" w:rsidRPr="00952628" w:rsidRDefault="0020632F"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Panel A measures log employment at the stated horizon relative to mean employment over months −6 through −1, followed by the treated-minus-control comparison and state-gradient estimation. This differs from the primary Table 4 employment outcome, which is constructed from the primary twelve-month pre- and post-investment windows rather than a single horizon-specific employment stock. The standardised distance is calculated from the horizon-specific untreated reference distribution. Panel B constructs the worker-entry-minus-separation contrast within the same events and compares it with its own untreated reference distribution.</w:t>
      </w:r>
    </w:p>
    <w:p w:rsidR="0020632F" w:rsidRPr="0020632F" w:rsidRDefault="0020632F" w:rsidP="00EB6AAB">
      <w:pPr>
        <w:pStyle w:val="aff3"/>
        <w:wordWrap/>
      </w:pPr>
      <w:r>
        <w:rPr>
          <w:rFonts w:eastAsia="Times New Roman"/>
        </w:rPr>
        <w:t>Employment gradients are negative at all three horizons and become more negative with the horizon. But the event count falls from 291 at twelve months to 245 at twenty-four months and 203 at thirty-six months, so the sequence is not a balanced-panel path; both horizon and composition can change the estimates.</w:t>
      </w:r>
      <w:r>
        <w:t xml:space="preserve"> </w:t>
      </w:r>
      <w:r>
        <w:rPr>
          <w:rFonts w:eastAsia="Times New Roman"/>
        </w:rPr>
        <w:t>The within-event entry-minus-separation gradient is 0.5746, with an empirical two-sided p-value of 0.0415 across 279 events. This supplementary contrast does not turn the imprecise separation gradient into an identified replacement mechanism. The state relationship is more clearly detected in inflows than in exits.</w:t>
      </w:r>
    </w:p>
    <w:p w:rsidR="00952628" w:rsidRPr="00952628" w:rsidRDefault="00FF4DCD" w:rsidP="00EB6AAB">
      <w:pPr>
        <w:pStyle w:val="3"/>
      </w:pPr>
      <w:r>
        <w:br w:type="page"/>
      </w:r>
      <w:r w:rsidR="00952628" w:rsidRPr="00952628">
        <w:lastRenderedPageBreak/>
        <w:t>Appendix D. Pre-deal dynamics, timing, and inference sensitivity</w:t>
      </w:r>
    </w:p>
    <w:p w:rsidR="00952628" w:rsidRPr="00952628" w:rsidRDefault="00952628" w:rsidP="00EB6AAB">
      <w:pPr>
        <w:pStyle w:val="aff3"/>
        <w:wordWrap/>
      </w:pPr>
      <w:r>
        <w:rPr>
          <w:rFonts w:eastAsia="Times New Roman"/>
          <w:color w:val="000000"/>
        </w:rPr>
        <w:t>This appendix moves the rebound and pre-deal-dynamics checks to quarterly frequency, reports the relative-magnitude calculations, and examines sponsor timing, transaction-date measurement, and repeated control firms. It then treats the separate average-effect estimand and re-estimates the state relationship in a stacked matched panel. Each exercise diagnoses a particular threat; none supplies independent identification.</w:t>
      </w:r>
    </w:p>
    <w:p w:rsidR="00952628" w:rsidRPr="00952628" w:rsidRDefault="00952628" w:rsidP="00EB6AAB">
      <w:pPr>
        <w:pStyle w:val="3"/>
      </w:pPr>
      <w:r w:rsidRPr="00952628">
        <w:t>D.1 Quarterly state-gradient dynamics</w:t>
      </w:r>
    </w:p>
    <w:p w:rsidR="00952628" w:rsidRPr="00952628" w:rsidRDefault="00952628" w:rsidP="00EB6AAB">
      <w:pPr>
        <w:pStyle w:val="aff3"/>
        <w:wordWrap/>
      </w:pPr>
      <w:r>
        <w:rPr>
          <w:rFonts w:eastAsia="Times New Roman"/>
        </w:rPr>
        <w:t>Table D1 reports quarterly state gradients. They reveal the timing of the pre-investment pattern but are much less precise than the twelve-month analysis.</w:t>
      </w:r>
    </w:p>
    <w:p w:rsidR="00952628" w:rsidRPr="00952628" w:rsidRDefault="00952628" w:rsidP="00EB6AAB">
      <w:pPr>
        <w:pStyle w:val="aff3"/>
        <w:wordWrap/>
        <w:rPr>
          <w:b/>
        </w:rPr>
      </w:pPr>
      <w:r w:rsidRPr="00952628">
        <w:rPr>
          <w:b/>
        </w:rPr>
        <w:t>Table D1. State gradients at quarterly frequency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823"/>
        <w:gridCol w:w="1299"/>
        <w:gridCol w:w="1300"/>
        <w:gridCol w:w="1299"/>
        <w:gridCol w:w="1300"/>
      </w:tblGrid>
      <w:tr w:rsidR="00952628" w:rsidRPr="00952628" w:rsidTr="00EB6AAB">
        <w:trPr>
          <w:cantSplit/>
          <w:tblHeader/>
        </w:trPr>
        <w:tc>
          <w:tcPr>
            <w:tcW w:w="3815" w:type="dxa"/>
            <w:vAlign w:val="center"/>
          </w:tcPr>
          <w:p w:rsidR="00952628" w:rsidRPr="00952628" w:rsidRDefault="00952628" w:rsidP="00EB6AAB">
            <w:pPr>
              <w:wordWrap/>
              <w:rPr>
                <w:b/>
              </w:rPr>
            </w:pPr>
            <w:r w:rsidRPr="00952628">
              <w:rPr>
                <w:b/>
                <w:sz w:val="20"/>
              </w:rPr>
              <w:t>Period</w:t>
            </w:r>
          </w:p>
        </w:tc>
        <w:tc>
          <w:tcPr>
            <w:tcW w:w="1296" w:type="dxa"/>
            <w:vAlign w:val="center"/>
          </w:tcPr>
          <w:p w:rsidR="00952628" w:rsidRPr="00952628" w:rsidRDefault="00952628" w:rsidP="00EB6AAB">
            <w:pPr>
              <w:wordWrap/>
              <w:jc w:val="center"/>
              <w:rPr>
                <w:b/>
              </w:rPr>
            </w:pPr>
            <w:r w:rsidRPr="00952628">
              <w:rPr>
                <w:b/>
                <w:sz w:val="20"/>
              </w:rPr>
              <w:t>Quarter 1</w:t>
            </w:r>
          </w:p>
        </w:tc>
        <w:tc>
          <w:tcPr>
            <w:tcW w:w="1297" w:type="dxa"/>
            <w:vAlign w:val="center"/>
          </w:tcPr>
          <w:p w:rsidR="00952628" w:rsidRPr="00952628" w:rsidRDefault="00952628" w:rsidP="00EB6AAB">
            <w:pPr>
              <w:wordWrap/>
              <w:jc w:val="center"/>
              <w:rPr>
                <w:b/>
              </w:rPr>
            </w:pPr>
            <w:r w:rsidRPr="00952628">
              <w:rPr>
                <w:b/>
                <w:sz w:val="20"/>
              </w:rPr>
              <w:t>Quarter 2</w:t>
            </w:r>
          </w:p>
        </w:tc>
        <w:tc>
          <w:tcPr>
            <w:tcW w:w="1296" w:type="dxa"/>
            <w:vAlign w:val="center"/>
          </w:tcPr>
          <w:p w:rsidR="00952628" w:rsidRPr="00952628" w:rsidRDefault="00952628" w:rsidP="00EB6AAB">
            <w:pPr>
              <w:wordWrap/>
              <w:jc w:val="center"/>
              <w:rPr>
                <w:b/>
              </w:rPr>
            </w:pPr>
            <w:r w:rsidRPr="00952628">
              <w:rPr>
                <w:b/>
                <w:sz w:val="20"/>
              </w:rPr>
              <w:t>Quarter 3</w:t>
            </w:r>
          </w:p>
        </w:tc>
        <w:tc>
          <w:tcPr>
            <w:tcW w:w="1297" w:type="dxa"/>
            <w:vAlign w:val="center"/>
          </w:tcPr>
          <w:p w:rsidR="00952628" w:rsidRPr="00952628" w:rsidRDefault="00952628" w:rsidP="00EB6AAB">
            <w:pPr>
              <w:wordWrap/>
              <w:jc w:val="center"/>
              <w:rPr>
                <w:b/>
              </w:rPr>
            </w:pPr>
            <w:r w:rsidRPr="00952628">
              <w:rPr>
                <w:b/>
                <w:sz w:val="20"/>
              </w:rPr>
              <w:t>Quarter 4</w:t>
            </w:r>
          </w:p>
        </w:tc>
      </w:tr>
      <w:tr w:rsidR="00952628" w:rsidRPr="00952628" w:rsidTr="00EB6AAB">
        <w:trPr>
          <w:cantSplit/>
        </w:trPr>
        <w:tc>
          <w:tcPr>
            <w:tcW w:w="3815" w:type="dxa"/>
          </w:tcPr>
          <w:p w:rsidR="00952628" w:rsidRPr="00952628" w:rsidRDefault="00952628" w:rsidP="00EB6AAB">
            <w:pPr>
              <w:wordWrap/>
            </w:pPr>
            <w:r w:rsidRPr="00952628">
              <w:t>Treated, pre-deal</w:t>
            </w:r>
          </w:p>
        </w:tc>
        <w:tc>
          <w:tcPr>
            <w:tcW w:w="1296" w:type="dxa"/>
          </w:tcPr>
          <w:p w:rsidR="00952628" w:rsidRPr="00952628" w:rsidRDefault="00952628" w:rsidP="00EB6AAB">
            <w:pPr>
              <w:wordWrap/>
              <w:jc w:val="center"/>
            </w:pPr>
            <w:r w:rsidRPr="00952628">
              <w:t>+0.087</w:t>
            </w:r>
          </w:p>
        </w:tc>
        <w:tc>
          <w:tcPr>
            <w:tcW w:w="1297" w:type="dxa"/>
          </w:tcPr>
          <w:p w:rsidR="00952628" w:rsidRPr="00952628" w:rsidRDefault="00952628" w:rsidP="00EB6AAB">
            <w:pPr>
              <w:wordWrap/>
              <w:jc w:val="center"/>
            </w:pPr>
            <w:r w:rsidRPr="00952628">
              <w:t>−0.042</w:t>
            </w:r>
          </w:p>
        </w:tc>
        <w:tc>
          <w:tcPr>
            <w:tcW w:w="1296" w:type="dxa"/>
          </w:tcPr>
          <w:p w:rsidR="00952628" w:rsidRPr="00952628" w:rsidRDefault="00952628" w:rsidP="00EB6AAB">
            <w:pPr>
              <w:wordWrap/>
              <w:jc w:val="center"/>
            </w:pPr>
            <w:r w:rsidRPr="00952628">
              <w:t>−0.038</w:t>
            </w:r>
          </w:p>
        </w:tc>
        <w:tc>
          <w:tcPr>
            <w:tcW w:w="1297" w:type="dxa"/>
          </w:tcPr>
          <w:p w:rsidR="00952628" w:rsidRPr="00952628" w:rsidRDefault="00952628" w:rsidP="00EB6AAB">
            <w:pPr>
              <w:wordWrap/>
              <w:jc w:val="center"/>
            </w:pPr>
            <w:r w:rsidRPr="00952628">
              <w:t>−0.056</w:t>
            </w:r>
          </w:p>
        </w:tc>
      </w:tr>
      <w:tr w:rsidR="00952628" w:rsidRPr="00952628" w:rsidTr="00EB6AAB">
        <w:trPr>
          <w:cantSplit/>
        </w:trPr>
        <w:tc>
          <w:tcPr>
            <w:tcW w:w="3815" w:type="dxa"/>
          </w:tcPr>
          <w:p w:rsidR="00952628" w:rsidRPr="00952628" w:rsidRDefault="00952628" w:rsidP="00EB6AAB">
            <w:pPr>
              <w:wordWrap/>
            </w:pPr>
            <w:r w:rsidRPr="00952628">
              <w:t>Treated, post-deal</w:t>
            </w:r>
          </w:p>
        </w:tc>
        <w:tc>
          <w:tcPr>
            <w:tcW w:w="1296" w:type="dxa"/>
          </w:tcPr>
          <w:p w:rsidR="00952628" w:rsidRPr="00952628" w:rsidRDefault="00952628" w:rsidP="00EB6AAB">
            <w:pPr>
              <w:wordWrap/>
              <w:jc w:val="center"/>
            </w:pPr>
            <w:r w:rsidRPr="00952628">
              <w:t>+0.147</w:t>
            </w:r>
          </w:p>
        </w:tc>
        <w:tc>
          <w:tcPr>
            <w:tcW w:w="1297" w:type="dxa"/>
          </w:tcPr>
          <w:p w:rsidR="00952628" w:rsidRPr="00952628" w:rsidRDefault="00952628" w:rsidP="00EB6AAB">
            <w:pPr>
              <w:wordWrap/>
              <w:jc w:val="center"/>
            </w:pPr>
            <w:r w:rsidRPr="00952628">
              <w:t>+0.240</w:t>
            </w:r>
          </w:p>
        </w:tc>
        <w:tc>
          <w:tcPr>
            <w:tcW w:w="1296" w:type="dxa"/>
          </w:tcPr>
          <w:p w:rsidR="00952628" w:rsidRPr="00952628" w:rsidRDefault="00952628" w:rsidP="00EB6AAB">
            <w:pPr>
              <w:wordWrap/>
              <w:jc w:val="center"/>
            </w:pPr>
            <w:r w:rsidRPr="00952628">
              <w:t>+0.108</w:t>
            </w:r>
          </w:p>
        </w:tc>
        <w:tc>
          <w:tcPr>
            <w:tcW w:w="1297" w:type="dxa"/>
          </w:tcPr>
          <w:p w:rsidR="00952628" w:rsidRPr="00952628" w:rsidRDefault="00952628" w:rsidP="00EB6AAB">
            <w:pPr>
              <w:wordWrap/>
              <w:jc w:val="center"/>
            </w:pPr>
            <w:r w:rsidRPr="00952628">
              <w:t>+0.010</w:t>
            </w:r>
          </w:p>
        </w:tc>
      </w:tr>
      <w:tr w:rsidR="00952628" w:rsidRPr="00952628" w:rsidTr="00EB6AAB">
        <w:trPr>
          <w:cantSplit/>
        </w:trPr>
        <w:tc>
          <w:tcPr>
            <w:tcW w:w="3815" w:type="dxa"/>
          </w:tcPr>
          <w:p w:rsidR="00952628" w:rsidRPr="00952628" w:rsidRDefault="00952628" w:rsidP="00EB6AAB">
            <w:pPr>
              <w:wordWrap/>
            </w:pPr>
            <w:r w:rsidRPr="00952628">
              <w:t>Untreated pseudo-events, pre-deal</w:t>
            </w:r>
          </w:p>
        </w:tc>
        <w:tc>
          <w:tcPr>
            <w:tcW w:w="1296" w:type="dxa"/>
          </w:tcPr>
          <w:p w:rsidR="00952628" w:rsidRPr="00952628" w:rsidRDefault="00952628" w:rsidP="00EB6AAB">
            <w:pPr>
              <w:wordWrap/>
              <w:jc w:val="center"/>
            </w:pPr>
            <w:r w:rsidRPr="00952628">
              <w:t>−0.073</w:t>
            </w:r>
          </w:p>
        </w:tc>
        <w:tc>
          <w:tcPr>
            <w:tcW w:w="1297" w:type="dxa"/>
          </w:tcPr>
          <w:p w:rsidR="00952628" w:rsidRPr="00952628" w:rsidRDefault="00952628" w:rsidP="00EB6AAB">
            <w:pPr>
              <w:wordWrap/>
              <w:jc w:val="center"/>
            </w:pPr>
            <w:r w:rsidRPr="00952628">
              <w:t>−0.031</w:t>
            </w:r>
          </w:p>
        </w:tc>
        <w:tc>
          <w:tcPr>
            <w:tcW w:w="1296" w:type="dxa"/>
          </w:tcPr>
          <w:p w:rsidR="00952628" w:rsidRPr="00952628" w:rsidRDefault="00952628" w:rsidP="00EB6AAB">
            <w:pPr>
              <w:wordWrap/>
              <w:jc w:val="center"/>
            </w:pPr>
            <w:r w:rsidRPr="00952628">
              <w:t>−0.003</w:t>
            </w:r>
          </w:p>
        </w:tc>
        <w:tc>
          <w:tcPr>
            <w:tcW w:w="1297" w:type="dxa"/>
          </w:tcPr>
          <w:p w:rsidR="00952628" w:rsidRPr="00952628" w:rsidRDefault="00952628" w:rsidP="00EB6AAB">
            <w:pPr>
              <w:wordWrap/>
              <w:jc w:val="center"/>
            </w:pPr>
            <w:r w:rsidRPr="00952628">
              <w:t>+0.045</w:t>
            </w:r>
          </w:p>
        </w:tc>
      </w:tr>
      <w:tr w:rsidR="00952628" w:rsidRPr="00952628" w:rsidTr="00EB6AAB">
        <w:trPr>
          <w:cantSplit/>
        </w:trPr>
        <w:tc>
          <w:tcPr>
            <w:tcW w:w="3815" w:type="dxa"/>
          </w:tcPr>
          <w:p w:rsidR="00952628" w:rsidRPr="00952628" w:rsidRDefault="00952628" w:rsidP="00EB6AAB">
            <w:pPr>
              <w:wordWrap/>
            </w:pPr>
            <w:r w:rsidRPr="00952628">
              <w:t>Untreated pseudo-events, post-deal</w:t>
            </w:r>
          </w:p>
        </w:tc>
        <w:tc>
          <w:tcPr>
            <w:tcW w:w="1296" w:type="dxa"/>
          </w:tcPr>
          <w:p w:rsidR="00952628" w:rsidRPr="00952628" w:rsidRDefault="00952628" w:rsidP="00EB6AAB">
            <w:pPr>
              <w:wordWrap/>
              <w:jc w:val="center"/>
            </w:pPr>
            <w:r w:rsidRPr="00952628">
              <w:t>−0.024</w:t>
            </w:r>
          </w:p>
        </w:tc>
        <w:tc>
          <w:tcPr>
            <w:tcW w:w="1297" w:type="dxa"/>
          </w:tcPr>
          <w:p w:rsidR="00952628" w:rsidRPr="00952628" w:rsidRDefault="00952628" w:rsidP="00EB6AAB">
            <w:pPr>
              <w:wordWrap/>
              <w:jc w:val="center"/>
            </w:pPr>
            <w:r w:rsidRPr="00952628">
              <w:t>+0.088</w:t>
            </w:r>
          </w:p>
        </w:tc>
        <w:tc>
          <w:tcPr>
            <w:tcW w:w="1296" w:type="dxa"/>
          </w:tcPr>
          <w:p w:rsidR="00952628" w:rsidRPr="00952628" w:rsidRDefault="00952628" w:rsidP="00EB6AAB">
            <w:pPr>
              <w:wordWrap/>
              <w:jc w:val="center"/>
            </w:pPr>
            <w:r w:rsidRPr="00952628">
              <w:t>−0.040</w:t>
            </w:r>
          </w:p>
        </w:tc>
        <w:tc>
          <w:tcPr>
            <w:tcW w:w="1297" w:type="dxa"/>
          </w:tcPr>
          <w:p w:rsidR="00952628" w:rsidRPr="00952628" w:rsidRDefault="00952628" w:rsidP="00EB6AAB">
            <w:pPr>
              <w:wordWrap/>
              <w:jc w:val="center"/>
            </w:pPr>
            <w:r w:rsidRPr="00952628">
              <w:t>−0.000</w:t>
            </w:r>
          </w:p>
        </w:tc>
      </w:tr>
    </w:tbl>
    <w:p w:rsidR="00952628" w:rsidRPr="00952628" w:rsidRDefault="00952628" w:rsidP="00EB6AAB">
      <w:pPr>
        <w:pStyle w:val="aff3"/>
        <w:wordWrap/>
        <w:spacing w:before="0"/>
        <w:rPr>
          <w:color w:val="7F7F7F" w:themeColor="text1" w:themeTint="80"/>
          <w:sz w:val="20"/>
        </w:rPr>
      </w:pPr>
      <w:r w:rsidRPr="00952628">
        <w:rPr>
          <w:color w:val="7F7F7F" w:themeColor="text1" w:themeTint="80"/>
          <w:sz w:val="20"/>
        </w:rPr>
        <w:t xml:space="preserve">Notes. Entries are state gradients estimated separately by quarter and ordered from earliest to latest within the pre- and post-deal periods. The mean of the four treated pre-deal gradients is </w:t>
      </w:r>
      <m:oMath>
        <m:r>
          <m:rPr>
            <m:sty m:val="p"/>
          </m:rPr>
          <w:rPr>
            <w:rFonts w:ascii="Cambria Math" w:hAnsi="Cambria Math"/>
            <w:color w:val="7F7F7F" w:themeColor="text1" w:themeTint="80"/>
            <w:sz w:val="20"/>
          </w:rPr>
          <m:t>-0.012</m:t>
        </m:r>
      </m:oMath>
      <w:r w:rsidRPr="00952628">
        <w:rPr>
          <w:color w:val="7F7F7F" w:themeColor="text1" w:themeTint="80"/>
          <w:sz w:val="20"/>
        </w:rPr>
        <w:t xml:space="preserve"> [−0.163, 0.131]. A linear drift fitted across those four pre-deal estimates is </w:t>
      </w:r>
      <m:oMath>
        <m:r>
          <m:rPr>
            <m:sty m:val="p"/>
          </m:rPr>
          <w:rPr>
            <w:rFonts w:ascii="Cambria Math" w:hAnsi="Cambria Math"/>
            <w:color w:val="7F7F7F" w:themeColor="text1" w:themeTint="80"/>
            <w:sz w:val="20"/>
          </w:rPr>
          <m:t>-0.038</m:t>
        </m:r>
      </m:oMath>
      <w:r w:rsidRPr="00952628">
        <w:rPr>
          <w:color w:val="7F7F7F" w:themeColor="text1" w:themeTint="80"/>
          <w:sz w:val="20"/>
        </w:rPr>
        <w:t xml:space="preserve"> [−0.600, 0.473]. The mean of the four treated post-deal gradients is 0.126.</w:t>
      </w:r>
    </w:p>
    <w:p w:rsidR="00952628" w:rsidRPr="00952628" w:rsidRDefault="00952628" w:rsidP="00EB6AAB">
      <w:pPr>
        <w:pStyle w:val="aff3"/>
        <w:wordWrap/>
      </w:pPr>
      <w:r w:rsidRPr="00952628">
        <w:t xml:space="preserve">The treated pre-deal coefficients alternate in sign: </w:t>
      </w:r>
      <m:oMath>
        <m:r>
          <m:rPr>
            <m:sty m:val="p"/>
          </m:rPr>
          <w:rPr>
            <w:rFonts w:ascii="Cambria Math" w:hAnsi="Cambria Math"/>
          </w:rPr>
          <m:t>+</m:t>
        </m:r>
        <m:r>
          <w:rPr>
            <w:rFonts w:ascii="Cambria Math" w:hAnsi="Cambria Math"/>
          </w:rPr>
          <m:t>0.087</m:t>
        </m:r>
      </m:oMath>
      <w:r w:rsidRPr="00952628">
        <w:t xml:space="preserve">, </w:t>
      </w:r>
      <m:oMath>
        <m:r>
          <m:rPr>
            <m:sty m:val="p"/>
          </m:rPr>
          <w:rPr>
            <w:rFonts w:ascii="Cambria Math" w:hAnsi="Cambria Math"/>
          </w:rPr>
          <m:t>-</m:t>
        </m:r>
        <m:r>
          <w:rPr>
            <w:rFonts w:ascii="Cambria Math" w:hAnsi="Cambria Math"/>
          </w:rPr>
          <m:t>0.042</m:t>
        </m:r>
      </m:oMath>
      <w:r w:rsidRPr="00952628">
        <w:t xml:space="preserve">, </w:t>
      </w:r>
      <m:oMath>
        <m:r>
          <m:rPr>
            <m:sty m:val="p"/>
          </m:rPr>
          <w:rPr>
            <w:rFonts w:ascii="Cambria Math" w:hAnsi="Cambria Math"/>
          </w:rPr>
          <m:t>-</m:t>
        </m:r>
        <m:r>
          <w:rPr>
            <w:rFonts w:ascii="Cambria Math" w:hAnsi="Cambria Math"/>
          </w:rPr>
          <m:t>0.038</m:t>
        </m:r>
      </m:oMath>
      <w:r w:rsidRPr="00952628">
        <w:t xml:space="preserve">, and </w:t>
      </w:r>
      <m:oMath>
        <m:r>
          <m:rPr>
            <m:sty m:val="p"/>
          </m:rPr>
          <w:rPr>
            <w:rFonts w:ascii="Cambria Math" w:hAnsi="Cambria Math"/>
          </w:rPr>
          <m:t>-</m:t>
        </m:r>
        <m:r>
          <w:rPr>
            <w:rFonts w:ascii="Cambria Math" w:hAnsi="Cambria Math"/>
          </w:rPr>
          <m:t>0.056</m:t>
        </m:r>
      </m:oMath>
      <w:r w:rsidRPr="00952628">
        <w:t xml:space="preserve">. Their mean is </w:t>
      </w:r>
      <m:oMath>
        <m:r>
          <m:rPr>
            <m:sty m:val="p"/>
          </m:rPr>
          <w:rPr>
            <w:rFonts w:ascii="Cambria Math" w:hAnsi="Cambria Math"/>
          </w:rPr>
          <m:t>-</m:t>
        </m:r>
        <m:r>
          <w:rPr>
            <w:rFonts w:ascii="Cambria Math" w:hAnsi="Cambria Math"/>
          </w:rPr>
          <m:t>0.012</m:t>
        </m:r>
      </m:oMath>
      <w:r w:rsidRPr="00952628">
        <w:t xml:space="preserve"> [−0.163, 0.131]. The sequence does not display a persistent positive ordering before investment.</w:t>
      </w:r>
      <w:r>
        <w:t xml:space="preserve"> </w:t>
      </w:r>
      <w:r w:rsidRPr="00952628">
        <w:t xml:space="preserve">Precision is limited. A single linear drift across the four treated pre-deal quarters is </w:t>
      </w:r>
      <m:oMath>
        <m:r>
          <m:rPr>
            <m:sty m:val="p"/>
          </m:rPr>
          <w:rPr>
            <w:rFonts w:ascii="Cambria Math" w:hAnsi="Cambria Math"/>
          </w:rPr>
          <m:t>-</m:t>
        </m:r>
        <m:r>
          <w:rPr>
            <w:rFonts w:ascii="Cambria Math" w:hAnsi="Cambria Math"/>
          </w:rPr>
          <m:t>0.038</m:t>
        </m:r>
      </m:oMath>
      <w:r w:rsidRPr="00952628">
        <w:t xml:space="preserve"> [−0.600, 0.473]. The interval accommodates moderate differential dynamics in either direction. The quarterly results show no clear positive divergence; they do not establish flat or parallel pre-investment paths.</w:t>
      </w:r>
    </w:p>
    <w:p w:rsidR="00952628" w:rsidRPr="00952628" w:rsidRDefault="00952628" w:rsidP="00EB6AAB">
      <w:pPr>
        <w:pStyle w:val="3"/>
      </w:pPr>
      <w:r w:rsidRPr="00952628">
        <w:t>D.2 Relative-magnitude sensitivity of the state gradient</w:t>
      </w:r>
    </w:p>
    <w:p w:rsidR="00952628" w:rsidRPr="00952628" w:rsidRDefault="00952628" w:rsidP="00EB6AAB">
      <w:pPr>
        <w:pStyle w:val="aff3"/>
        <w:wordWrap/>
      </w:pPr>
      <w:r>
        <w:rPr>
          <w:rFonts w:eastAsia="Times New Roman"/>
        </w:rPr>
        <w:t>We apply the relative-magnitude framework of Rambachan and Roth (2023) to differential trends that may remain after matching.</w:t>
      </w:r>
      <w:r>
        <w:t xml:space="preserve"> </w:t>
      </w:r>
      <w:r w:rsidRPr="00952628">
        <w:t xml:space="preserve">Let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952628">
        <w:t xml:space="preserve"> denote the differential trend component at event time </w:t>
      </w:r>
      <m:oMath>
        <m:r>
          <w:rPr>
            <w:rFonts w:ascii="Cambria Math" w:hAnsi="Cambria Math"/>
          </w:rPr>
          <m:t>t</m:t>
        </m:r>
      </m:oMath>
      <w:r w:rsidRPr="00952628">
        <w:t xml:space="preserve">. Under the </w:t>
      </w:r>
      <w:r w:rsidRPr="00952628">
        <w:lastRenderedPageBreak/>
        <w:t>relative-magnitude restriction,</w:t>
      </w:r>
    </w:p>
    <w:p w:rsidR="00952628" w:rsidRPr="00952628" w:rsidRDefault="00952628" w:rsidP="00EB6AAB">
      <w:pPr>
        <w:pStyle w:val="aff3"/>
        <w:wordWrap/>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M</m:t>
              </m:r>
            </m:e>
          </m:acc>
          <m:limLow>
            <m:limLowPr>
              <m:ctrlPr>
                <w:rPr>
                  <w:rFonts w:ascii="Cambria Math" w:hAnsi="Cambria Math"/>
                </w:rPr>
              </m:ctrlPr>
            </m:limLowPr>
            <m:e>
              <m:r>
                <m:rPr>
                  <m:sty m:val="p"/>
                </m:rPr>
                <w:rPr>
                  <w:rFonts w:ascii="Cambria Math" w:hAnsi="Cambria Math"/>
                </w:rPr>
                <m:t>max</m:t>
              </m:r>
            </m:e>
            <m:lim>
              <m:r>
                <w:rPr>
                  <w:rFonts w:ascii="Cambria Math" w:hAnsi="Cambria Math"/>
                </w:rPr>
                <m:t>s</m:t>
              </m:r>
              <m:r>
                <m:rPr>
                  <m:sty m:val="p"/>
                </m:rPr>
                <w:rPr>
                  <w:rFonts w:ascii="Cambria Math" w:hAnsi="Cambria Math"/>
                </w:rPr>
                <m:t>&lt;</m:t>
              </m:r>
              <m:r>
                <w:rPr>
                  <w:rFonts w:ascii="Cambria Math" w:hAnsi="Cambria Math"/>
                </w:rPr>
                <m:t>0</m:t>
              </m:r>
            </m:lim>
          </m:limLow>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oMath>
      </m:oMathPara>
    </w:p>
    <w:p w:rsidR="00952628" w:rsidRPr="00952628" w:rsidRDefault="00952628" w:rsidP="00EB6AAB">
      <w:pPr>
        <w:pStyle w:val="aff3"/>
        <w:wordWrap/>
      </w:pPr>
      <w:r w:rsidRPr="00952628">
        <w:t xml:space="preserve">The parameter </w:t>
      </w:r>
      <m:oMath>
        <m:acc>
          <m:accPr>
            <m:chr m:val="‾"/>
            <m:ctrlPr>
              <w:rPr>
                <w:rFonts w:ascii="Cambria Math" w:hAnsi="Cambria Math"/>
              </w:rPr>
            </m:ctrlPr>
          </m:accPr>
          <m:e>
            <m:r>
              <w:rPr>
                <w:rFonts w:ascii="Cambria Math" w:hAnsi="Cambria Math"/>
              </w:rPr>
              <m:t>M</m:t>
            </m:r>
          </m:e>
        </m:acc>
      </m:oMath>
      <w:r w:rsidRPr="00952628">
        <w:t xml:space="preserve"> therefore limits the largest post-treatment change in the differential trend relative to the largest corresponding change observed before treatment. Larger values permit larger departures from the pre-period pattern.</w:t>
      </w:r>
      <w:r>
        <w:t xml:space="preserve"> </w:t>
      </w:r>
      <w:r>
        <w:rPr>
          <w:rFonts w:eastAsia="Times New Roman"/>
        </w:rPr>
        <w:t>On the 283-event common sample, the twelve-month calculation uses a pre-period benchmark of 0.1068 and a post-period gradient of 0.7250 (standard error 0.1995). The 95 percent sensitivity interval first contains zero at M̄ = 3.126. At quarterly frequency, the mean post-deal gradient is 0.1259 (standard error 0.0711) and the largest pre-period movement is 0.0871; sampling uncertainty leaves a breakdown value of zero.</w:t>
      </w:r>
    </w:p>
    <w:p w:rsidR="00952628" w:rsidRPr="00952628" w:rsidRDefault="00952628" w:rsidP="00EB6AAB">
      <w:pPr>
        <w:pStyle w:val="aff3"/>
        <w:wordWrap/>
        <w:rPr>
          <w:b/>
        </w:rPr>
      </w:pPr>
      <w:r w:rsidRPr="00952628">
        <w:rPr>
          <w:b/>
        </w:rPr>
        <w:t>Table D2. Relative-magnitude sensitivity of the state gradient</w:t>
      </w:r>
    </w:p>
    <w:tbl>
      <w:tblPr>
        <w:tblW w:w="529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544"/>
        <w:gridCol w:w="1814"/>
        <w:gridCol w:w="4195"/>
      </w:tblGrid>
      <w:tr w:rsidR="00EB6AAB" w:rsidRPr="00952628" w:rsidTr="00B474F8">
        <w:trPr>
          <w:cantSplit/>
          <w:tblHeader/>
        </w:trPr>
        <w:tc>
          <w:tcPr>
            <w:tcW w:w="3544" w:type="dxa"/>
            <w:vAlign w:val="center"/>
          </w:tcPr>
          <w:p w:rsidR="00952628" w:rsidRPr="00B474F8" w:rsidRDefault="00952628" w:rsidP="00B474F8">
            <w:pPr>
              <w:wordWrap/>
              <w:jc w:val="left"/>
              <w:rPr>
                <w:b/>
                <w:spacing w:val="-8"/>
              </w:rPr>
            </w:pPr>
            <w:r w:rsidRPr="00B474F8">
              <w:rPr>
                <w:b/>
                <w:spacing w:val="-8"/>
              </w:rPr>
              <w:t>Temporal resolution</w:t>
            </w:r>
          </w:p>
        </w:tc>
        <w:tc>
          <w:tcPr>
            <w:tcW w:w="1814" w:type="dxa"/>
            <w:vAlign w:val="center"/>
          </w:tcPr>
          <w:p w:rsidR="00952628" w:rsidRPr="00B474F8" w:rsidRDefault="00952628" w:rsidP="00B474F8">
            <w:pPr>
              <w:wordWrap/>
              <w:jc w:val="center"/>
              <w:rPr>
                <w:b/>
                <w:spacing w:val="-8"/>
              </w:rPr>
            </w:pPr>
            <w:r w:rsidRPr="00B474F8">
              <w:rPr>
                <w:b/>
                <w:spacing w:val="-8"/>
              </w:rPr>
              <w:t>Breakdown value</w:t>
            </w:r>
          </w:p>
        </w:tc>
        <w:tc>
          <w:tcPr>
            <w:tcW w:w="4195" w:type="dxa"/>
            <w:vAlign w:val="center"/>
          </w:tcPr>
          <w:p w:rsidR="00952628" w:rsidRPr="00B474F8" w:rsidRDefault="00952628" w:rsidP="00B474F8">
            <w:pPr>
              <w:wordWrap/>
              <w:jc w:val="center"/>
              <w:rPr>
                <w:b/>
                <w:spacing w:val="-8"/>
              </w:rPr>
            </w:pPr>
            <w:r w:rsidRPr="00B474F8">
              <w:rPr>
                <w:b/>
                <w:spacing w:val="-8"/>
              </w:rPr>
              <w:t>Interpretation</w:t>
            </w:r>
          </w:p>
        </w:tc>
      </w:tr>
      <w:tr w:rsidR="00EB6AAB" w:rsidRPr="00952628" w:rsidTr="00B474F8">
        <w:trPr>
          <w:cantSplit/>
        </w:trPr>
        <w:tc>
          <w:tcPr>
            <w:tcW w:w="3544" w:type="dxa"/>
            <w:vAlign w:val="center"/>
          </w:tcPr>
          <w:p w:rsidR="00952628" w:rsidRPr="00EB6AAB" w:rsidRDefault="00952628" w:rsidP="00EB6AAB">
            <w:pPr>
              <w:wordWrap/>
              <w:rPr>
                <w:spacing w:val="-8"/>
              </w:rPr>
            </w:pPr>
            <w:r w:rsidRPr="00EB6AAB">
              <w:rPr>
                <w:spacing w:val="-8"/>
              </w:rPr>
              <w:t>Twelve-month state-gradient calculation</w:t>
            </w:r>
          </w:p>
        </w:tc>
        <w:tc>
          <w:tcPr>
            <w:tcW w:w="1814" w:type="dxa"/>
            <w:vAlign w:val="center"/>
          </w:tcPr>
          <w:p w:rsidR="00952628" w:rsidRPr="00EB6AAB" w:rsidRDefault="00952628" w:rsidP="00EB6AAB">
            <w:pPr>
              <w:wordWrap/>
              <w:jc w:val="center"/>
              <w:rPr>
                <w:spacing w:val="-8"/>
              </w:rPr>
            </w:pPr>
            <w:r w:rsidRPr="00EB6AAB">
              <w:rPr>
                <w:spacing w:val="-8"/>
              </w:rPr>
              <w:t>3.126</w:t>
            </w:r>
          </w:p>
        </w:tc>
        <w:tc>
          <w:tcPr>
            <w:tcW w:w="4195" w:type="dxa"/>
            <w:vAlign w:val="center"/>
          </w:tcPr>
          <w:p w:rsidR="00952628" w:rsidRPr="00EB6AAB" w:rsidRDefault="00952628" w:rsidP="00EB6AAB">
            <w:pPr>
              <w:wordWrap/>
              <w:snapToGrid w:val="0"/>
              <w:jc w:val="center"/>
              <w:rPr>
                <w:spacing w:val="-8"/>
              </w:rPr>
            </w:pPr>
            <w:r w:rsidRPr="00EB6AAB">
              <w:rPr>
                <w:spacing w:val="-8"/>
              </w:rPr>
              <w:t xml:space="preserve">Confidence set first contains zero at </w:t>
            </w:r>
            <m:oMath>
              <m:acc>
                <m:accPr>
                  <m:chr m:val="‾"/>
                  <m:ctrlPr>
                    <w:rPr>
                      <w:rFonts w:ascii="Cambria Math" w:hAnsi="Cambria Math"/>
                      <w:spacing w:val="-8"/>
                    </w:rPr>
                  </m:ctrlPr>
                </m:accPr>
                <m:e>
                  <m:r>
                    <w:rPr>
                      <w:rFonts w:ascii="Cambria Math" w:hAnsi="Cambria Math"/>
                      <w:spacing w:val="-8"/>
                    </w:rPr>
                    <m:t>M</m:t>
                  </m:r>
                </m:e>
              </m:acc>
              <m:r>
                <m:rPr>
                  <m:sty m:val="p"/>
                </m:rPr>
                <w:rPr>
                  <w:rFonts w:ascii="Cambria Math" w:hAnsi="Cambria Math"/>
                  <w:spacing w:val="-8"/>
                </w:rPr>
                <m:t>=</m:t>
              </m:r>
              <m:r>
                <w:rPr>
                  <w:rFonts w:ascii="Cambria Math" w:hAnsi="Cambria Math"/>
                  <w:spacing w:val="-8"/>
                </w:rPr>
                <m:t>3.126</m:t>
              </m:r>
            </m:oMath>
          </w:p>
        </w:tc>
      </w:tr>
      <w:tr w:rsidR="00EB6AAB" w:rsidRPr="00952628" w:rsidTr="00B474F8">
        <w:trPr>
          <w:cantSplit/>
        </w:trPr>
        <w:tc>
          <w:tcPr>
            <w:tcW w:w="3544" w:type="dxa"/>
            <w:vAlign w:val="center"/>
          </w:tcPr>
          <w:p w:rsidR="00952628" w:rsidRPr="00EB6AAB" w:rsidRDefault="00952628" w:rsidP="00EB6AAB">
            <w:pPr>
              <w:wordWrap/>
              <w:rPr>
                <w:spacing w:val="-8"/>
              </w:rPr>
            </w:pPr>
            <w:r w:rsidRPr="00EB6AAB">
              <w:rPr>
                <w:spacing w:val="-8"/>
              </w:rPr>
              <w:t>Quarterly state-gradient calculation</w:t>
            </w:r>
          </w:p>
        </w:tc>
        <w:tc>
          <w:tcPr>
            <w:tcW w:w="1814" w:type="dxa"/>
            <w:vAlign w:val="center"/>
          </w:tcPr>
          <w:p w:rsidR="00952628" w:rsidRPr="00EB6AAB" w:rsidRDefault="00952628" w:rsidP="00EB6AAB">
            <w:pPr>
              <w:wordWrap/>
              <w:jc w:val="center"/>
              <w:rPr>
                <w:spacing w:val="-8"/>
              </w:rPr>
            </w:pPr>
            <w:r w:rsidRPr="00EB6AAB">
              <w:rPr>
                <w:spacing w:val="-8"/>
              </w:rPr>
              <w:t>0</w:t>
            </w:r>
          </w:p>
        </w:tc>
        <w:tc>
          <w:tcPr>
            <w:tcW w:w="4195" w:type="dxa"/>
            <w:vAlign w:val="center"/>
          </w:tcPr>
          <w:p w:rsidR="00952628" w:rsidRPr="00EB6AAB" w:rsidRDefault="00952628" w:rsidP="00EB6AAB">
            <w:pPr>
              <w:wordWrap/>
              <w:snapToGrid w:val="0"/>
              <w:jc w:val="center"/>
              <w:rPr>
                <w:spacing w:val="-8"/>
              </w:rPr>
            </w:pPr>
            <w:r w:rsidRPr="00EB6AAB">
              <w:rPr>
                <w:spacing w:val="-8"/>
              </w:rPr>
              <w:t>Pre-period estimates are too noisy to yield an informative positive breakdown value</w:t>
            </w:r>
          </w:p>
        </w:tc>
      </w:tr>
    </w:tbl>
    <w:p w:rsidR="00952628" w:rsidRPr="00952628" w:rsidRDefault="00952628"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twelve-month calculation uses the 283-event common sample, a pre-period benchmark of 0.1068 in absolute value, and the post-period state-gradient estimate of 0.7250 (standard error 0.1995). The quarterly calculation uses the mean post-deal gradient of 0.1259 (approximate standard error 0.0711) and a maximum pre-period movement of 0.0871. A breakdown value is conditional on the specified class of differential trends and is not a test of whether the identifying restriction is true.</w:t>
      </w:r>
    </w:p>
    <w:p w:rsidR="00952628" w:rsidRPr="00952628" w:rsidRDefault="00952628" w:rsidP="00EB6AAB">
      <w:pPr>
        <w:pStyle w:val="aff3"/>
        <w:wordWrap/>
      </w:pPr>
      <w:r>
        <w:rPr>
          <w:rFonts w:eastAsia="Times New Roman"/>
        </w:rPr>
        <w:t>Sensitivity is resolution-dependent here. The twelve-month calculation matches the primary estimand's horizon; the quarterly calculation is uninformative because precision is limited. Neither result validates the identifying assumption.</w:t>
      </w:r>
    </w:p>
    <w:p w:rsidR="00952628" w:rsidRPr="00952628" w:rsidRDefault="00952628" w:rsidP="00EB6AAB">
      <w:pPr>
        <w:pStyle w:val="3"/>
      </w:pPr>
      <w:r w:rsidRPr="00952628">
        <w:t>D.3 Sponsor deployment pressure</w:t>
      </w:r>
    </w:p>
    <w:p w:rsidR="00952628" w:rsidRPr="00952628" w:rsidRDefault="00952628" w:rsidP="00EB6AAB">
      <w:pPr>
        <w:pStyle w:val="aff3"/>
        <w:wordWrap/>
      </w:pPr>
      <w:r>
        <w:rPr>
          <w:rFonts w:eastAsia="Times New Roman"/>
        </w:rPr>
        <w:t>Forward-looking sponsor selection remains the central causal limitation. A narrower version predicts larger hiring responses when sponsors have more discretion to wait for favourable target-specific conditions.</w:t>
      </w:r>
      <w:r>
        <w:t xml:space="preserve"> </w:t>
      </w:r>
      <w:r>
        <w:rPr>
          <w:rFonts w:eastAsia="Times New Roman"/>
        </w:rPr>
        <w:t>We proxy deployment pressure with the age of the sponsor's most recent fund at the transaction. Fund age is measured from the latest closing month; when only a vintage year is known, we assign its midpoint. High pressure is the top tercile, beginning at 2.42 years.</w:t>
      </w:r>
    </w:p>
    <w:p w:rsidR="00952628" w:rsidRPr="00952628" w:rsidRDefault="00952628" w:rsidP="00EB6AAB">
      <w:pPr>
        <w:pStyle w:val="aff3"/>
        <w:wordWrap/>
        <w:rPr>
          <w:b/>
        </w:rPr>
      </w:pPr>
      <w:r w:rsidRPr="00952628">
        <w:rPr>
          <w:b/>
        </w:rPr>
        <w:t>Table D3. Sponsor deployment pressure and monthly positive-entry incidence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393"/>
        <w:gridCol w:w="1562"/>
        <w:gridCol w:w="1988"/>
        <w:gridCol w:w="1078"/>
      </w:tblGrid>
      <w:tr w:rsidR="00952628" w:rsidRPr="00952628" w:rsidTr="00EB6AAB">
        <w:trPr>
          <w:cantSplit/>
          <w:tblHeader/>
        </w:trPr>
        <w:tc>
          <w:tcPr>
            <w:tcW w:w="4382" w:type="dxa"/>
            <w:vAlign w:val="center"/>
          </w:tcPr>
          <w:p w:rsidR="00952628" w:rsidRPr="00B474F8" w:rsidRDefault="00952628" w:rsidP="00EB6AAB">
            <w:pPr>
              <w:wordWrap/>
              <w:jc w:val="left"/>
              <w:rPr>
                <w:b/>
              </w:rPr>
            </w:pPr>
            <w:r w:rsidRPr="00B474F8">
              <w:rPr>
                <w:b/>
                <w:sz w:val="20"/>
              </w:rPr>
              <w:lastRenderedPageBreak/>
              <w:t>Specification</w:t>
            </w:r>
          </w:p>
        </w:tc>
        <w:tc>
          <w:tcPr>
            <w:tcW w:w="1559" w:type="dxa"/>
            <w:vAlign w:val="center"/>
          </w:tcPr>
          <w:p w:rsidR="00952628" w:rsidRPr="00B474F8" w:rsidRDefault="00952628" w:rsidP="00EB6AAB">
            <w:pPr>
              <w:wordWrap/>
              <w:jc w:val="center"/>
              <w:rPr>
                <w:b/>
              </w:rPr>
            </w:pPr>
            <w:r w:rsidRPr="00B474F8">
              <w:rPr>
                <w:b/>
                <w:sz w:val="20"/>
              </w:rPr>
              <w:t>Hazard ratio</w:t>
            </w:r>
          </w:p>
        </w:tc>
        <w:tc>
          <w:tcPr>
            <w:tcW w:w="1984" w:type="dxa"/>
            <w:vAlign w:val="center"/>
          </w:tcPr>
          <w:p w:rsidR="00952628" w:rsidRPr="00B474F8" w:rsidRDefault="00952628" w:rsidP="00EB6AAB">
            <w:pPr>
              <w:wordWrap/>
              <w:jc w:val="center"/>
              <w:rPr>
                <w:b/>
              </w:rPr>
            </w:pPr>
            <w:r w:rsidRPr="00B474F8">
              <w:rPr>
                <w:b/>
                <w:sz w:val="20"/>
              </w:rPr>
              <w:t>95% CI</w:t>
            </w:r>
          </w:p>
        </w:tc>
        <w:tc>
          <w:tcPr>
            <w:tcW w:w="1076" w:type="dxa"/>
            <w:vAlign w:val="center"/>
          </w:tcPr>
          <w:p w:rsidR="00952628" w:rsidRPr="00B474F8" w:rsidRDefault="00952628" w:rsidP="00EB6AAB">
            <w:pPr>
              <w:wordWrap/>
              <w:jc w:val="center"/>
              <w:rPr>
                <w:b/>
              </w:rPr>
            </w:pPr>
            <w:r w:rsidRPr="00B474F8">
              <w:rPr>
                <w:b/>
                <w:sz w:val="20"/>
              </w:rPr>
              <w:t>N</w:t>
            </w:r>
          </w:p>
        </w:tc>
      </w:tr>
      <w:tr w:rsidR="00952628" w:rsidRPr="00952628" w:rsidTr="00EB6AAB">
        <w:trPr>
          <w:cantSplit/>
        </w:trPr>
        <w:tc>
          <w:tcPr>
            <w:tcW w:w="4382" w:type="dxa"/>
          </w:tcPr>
          <w:p w:rsidR="00952628" w:rsidRPr="00952628" w:rsidRDefault="00952628" w:rsidP="00EB6AAB">
            <w:pPr>
              <w:wordWrap/>
              <w:jc w:val="left"/>
            </w:pPr>
            <w:r w:rsidRPr="00952628">
              <w:t xml:space="preserve">Treated </w:t>
            </w:r>
            <m:oMath>
              <m:r>
                <m:rPr>
                  <m:sty m:val="p"/>
                </m:rPr>
                <w:rPr>
                  <w:rFonts w:ascii="Cambria Math" w:hAnsi="Cambria Math"/>
                </w:rPr>
                <m:t>×</m:t>
              </m:r>
            </m:oMath>
            <w:r w:rsidRPr="00952628">
              <w:t xml:space="preserve"> post </w:t>
            </w:r>
            <m:oMath>
              <m:r>
                <m:rPr>
                  <m:sty m:val="p"/>
                </m:rPr>
                <w:rPr>
                  <w:rFonts w:ascii="Cambria Math" w:hAnsi="Cambria Math"/>
                </w:rPr>
                <m:t>×</m:t>
              </m:r>
            </m:oMath>
            <w:r w:rsidRPr="00952628">
              <w:t xml:space="preserve"> high deployment pressure</w:t>
            </w:r>
          </w:p>
        </w:tc>
        <w:tc>
          <w:tcPr>
            <w:tcW w:w="1559" w:type="dxa"/>
          </w:tcPr>
          <w:p w:rsidR="00952628" w:rsidRPr="00952628" w:rsidRDefault="00952628" w:rsidP="00EB6AAB">
            <w:pPr>
              <w:wordWrap/>
              <w:jc w:val="center"/>
            </w:pPr>
            <w:r w:rsidRPr="00952628">
              <w:t>1.2881</w:t>
            </w:r>
          </w:p>
        </w:tc>
        <w:tc>
          <w:tcPr>
            <w:tcW w:w="1984" w:type="dxa"/>
          </w:tcPr>
          <w:p w:rsidR="00952628" w:rsidRPr="00952628" w:rsidRDefault="00952628" w:rsidP="00EB6AAB">
            <w:pPr>
              <w:wordWrap/>
              <w:jc w:val="center"/>
            </w:pPr>
            <w:r w:rsidRPr="00952628">
              <w:t>[1.0535, 1.5750]</w:t>
            </w:r>
          </w:p>
        </w:tc>
        <w:tc>
          <w:tcPr>
            <w:tcW w:w="1076" w:type="dxa"/>
          </w:tcPr>
          <w:p w:rsidR="00952628" w:rsidRPr="00952628" w:rsidRDefault="00952628" w:rsidP="00EB6AAB">
            <w:pPr>
              <w:wordWrap/>
              <w:jc w:val="center"/>
            </w:pPr>
            <w:r w:rsidRPr="00952628">
              <w:t>379</w:t>
            </w:r>
          </w:p>
        </w:tc>
      </w:tr>
    </w:tbl>
    <w:p w:rsidR="00952628" w:rsidRPr="00952628" w:rsidRDefault="00952628" w:rsidP="00EB6AAB">
      <w:pPr>
        <w:wordWrap/>
        <w:jc w:val="left"/>
        <w:rPr>
          <w:color w:val="7F7F7F" w:themeColor="text1" w:themeTint="80"/>
          <w:sz w:val="20"/>
        </w:rPr>
      </w:pPr>
      <w:r w:rsidRPr="00952628">
        <w:rPr>
          <w:i/>
          <w:iCs/>
          <w:color w:val="7F7F7F" w:themeColor="text1" w:themeTint="80"/>
          <w:sz w:val="20"/>
        </w:rPr>
        <w:t>Notes.</w:t>
      </w:r>
      <w:r w:rsidRPr="00952628">
        <w:rPr>
          <w:color w:val="7F7F7F" w:themeColor="text1" w:themeTint="80"/>
          <w:sz w:val="20"/>
        </w:rPr>
        <w:t xml:space="preserve"> High deployment pressure is defined as the upper tercile of the age of the sponsor’s most recent fund at the focal transaction, with a cutoff of 2.42 years. The complementary log-log model contains event fixed effects and duration-category fixed effects and clusters standard errors by event. The estimation sample contains 4,686 grouped cells and 48,853 firm-month observations. Duration since the previous positive-entry month evolves after investment and is therefore a post-treatment conditioning variable.</w:t>
      </w:r>
    </w:p>
    <w:p w:rsidR="00952628" w:rsidRPr="00952628" w:rsidRDefault="00952628" w:rsidP="00EB6AAB">
      <w:pPr>
        <w:pStyle w:val="aff3"/>
        <w:wordWrap/>
      </w:pPr>
      <w:r>
        <w:rPr>
          <w:rFonts w:eastAsia="Times New Roman"/>
        </w:rPr>
        <w:t>The larger conditional response among transactions associated with older funds runs opposite to the narrow prediction that greater timing discretion should produce the larger response.</w:t>
      </w:r>
      <w:r>
        <w:t xml:space="preserve"> </w:t>
      </w:r>
      <w:r>
        <w:rPr>
          <w:rFonts w:eastAsia="Times New Roman"/>
        </w:rPr>
        <w:t>Fund age is not an instrument for timing. It can covary with sponsor strategy, target composition, fundraising conditions, and transaction type, and it does not reveal target-specific information. The hazard model also conditions on duration since the previous entry, which changes with post-investment entries.</w:t>
      </w:r>
      <w:r>
        <w:t xml:space="preserve"> </w:t>
      </w:r>
      <w:r>
        <w:rPr>
          <w:rFonts w:eastAsia="Times New Roman"/>
        </w:rPr>
        <w:t>This is a conditional descriptive comparison. It does not materially narrow the possibility that sponsors select low-hiring targets using private information about future growth.</w:t>
      </w:r>
    </w:p>
    <w:p w:rsidR="00952628" w:rsidRPr="00952628" w:rsidRDefault="00952628" w:rsidP="00EB6AAB">
      <w:pPr>
        <w:pStyle w:val="3"/>
      </w:pPr>
      <w:r w:rsidRPr="00952628">
        <w:t>D.4 Independent confirmation of transaction timing</w:t>
      </w:r>
    </w:p>
    <w:p w:rsidR="00952628" w:rsidRPr="00952628" w:rsidRDefault="00952628" w:rsidP="00EB6AAB">
      <w:pPr>
        <w:pStyle w:val="aff3"/>
        <w:wordWrap/>
      </w:pPr>
      <w:r>
        <w:rPr>
          <w:rFonts w:eastAsia="Times New Roman"/>
        </w:rPr>
        <w:t>PitchBook supplies the monthly event date. Annual shareholder records provide an independent, coarser check by recording the first year in which the sponsor appears among reported shareholders.</w:t>
      </w:r>
      <w:r>
        <w:t xml:space="preserve"> </w:t>
      </w:r>
      <w:r w:rsidRPr="00952628">
        <w:t xml:space="preserve">The transaction year can be corroborated using the shareholder records for 62 events. In this subsample, the treated-minus-control change in the share of months with no worker entry is </w:t>
      </w:r>
      <m:oMath>
        <m:r>
          <m:rPr>
            <m:sty m:val="p"/>
          </m:rPr>
          <w:rPr>
            <w:rFonts w:ascii="Cambria Math" w:hAnsi="Cambria Math"/>
          </w:rPr>
          <m:t>-</m:t>
        </m:r>
        <m:r>
          <w:rPr>
            <w:rFonts w:ascii="Cambria Math" w:hAnsi="Cambria Math"/>
          </w:rPr>
          <m:t>0.0645</m:t>
        </m:r>
      </m:oMath>
      <w:r w:rsidRPr="00952628">
        <w:t xml:space="preserve"> [−0.1145, −0.0163], compared with approximately </w:t>
      </w:r>
      <m:oMath>
        <m:r>
          <m:rPr>
            <m:sty m:val="p"/>
          </m:rPr>
          <w:rPr>
            <w:rFonts w:ascii="Cambria Math" w:hAnsi="Cambria Math"/>
          </w:rPr>
          <m:t>-</m:t>
        </m:r>
        <m:r>
          <w:rPr>
            <w:rFonts w:ascii="Cambria Math" w:hAnsi="Cambria Math"/>
          </w:rPr>
          <m:t>0.047</m:t>
        </m:r>
      </m:oMath>
      <w:r w:rsidRPr="00952628">
        <w:t xml:space="preserve"> in the full corresponding sample.</w:t>
      </w:r>
      <w:r>
        <w:t xml:space="preserve"> </w:t>
      </w:r>
      <w:r>
        <w:rPr>
          <w:rFonts w:eastAsia="Times New Roman"/>
        </w:rPr>
        <w:t>The common direction makes large transaction-year miscoding less plausible as the main source of the average no-entry pattern. The check is limited: annual records cannot validate the month, only 62 events qualify, and the outcome is the no-entry share rather than the log-hiring-rate state gradient.</w:t>
      </w:r>
      <w:r>
        <w:t xml:space="preserve"> </w:t>
      </w:r>
      <w:r>
        <w:rPr>
          <w:rFonts w:eastAsia="Times New Roman"/>
        </w:rPr>
        <w:t>We treat this as a transaction-year measurement check, not an independently dated replication.</w:t>
      </w:r>
    </w:p>
    <w:p w:rsidR="00952628" w:rsidRPr="00952628" w:rsidRDefault="00952628" w:rsidP="00EB6AAB">
      <w:pPr>
        <w:pStyle w:val="3"/>
      </w:pPr>
      <w:r w:rsidRPr="00952628">
        <w:t>D.5 Shared control firms and uncertainty</w:t>
      </w:r>
    </w:p>
    <w:p w:rsidR="00952628" w:rsidRPr="00952628" w:rsidRDefault="00952628" w:rsidP="00EB6AAB">
      <w:pPr>
        <w:pStyle w:val="aff3"/>
        <w:wordWrap/>
      </w:pPr>
      <w:r>
        <w:rPr>
          <w:rFonts w:eastAsia="Times New Roman"/>
        </w:rPr>
        <w:t>A control firm can enter more than one matched set, creating dependence across event-level outcomes.</w:t>
      </w:r>
      <w:r>
        <w:t xml:space="preserve"> </w:t>
      </w:r>
      <w:r>
        <w:rPr>
          <w:rFonts w:eastAsia="Times New Roman"/>
        </w:rPr>
        <w:t>Reuse is limited: the 286 state-balanced events contain 1,144 distinct controls, 95.02 percent of which appear in one event; none appears in more than three.</w:t>
      </w:r>
      <w:r>
        <w:t xml:space="preserve"> </w:t>
      </w:r>
      <w:r>
        <w:rPr>
          <w:rFonts w:eastAsia="Times New Roman"/>
        </w:rPr>
        <w:t>We address the dependence with control-firm-cluster resampling and with a deterministic design that assigns each control to at most one treated event.</w:t>
      </w:r>
    </w:p>
    <w:p w:rsidR="00952628" w:rsidRPr="00952628" w:rsidRDefault="00952628" w:rsidP="00EB6AAB">
      <w:pPr>
        <w:pStyle w:val="aff3"/>
        <w:wordWrap/>
        <w:rPr>
          <w:b/>
        </w:rPr>
      </w:pPr>
      <w:r w:rsidRPr="00952628">
        <w:rPr>
          <w:b/>
        </w:rPr>
        <w:lastRenderedPageBreak/>
        <w:t>Table D4. Sensitivity to shared control firms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386"/>
        <w:gridCol w:w="1562"/>
        <w:gridCol w:w="2073"/>
      </w:tblGrid>
      <w:tr w:rsidR="00952628" w:rsidRPr="00952628" w:rsidTr="00EB6AAB">
        <w:trPr>
          <w:cantSplit/>
          <w:tblHeader/>
        </w:trPr>
        <w:tc>
          <w:tcPr>
            <w:tcW w:w="5374" w:type="dxa"/>
            <w:vAlign w:val="center"/>
          </w:tcPr>
          <w:p w:rsidR="00952628" w:rsidRPr="00B474F8" w:rsidRDefault="00952628" w:rsidP="00EB6AAB">
            <w:pPr>
              <w:wordWrap/>
              <w:jc w:val="left"/>
              <w:rPr>
                <w:b/>
              </w:rPr>
            </w:pPr>
            <w:r w:rsidRPr="00B474F8">
              <w:rPr>
                <w:b/>
              </w:rPr>
              <w:t>Specification</w:t>
            </w:r>
          </w:p>
        </w:tc>
        <w:tc>
          <w:tcPr>
            <w:tcW w:w="1559" w:type="dxa"/>
            <w:vAlign w:val="center"/>
          </w:tcPr>
          <w:p w:rsidR="00952628" w:rsidRPr="00B474F8" w:rsidRDefault="00952628" w:rsidP="00EB6AAB">
            <w:pPr>
              <w:wordWrap/>
              <w:jc w:val="center"/>
              <w:rPr>
                <w:b/>
              </w:rPr>
            </w:pPr>
            <w:r w:rsidRPr="00B474F8">
              <w:rPr>
                <w:b/>
              </w:rPr>
              <w:t>Grad.</w:t>
            </w:r>
          </w:p>
        </w:tc>
        <w:tc>
          <w:tcPr>
            <w:tcW w:w="2068" w:type="dxa"/>
            <w:vAlign w:val="center"/>
          </w:tcPr>
          <w:p w:rsidR="00952628" w:rsidRPr="00B474F8" w:rsidRDefault="00952628" w:rsidP="00EB6AAB">
            <w:pPr>
              <w:wordWrap/>
              <w:jc w:val="center"/>
              <w:rPr>
                <w:b/>
              </w:rPr>
            </w:pPr>
            <w:r w:rsidRPr="00B474F8">
              <w:rPr>
                <w:b/>
              </w:rPr>
              <w:t>95% CI</w:t>
            </w:r>
          </w:p>
        </w:tc>
      </w:tr>
      <w:tr w:rsidR="00952628" w:rsidRPr="00952628" w:rsidTr="00EB6AAB">
        <w:trPr>
          <w:cantSplit/>
        </w:trPr>
        <w:tc>
          <w:tcPr>
            <w:tcW w:w="5374" w:type="dxa"/>
          </w:tcPr>
          <w:p w:rsidR="00952628" w:rsidRPr="00952628" w:rsidRDefault="00952628" w:rsidP="00EB6AAB">
            <w:pPr>
              <w:wordWrap/>
              <w:jc w:val="left"/>
            </w:pPr>
            <w:r>
              <w:t>Primary matched-event bootstrap</w:t>
            </w:r>
          </w:p>
        </w:tc>
        <w:tc>
          <w:tcPr>
            <w:tcW w:w="1559" w:type="dxa"/>
          </w:tcPr>
          <w:p w:rsidR="00952628" w:rsidRPr="00952628" w:rsidRDefault="00952628" w:rsidP="00EB6AAB">
            <w:pPr>
              <w:wordWrap/>
              <w:jc w:val="center"/>
            </w:pPr>
            <w:r>
              <w:t>0.7101</w:t>
            </w:r>
          </w:p>
        </w:tc>
        <w:tc>
          <w:tcPr>
            <w:tcW w:w="2068" w:type="dxa"/>
          </w:tcPr>
          <w:p w:rsidR="00952628" w:rsidRPr="00952628" w:rsidRDefault="00952628" w:rsidP="00EB6AAB">
            <w:pPr>
              <w:wordWrap/>
              <w:jc w:val="center"/>
            </w:pPr>
            <w:r>
              <w:t>[0.3187, 1.1254]</w:t>
            </w:r>
          </w:p>
        </w:tc>
      </w:tr>
      <w:tr w:rsidR="00952628" w:rsidRPr="00952628" w:rsidTr="00EB6AAB">
        <w:trPr>
          <w:cantSplit/>
        </w:trPr>
        <w:tc>
          <w:tcPr>
            <w:tcW w:w="5374" w:type="dxa"/>
          </w:tcPr>
          <w:p w:rsidR="00952628" w:rsidRPr="00952628" w:rsidRDefault="00952628" w:rsidP="00EB6AAB">
            <w:pPr>
              <w:wordWrap/>
              <w:jc w:val="left"/>
            </w:pPr>
            <w:r>
              <w:t>Alternative bootstrap clustered on control firms</w:t>
            </w:r>
          </w:p>
        </w:tc>
        <w:tc>
          <w:tcPr>
            <w:tcW w:w="1559" w:type="dxa"/>
          </w:tcPr>
          <w:p w:rsidR="00952628" w:rsidRPr="00952628" w:rsidRDefault="00952628" w:rsidP="00EB6AAB">
            <w:pPr>
              <w:wordWrap/>
              <w:jc w:val="center"/>
            </w:pPr>
            <w:r>
              <w:t>0.7101</w:t>
            </w:r>
          </w:p>
        </w:tc>
        <w:tc>
          <w:tcPr>
            <w:tcW w:w="2068" w:type="dxa"/>
          </w:tcPr>
          <w:p w:rsidR="00952628" w:rsidRPr="00952628" w:rsidRDefault="00952628" w:rsidP="00EB6AAB">
            <w:pPr>
              <w:wordWrap/>
              <w:jc w:val="center"/>
            </w:pPr>
            <w:r>
              <w:t>[0.4595, 0.8771]</w:t>
            </w:r>
          </w:p>
        </w:tc>
      </w:tr>
      <w:tr w:rsidR="00952628" w:rsidRPr="00952628" w:rsidTr="00EB6AAB">
        <w:trPr>
          <w:cantSplit/>
        </w:trPr>
        <w:tc>
          <w:tcPr>
            <w:tcW w:w="5374" w:type="dxa"/>
          </w:tcPr>
          <w:p w:rsidR="00952628" w:rsidRPr="00952628" w:rsidRDefault="00952628" w:rsidP="00EB6AAB">
            <w:pPr>
              <w:wordWrap/>
              <w:jc w:val="left"/>
            </w:pPr>
            <w:r>
              <w:t>Each control assigned to at most one event</w:t>
            </w:r>
          </w:p>
        </w:tc>
        <w:tc>
          <w:tcPr>
            <w:tcW w:w="1559" w:type="dxa"/>
          </w:tcPr>
          <w:p w:rsidR="00952628" w:rsidRPr="00952628" w:rsidRDefault="00952628" w:rsidP="00EB6AAB">
            <w:pPr>
              <w:wordWrap/>
              <w:jc w:val="center"/>
            </w:pPr>
            <w:r>
              <w:t>0.7036</w:t>
            </w:r>
          </w:p>
        </w:tc>
        <w:tc>
          <w:tcPr>
            <w:tcW w:w="2068" w:type="dxa"/>
          </w:tcPr>
          <w:p w:rsidR="00952628" w:rsidRPr="00952628" w:rsidRDefault="00952628" w:rsidP="00EB6AAB">
            <w:pPr>
              <w:wordWrap/>
              <w:jc w:val="center"/>
            </w:pPr>
            <w:r>
              <w:t>—</w:t>
            </w:r>
          </w:p>
        </w:tc>
      </w:tr>
    </w:tbl>
    <w:p w:rsidR="00952628" w:rsidRPr="00952628" w:rsidRDefault="00952628"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primary bootstrap resamples the 286 matched target-control sets with replacement for 2,000 draws, so each target moves together with its assigned controls; the primary winsorisation cutoffs are held fixed. The alternative procedure resamples the 1,144 distinct control firms with replacement. For each replication, an event’s control mean is reconstructed using the multiplicity with which its controls were sampled, and an event is omitted if none of its original controls appears in that draw. In the deterministic one-event-per-control specification, a control appearing in more than one matched set is retained only for the event with the earliest transaction month. A separate interval is not reported for that deterministic reassignment.</w:t>
      </w:r>
    </w:p>
    <w:p w:rsidR="00952628" w:rsidRPr="00952628" w:rsidRDefault="00952628" w:rsidP="00EB6AAB">
      <w:pPr>
        <w:pStyle w:val="aff3"/>
        <w:wordWrap/>
      </w:pPr>
      <w:r>
        <w:rPr>
          <w:rFonts w:eastAsia="Times New Roman"/>
        </w:rPr>
        <w:t>Control-cluster resampling leaves the point estimate at 0.7101 and gives an interval of [0.4595, 0.8771]. Assigning each control to one event gives 0.7036.</w:t>
      </w:r>
      <w:r>
        <w:t xml:space="preserve"> </w:t>
      </w:r>
      <w:r>
        <w:rPr>
          <w:rFonts w:eastAsia="Times New Roman"/>
        </w:rPr>
        <w:t>Repeated controls do not account for the gradient in these checks. We retain matched-event resampling because the target and its comparison set define the event-level response; the control-cluster result is an inference sensitivity exercise, not a preferred interval.</w:t>
      </w:r>
    </w:p>
    <w:p w:rsidR="00952628" w:rsidRPr="00952628" w:rsidRDefault="00952628" w:rsidP="00EB6AAB">
      <w:pPr>
        <w:pStyle w:val="3"/>
      </w:pPr>
      <w:r w:rsidRPr="00952628">
        <w:t>D.6 Relative-magnitude sensitivity of the average post-investment effect</w:t>
      </w:r>
    </w:p>
    <w:p w:rsidR="00952628" w:rsidRPr="00952628" w:rsidRDefault="00952628" w:rsidP="00EB6AAB">
      <w:pPr>
        <w:pStyle w:val="aff3"/>
        <w:wordWrap/>
      </w:pPr>
      <w:r>
        <w:rPr>
          <w:rFonts w:eastAsia="Times New Roman"/>
        </w:rPr>
        <w:t>The average hiring effect and the hiring-state gradient are different estimands, so we report their relative-magnitude calculations separately.</w:t>
      </w:r>
      <w:r>
        <w:t xml:space="preserve"> </w:t>
      </w:r>
      <w:r>
        <w:rPr>
          <w:rFonts w:eastAsia="Times New Roman"/>
        </w:rPr>
        <w:t>For the average effect, the largest pre-period first difference in the quarterly treated-minus-control path is 0.0154. The twelve-month effect is 0.0460 with a standard error of 0.0105. Bounding quarterly post-period movement relative to that pre-period difference, the 95 percent normal-approximation interval first includes zero at M̄ = 0.658.</w:t>
      </w:r>
    </w:p>
    <w:p w:rsidR="00952628" w:rsidRPr="00952628" w:rsidRDefault="00952628" w:rsidP="00EB6AAB">
      <w:pPr>
        <w:pStyle w:val="aff3"/>
        <w:wordWrap/>
        <w:rPr>
          <w:b/>
        </w:rPr>
      </w:pPr>
      <w:r w:rsidRPr="00952628">
        <w:rPr>
          <w:b/>
        </w:rPr>
        <w:t>Table D5. Relative-magnitude sensitivity of the average hiring effect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4535"/>
        <w:gridCol w:w="1928"/>
      </w:tblGrid>
      <w:tr w:rsidR="00952628" w:rsidRPr="00952628" w:rsidTr="00EB6AAB">
        <w:trPr>
          <w:cantSplit/>
          <w:tblHeader/>
        </w:trPr>
        <w:tc>
          <w:tcPr>
            <w:tcW w:w="4535" w:type="dxa"/>
            <w:vAlign w:val="center"/>
          </w:tcPr>
          <w:p w:rsidR="00952628" w:rsidRPr="00B474F8" w:rsidRDefault="00952628" w:rsidP="00EB6AAB">
            <w:pPr>
              <w:wordWrap/>
              <w:jc w:val="left"/>
              <w:rPr>
                <w:b/>
              </w:rPr>
            </w:pPr>
            <w:r w:rsidRPr="00B474F8">
              <w:rPr>
                <w:b/>
              </w:rPr>
              <w:t>Estimand</w:t>
            </w:r>
          </w:p>
        </w:tc>
        <w:tc>
          <w:tcPr>
            <w:tcW w:w="1928" w:type="dxa"/>
            <w:vAlign w:val="center"/>
          </w:tcPr>
          <w:p w:rsidR="00952628" w:rsidRPr="00B474F8" w:rsidRDefault="00952628" w:rsidP="00EB6AAB">
            <w:pPr>
              <w:wordWrap/>
              <w:jc w:val="center"/>
              <w:rPr>
                <w:b/>
              </w:rPr>
            </w:pPr>
            <w:r w:rsidRPr="00B474F8">
              <w:rPr>
                <w:b/>
              </w:rPr>
              <w:t>Breakdown value</w:t>
            </w:r>
          </w:p>
        </w:tc>
      </w:tr>
      <w:tr w:rsidR="00952628" w:rsidRPr="00952628" w:rsidTr="00EB6AAB">
        <w:trPr>
          <w:cantSplit/>
        </w:trPr>
        <w:tc>
          <w:tcPr>
            <w:tcW w:w="4535" w:type="dxa"/>
          </w:tcPr>
          <w:p w:rsidR="00952628" w:rsidRPr="00952628" w:rsidRDefault="00952628" w:rsidP="00EB6AAB">
            <w:pPr>
              <w:wordWrap/>
              <w:jc w:val="left"/>
            </w:pPr>
            <w:r w:rsidRPr="00952628">
              <w:t>Average post-investment hiring effect</w:t>
            </w:r>
          </w:p>
        </w:tc>
        <w:tc>
          <w:tcPr>
            <w:tcW w:w="1928" w:type="dxa"/>
            <w:vAlign w:val="center"/>
          </w:tcPr>
          <w:p w:rsidR="00952628" w:rsidRPr="00952628" w:rsidRDefault="00952628" w:rsidP="00EB6AAB">
            <w:pPr>
              <w:wordWrap/>
              <w:jc w:val="center"/>
            </w:pPr>
            <w:r w:rsidRPr="00952628">
              <w:t>0.658</w:t>
            </w:r>
          </w:p>
        </w:tc>
      </w:tr>
      <w:tr w:rsidR="00952628" w:rsidRPr="00952628" w:rsidTr="00EB6AAB">
        <w:trPr>
          <w:cantSplit/>
        </w:trPr>
        <w:tc>
          <w:tcPr>
            <w:tcW w:w="4535" w:type="dxa"/>
          </w:tcPr>
          <w:p w:rsidR="00952628" w:rsidRPr="00952628" w:rsidRDefault="00952628" w:rsidP="00EB6AAB">
            <w:pPr>
              <w:wordWrap/>
              <w:jc w:val="left"/>
            </w:pPr>
            <w:r w:rsidRPr="00952628">
              <w:t>Primary state gradient, twelve-month calculation</w:t>
            </w:r>
          </w:p>
        </w:tc>
        <w:tc>
          <w:tcPr>
            <w:tcW w:w="1928" w:type="dxa"/>
            <w:vAlign w:val="center"/>
          </w:tcPr>
          <w:p w:rsidR="00952628" w:rsidRPr="00952628" w:rsidRDefault="00952628" w:rsidP="00EB6AAB">
            <w:pPr>
              <w:wordWrap/>
              <w:jc w:val="center"/>
            </w:pPr>
            <w:r w:rsidRPr="00952628">
              <w:t>3.126</w:t>
            </w:r>
          </w:p>
        </w:tc>
      </w:tr>
    </w:tbl>
    <w:p w:rsidR="00952628" w:rsidRPr="00952628" w:rsidRDefault="00952628" w:rsidP="00EB6AAB">
      <w:pPr>
        <w:pStyle w:val="aff3"/>
        <w:wordWrap/>
        <w:spacing w:before="0"/>
        <w:rPr>
          <w:color w:val="7F7F7F" w:themeColor="text1" w:themeTint="80"/>
          <w:sz w:val="20"/>
        </w:rPr>
      </w:pPr>
      <w:r w:rsidRPr="00952628">
        <w:rPr>
          <w:color w:val="7F7F7F" w:themeColor="text1" w:themeTint="80"/>
          <w:sz w:val="20"/>
        </w:rPr>
        <w:t>Notes. The two rows involve different estimands, outcome constructions, and event-time sequences. The numbers are reported together only to document the corresponding sensitivity calculations; they should not be used to rank the credibility of the average-effect and heterogeneity analyses.</w:t>
      </w:r>
    </w:p>
    <w:p w:rsidR="00952628" w:rsidRPr="00952628" w:rsidRDefault="00952628" w:rsidP="00EB6AAB">
      <w:pPr>
        <w:pStyle w:val="aff3"/>
        <w:wordWrap/>
      </w:pPr>
      <w:r w:rsidRPr="00952628">
        <w:lastRenderedPageBreak/>
        <w:t xml:space="preserve">Interpretation is estimand-specific. The average-effect estimate is sensitive to its own assumed differential-trend bound at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0.658</m:t>
        </m:r>
      </m:oMath>
      <w:r w:rsidRPr="00952628">
        <w:t>. The state-gradient calculation yields 3.126 under its twelve-month implementation, while the quarterly state-gradient calculation in Section D.2 is uninformative. These sensitivity results delimit the conclusions supported by each design rather than validate the corresponding identifying assumptions.</w:t>
      </w:r>
    </w:p>
    <w:p w:rsidR="00952628" w:rsidRDefault="00952628" w:rsidP="00EB6AAB">
      <w:pPr>
        <w:pStyle w:val="3"/>
      </w:pPr>
      <w:r>
        <w:rPr>
          <w:rFonts w:eastAsia="Times New Roman"/>
          <w:color w:val="000000"/>
        </w:rPr>
        <w:t>D.7 Stacked matched panel difference-in-differences</w:t>
      </w:r>
    </w:p>
    <w:p w:rsidR="009C339C" w:rsidRDefault="00EB6AAB" w:rsidP="00EB6AAB">
      <w:pPr>
        <w:pStyle w:val="aff3"/>
        <w:wordWrap/>
      </w:pPr>
      <w:r>
        <w:rPr>
          <w:rFonts w:eastAsia="Times New Roman"/>
        </w:rPr>
        <w:t>To check whether the state gradient depends on collapsing each event to a twelve-month response, we re-estimate the primary state-balanced matched sets as a stacked firm-month panel. The stack contains 286 events, 1,545 event-by-firm units, and 36,913 observations spanning 115 calendar months. Controls are never treated, so the stack contains no treated-versus-treated comparisons.</w:t>
      </w:r>
      <w:r>
        <w:t xml:space="preserve"> </w:t>
      </w:r>
      <w:r>
        <w:rPr>
          <w:rFonts w:eastAsia="Times New Roman"/>
        </w:rPr>
        <w:t>The outcome is the untransformed monthly worker-entry rate. The target's continuous state is assigned to every firm in its matched set and centred at the event mean (-0.3517). The interaction model includes Post, Treated x Post, Post x State, and Treated x Post x State, along with event-by-firm and calendar-month fixed effects. Intervals cluster by event. Because the state rises as pre-deal hiring weakens, a positive triple interaction denotes a larger post-investment target-control response among lower-hiring targets.</w:t>
      </w:r>
    </w:p>
    <w:p w:rsidR="009C339C" w:rsidRDefault="00EB6AAB" w:rsidP="00EB6AAB">
      <w:pPr>
        <w:pStyle w:val="aff3"/>
        <w:wordWrap/>
      </w:pPr>
      <w:r>
        <w:rPr>
          <w:b/>
        </w:rPr>
        <w:t>Figure D1. Stacked matched event-study coefficients</w:t>
      </w:r>
    </w:p>
    <w:p w:rsidR="009C339C" w:rsidRDefault="00EB6AAB" w:rsidP="00EB6AAB">
      <w:pPr>
        <w:pStyle w:val="aff3"/>
        <w:wordWrap/>
        <w:jc w:val="center"/>
      </w:pPr>
      <w:r>
        <w:rPr>
          <w:noProof/>
        </w:rPr>
        <w:drawing>
          <wp:inline distT="0" distB="0" distL="0" distR="0">
            <wp:extent cx="5852160" cy="2278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d_eventstudy_for_doc.png"/>
                    <pic:cNvPicPr/>
                  </pic:nvPicPr>
                  <pic:blipFill>
                    <a:blip r:embed="rId10"/>
                    <a:stretch>
                      <a:fillRect/>
                    </a:stretch>
                  </pic:blipFill>
                  <pic:spPr>
                    <a:xfrm>
                      <a:off x="0" y="0"/>
                      <a:ext cx="5852160" cy="2278879"/>
                    </a:xfrm>
                    <a:prstGeom prst="rect">
                      <a:avLst/>
                    </a:prstGeom>
                  </pic:spPr>
                </pic:pic>
              </a:graphicData>
            </a:graphic>
          </wp:inline>
        </w:drawing>
      </w:r>
    </w:p>
    <w:p w:rsidR="009C339C" w:rsidRDefault="00EB6AAB" w:rsidP="00EB6AAB">
      <w:pPr>
        <w:pStyle w:val="aff3"/>
        <w:wordWrap/>
        <w:spacing w:before="0"/>
      </w:pPr>
      <w:r>
        <w:rPr>
          <w:rFonts w:eastAsia="Times New Roman"/>
          <w:color w:val="7F7F7F"/>
          <w:sz w:val="20"/>
        </w:rPr>
        <w:t>Notes. Coefficients are relative to quarter -1. Panel (a) reports Treated x Quarter; Panel (b) reports Treated x Quarter x State. Bars are event-clustered 95 percent intervals. Both models absorb event-by-firm and calendar-month fixed effects. Joint Wald tests for the three pre-deal coefficients give chi-squared(3) = 0.55 (p = 0.9078) for the level path and chi-squared(3) = 0.112 (p = 0.9904) for the state interaction.</w:t>
      </w:r>
    </w:p>
    <w:p w:rsidR="009C339C" w:rsidRDefault="00EB6AAB" w:rsidP="00EB6AAB">
      <w:pPr>
        <w:pStyle w:val="aff3"/>
        <w:wordWrap/>
      </w:pPr>
      <w:r>
        <w:rPr>
          <w:b/>
        </w:rPr>
        <w:lastRenderedPageBreak/>
        <w:t>Table D6. Stacked matched panel difference-in-differences</w:t>
      </w:r>
    </w:p>
    <w:tbl>
      <w:tblPr>
        <w:tblW w:w="90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450"/>
        <w:gridCol w:w="1250"/>
        <w:gridCol w:w="2350"/>
        <w:gridCol w:w="950"/>
      </w:tblGrid>
      <w:tr w:rsidR="009C339C" w:rsidTr="00EB6AAB">
        <w:trPr>
          <w:cantSplit/>
          <w:tblHeader/>
        </w:trPr>
        <w:tc>
          <w:tcPr>
            <w:tcW w:w="4450" w:type="dxa"/>
            <w:vAlign w:val="center"/>
          </w:tcPr>
          <w:p w:rsidR="009C339C" w:rsidRDefault="00EB6AAB" w:rsidP="00EB6AAB">
            <w:pPr>
              <w:wordWrap/>
              <w:jc w:val="left"/>
            </w:pPr>
            <w:r>
              <w:rPr>
                <w:rFonts w:eastAsia="Times New Roman"/>
                <w:b/>
                <w:sz w:val="19"/>
              </w:rPr>
              <w:t>Specification</w:t>
            </w:r>
          </w:p>
        </w:tc>
        <w:tc>
          <w:tcPr>
            <w:tcW w:w="1250" w:type="dxa"/>
            <w:vAlign w:val="center"/>
          </w:tcPr>
          <w:p w:rsidR="009C339C" w:rsidRDefault="00EB6AAB" w:rsidP="00EB6AAB">
            <w:pPr>
              <w:wordWrap/>
              <w:jc w:val="center"/>
            </w:pPr>
            <w:r>
              <w:rPr>
                <w:rFonts w:eastAsia="Times New Roman"/>
                <w:b/>
                <w:sz w:val="19"/>
              </w:rPr>
              <w:t>Estimate</w:t>
            </w:r>
          </w:p>
        </w:tc>
        <w:tc>
          <w:tcPr>
            <w:tcW w:w="2350" w:type="dxa"/>
            <w:vAlign w:val="center"/>
          </w:tcPr>
          <w:p w:rsidR="009C339C" w:rsidRDefault="00EB6AAB" w:rsidP="00EB6AAB">
            <w:pPr>
              <w:wordWrap/>
              <w:jc w:val="center"/>
            </w:pPr>
            <w:r>
              <w:rPr>
                <w:rFonts w:eastAsia="Times New Roman"/>
                <w:b/>
                <w:sz w:val="19"/>
              </w:rPr>
              <w:t>95% CI</w:t>
            </w:r>
          </w:p>
        </w:tc>
        <w:tc>
          <w:tcPr>
            <w:tcW w:w="950" w:type="dxa"/>
            <w:vAlign w:val="center"/>
          </w:tcPr>
          <w:p w:rsidR="009C339C" w:rsidRDefault="00EB6AAB" w:rsidP="00EB6AAB">
            <w:pPr>
              <w:wordWrap/>
              <w:jc w:val="center"/>
            </w:pPr>
            <w:r>
              <w:rPr>
                <w:rFonts w:eastAsia="Times New Roman"/>
                <w:b/>
                <w:sz w:val="19"/>
              </w:rPr>
              <w:t>t</w:t>
            </w:r>
          </w:p>
        </w:tc>
      </w:tr>
      <w:tr w:rsidR="009C339C" w:rsidTr="00EB6AAB">
        <w:trPr>
          <w:cantSplit/>
        </w:trPr>
        <w:tc>
          <w:tcPr>
            <w:tcW w:w="4450" w:type="dxa"/>
            <w:vAlign w:val="center"/>
          </w:tcPr>
          <w:p w:rsidR="009C339C" w:rsidRDefault="00EB6AAB" w:rsidP="00EB6AAB">
            <w:pPr>
              <w:wordWrap/>
              <w:jc w:val="left"/>
            </w:pPr>
            <w:r>
              <w:rPr>
                <w:rFonts w:eastAsia="Times New Roman"/>
                <w:sz w:val="19"/>
              </w:rPr>
              <w:t>Level model: Treated x Post</w:t>
            </w:r>
          </w:p>
        </w:tc>
        <w:tc>
          <w:tcPr>
            <w:tcW w:w="1250" w:type="dxa"/>
            <w:vAlign w:val="center"/>
          </w:tcPr>
          <w:p w:rsidR="009C339C" w:rsidRDefault="00EB6AAB" w:rsidP="00EB6AAB">
            <w:pPr>
              <w:wordWrap/>
              <w:jc w:val="center"/>
            </w:pPr>
            <w:r>
              <w:rPr>
                <w:rFonts w:eastAsia="Times New Roman"/>
                <w:sz w:val="19"/>
              </w:rPr>
              <w:t>+0.0054</w:t>
            </w:r>
          </w:p>
        </w:tc>
        <w:tc>
          <w:tcPr>
            <w:tcW w:w="2350" w:type="dxa"/>
            <w:vAlign w:val="center"/>
          </w:tcPr>
          <w:p w:rsidR="009C339C" w:rsidRDefault="00EB6AAB" w:rsidP="00EB6AAB">
            <w:pPr>
              <w:wordWrap/>
              <w:jc w:val="center"/>
            </w:pPr>
            <w:r>
              <w:rPr>
                <w:rFonts w:eastAsia="Times New Roman"/>
                <w:sz w:val="19"/>
              </w:rPr>
              <w:t>[0.0028, 0.0081]</w:t>
            </w:r>
          </w:p>
        </w:tc>
        <w:tc>
          <w:tcPr>
            <w:tcW w:w="950" w:type="dxa"/>
            <w:vAlign w:val="center"/>
          </w:tcPr>
          <w:p w:rsidR="009C339C" w:rsidRDefault="00EB6AAB" w:rsidP="00EB6AAB">
            <w:pPr>
              <w:wordWrap/>
              <w:jc w:val="center"/>
            </w:pPr>
            <w:r>
              <w:rPr>
                <w:rFonts w:eastAsia="Times New Roman"/>
                <w:sz w:val="19"/>
              </w:rPr>
              <w:t>3.98</w:t>
            </w:r>
          </w:p>
        </w:tc>
      </w:tr>
      <w:tr w:rsidR="009C339C" w:rsidTr="00EB6AAB">
        <w:trPr>
          <w:cantSplit/>
        </w:trPr>
        <w:tc>
          <w:tcPr>
            <w:tcW w:w="4450" w:type="dxa"/>
            <w:vAlign w:val="center"/>
          </w:tcPr>
          <w:p w:rsidR="009C339C" w:rsidRDefault="00EB6AAB" w:rsidP="00EB6AAB">
            <w:pPr>
              <w:wordWrap/>
              <w:jc w:val="left"/>
            </w:pPr>
            <w:r>
              <w:rPr>
                <w:rFonts w:eastAsia="Times New Roman"/>
                <w:sz w:val="19"/>
              </w:rPr>
              <w:t>Interaction model: Treated x Post at mean State</w:t>
            </w:r>
          </w:p>
        </w:tc>
        <w:tc>
          <w:tcPr>
            <w:tcW w:w="1250" w:type="dxa"/>
            <w:vAlign w:val="center"/>
          </w:tcPr>
          <w:p w:rsidR="009C339C" w:rsidRDefault="00EB6AAB" w:rsidP="00EB6AAB">
            <w:pPr>
              <w:wordWrap/>
              <w:jc w:val="center"/>
            </w:pPr>
            <w:r>
              <w:rPr>
                <w:rFonts w:eastAsia="Times New Roman"/>
                <w:sz w:val="19"/>
              </w:rPr>
              <w:t>+0.0055</w:t>
            </w:r>
          </w:p>
        </w:tc>
        <w:tc>
          <w:tcPr>
            <w:tcW w:w="2350" w:type="dxa"/>
            <w:vAlign w:val="center"/>
          </w:tcPr>
          <w:p w:rsidR="009C339C" w:rsidRDefault="00EB6AAB" w:rsidP="00EB6AAB">
            <w:pPr>
              <w:wordWrap/>
              <w:jc w:val="center"/>
            </w:pPr>
            <w:r>
              <w:rPr>
                <w:rFonts w:eastAsia="Times New Roman"/>
                <w:sz w:val="19"/>
              </w:rPr>
              <w:t>[0.0029, 0.0081]</w:t>
            </w:r>
          </w:p>
        </w:tc>
        <w:tc>
          <w:tcPr>
            <w:tcW w:w="950" w:type="dxa"/>
            <w:vAlign w:val="center"/>
          </w:tcPr>
          <w:p w:rsidR="009C339C" w:rsidRDefault="00EB6AAB" w:rsidP="00EB6AAB">
            <w:pPr>
              <w:wordWrap/>
              <w:jc w:val="center"/>
            </w:pPr>
            <w:r>
              <w:rPr>
                <w:rFonts w:eastAsia="Times New Roman"/>
                <w:sz w:val="19"/>
              </w:rPr>
              <w:t>4.11</w:t>
            </w:r>
          </w:p>
        </w:tc>
      </w:tr>
      <w:tr w:rsidR="009C339C" w:rsidTr="00EB6AAB">
        <w:trPr>
          <w:cantSplit/>
        </w:trPr>
        <w:tc>
          <w:tcPr>
            <w:tcW w:w="4450" w:type="dxa"/>
            <w:vAlign w:val="center"/>
          </w:tcPr>
          <w:p w:rsidR="009C339C" w:rsidRDefault="00EB6AAB" w:rsidP="00EB6AAB">
            <w:pPr>
              <w:wordWrap/>
              <w:jc w:val="left"/>
            </w:pPr>
            <w:r>
              <w:rPr>
                <w:rFonts w:eastAsia="Times New Roman"/>
                <w:sz w:val="19"/>
              </w:rPr>
              <w:t>Interaction model: Treated x Post x State</w:t>
            </w:r>
          </w:p>
        </w:tc>
        <w:tc>
          <w:tcPr>
            <w:tcW w:w="1250" w:type="dxa"/>
            <w:vAlign w:val="center"/>
          </w:tcPr>
          <w:p w:rsidR="009C339C" w:rsidRDefault="00EB6AAB" w:rsidP="00EB6AAB">
            <w:pPr>
              <w:wordWrap/>
              <w:jc w:val="center"/>
            </w:pPr>
            <w:r>
              <w:rPr>
                <w:rFonts w:eastAsia="Times New Roman"/>
                <w:sz w:val="19"/>
              </w:rPr>
              <w:t>+0.0179</w:t>
            </w:r>
          </w:p>
        </w:tc>
        <w:tc>
          <w:tcPr>
            <w:tcW w:w="2350" w:type="dxa"/>
            <w:vAlign w:val="center"/>
          </w:tcPr>
          <w:p w:rsidR="009C339C" w:rsidRDefault="00EB6AAB" w:rsidP="00EB6AAB">
            <w:pPr>
              <w:wordWrap/>
              <w:jc w:val="center"/>
            </w:pPr>
            <w:r>
              <w:rPr>
                <w:rFonts w:eastAsia="Times New Roman"/>
                <w:sz w:val="19"/>
              </w:rPr>
              <w:t>[0.0035, 0.0323]</w:t>
            </w:r>
          </w:p>
        </w:tc>
        <w:tc>
          <w:tcPr>
            <w:tcW w:w="950" w:type="dxa"/>
            <w:vAlign w:val="center"/>
          </w:tcPr>
          <w:p w:rsidR="009C339C" w:rsidRDefault="00EB6AAB" w:rsidP="00EB6AAB">
            <w:pPr>
              <w:wordWrap/>
              <w:jc w:val="center"/>
            </w:pPr>
            <w:r>
              <w:rPr>
                <w:rFonts w:eastAsia="Times New Roman"/>
                <w:sz w:val="19"/>
              </w:rPr>
              <w:t>2.44</w:t>
            </w:r>
          </w:p>
        </w:tc>
      </w:tr>
      <w:tr w:rsidR="009C339C" w:rsidTr="00EB6AAB">
        <w:trPr>
          <w:cantSplit/>
        </w:trPr>
        <w:tc>
          <w:tcPr>
            <w:tcW w:w="4450" w:type="dxa"/>
            <w:vAlign w:val="center"/>
          </w:tcPr>
          <w:p w:rsidR="009C339C" w:rsidRDefault="00EB6AAB" w:rsidP="00EB6AAB">
            <w:pPr>
              <w:wordWrap/>
              <w:jc w:val="left"/>
            </w:pPr>
            <w:r>
              <w:rPr>
                <w:rFonts w:eastAsia="Times New Roman"/>
                <w:sz w:val="19"/>
              </w:rPr>
              <w:t>log(1 + rate): Treated x Post x State</w:t>
            </w:r>
          </w:p>
        </w:tc>
        <w:tc>
          <w:tcPr>
            <w:tcW w:w="1250" w:type="dxa"/>
            <w:vAlign w:val="center"/>
          </w:tcPr>
          <w:p w:rsidR="009C339C" w:rsidRDefault="00EB6AAB" w:rsidP="00EB6AAB">
            <w:pPr>
              <w:wordWrap/>
              <w:jc w:val="center"/>
            </w:pPr>
            <w:r>
              <w:rPr>
                <w:rFonts w:eastAsia="Times New Roman"/>
                <w:sz w:val="19"/>
              </w:rPr>
              <w:t>+0.0161</w:t>
            </w:r>
          </w:p>
        </w:tc>
        <w:tc>
          <w:tcPr>
            <w:tcW w:w="2350" w:type="dxa"/>
            <w:vAlign w:val="center"/>
          </w:tcPr>
          <w:p w:rsidR="009C339C" w:rsidRDefault="00EB6AAB" w:rsidP="00EB6AAB">
            <w:pPr>
              <w:wordWrap/>
              <w:jc w:val="center"/>
            </w:pPr>
            <w:r>
              <w:rPr>
                <w:rFonts w:eastAsia="Times New Roman"/>
                <w:sz w:val="19"/>
              </w:rPr>
              <w:t>[0.0032, 0.0289]</w:t>
            </w:r>
          </w:p>
        </w:tc>
        <w:tc>
          <w:tcPr>
            <w:tcW w:w="950" w:type="dxa"/>
            <w:vAlign w:val="center"/>
          </w:tcPr>
          <w:p w:rsidR="009C339C" w:rsidRDefault="00EB6AAB" w:rsidP="00EB6AAB">
            <w:pPr>
              <w:wordWrap/>
              <w:jc w:val="center"/>
            </w:pPr>
            <w:r>
              <w:rPr>
                <w:rFonts w:eastAsia="Times New Roman"/>
                <w:sz w:val="19"/>
              </w:rPr>
              <w:t>2.45</w:t>
            </w:r>
          </w:p>
        </w:tc>
      </w:tr>
      <w:tr w:rsidR="009C339C" w:rsidTr="00EB6AAB">
        <w:trPr>
          <w:cantSplit/>
        </w:trPr>
        <w:tc>
          <w:tcPr>
            <w:tcW w:w="4450" w:type="dxa"/>
            <w:vAlign w:val="center"/>
          </w:tcPr>
          <w:p w:rsidR="009C339C" w:rsidRDefault="00EB6AAB" w:rsidP="00EB6AAB">
            <w:pPr>
              <w:wordWrap/>
              <w:jc w:val="left"/>
            </w:pPr>
            <w:r>
              <w:rPr>
                <w:rFonts w:eastAsia="Times New Roman"/>
                <w:sz w:val="19"/>
              </w:rPr>
              <w:t>Unit and event-time FE: Treated x Post x State</w:t>
            </w:r>
          </w:p>
        </w:tc>
        <w:tc>
          <w:tcPr>
            <w:tcW w:w="1250" w:type="dxa"/>
            <w:vAlign w:val="center"/>
          </w:tcPr>
          <w:p w:rsidR="009C339C" w:rsidRDefault="00EB6AAB" w:rsidP="00EB6AAB">
            <w:pPr>
              <w:wordWrap/>
              <w:jc w:val="center"/>
            </w:pPr>
            <w:r>
              <w:rPr>
                <w:rFonts w:eastAsia="Times New Roman"/>
                <w:sz w:val="19"/>
              </w:rPr>
              <w:t>+0.0177</w:t>
            </w:r>
          </w:p>
        </w:tc>
        <w:tc>
          <w:tcPr>
            <w:tcW w:w="2350" w:type="dxa"/>
            <w:vAlign w:val="center"/>
          </w:tcPr>
          <w:p w:rsidR="009C339C" w:rsidRDefault="00EB6AAB" w:rsidP="00EB6AAB">
            <w:pPr>
              <w:wordWrap/>
              <w:jc w:val="center"/>
            </w:pPr>
            <w:r>
              <w:rPr>
                <w:rFonts w:eastAsia="Times New Roman"/>
                <w:sz w:val="19"/>
              </w:rPr>
              <w:t>[0.0034, 0.0321]</w:t>
            </w:r>
          </w:p>
        </w:tc>
        <w:tc>
          <w:tcPr>
            <w:tcW w:w="950" w:type="dxa"/>
            <w:vAlign w:val="center"/>
          </w:tcPr>
          <w:p w:rsidR="009C339C" w:rsidRDefault="00EB6AAB" w:rsidP="00EB6AAB">
            <w:pPr>
              <w:wordWrap/>
              <w:jc w:val="center"/>
            </w:pPr>
            <w:r>
              <w:rPr>
                <w:rFonts w:eastAsia="Times New Roman"/>
                <w:sz w:val="19"/>
              </w:rPr>
              <w:t>2.43</w:t>
            </w:r>
          </w:p>
        </w:tc>
      </w:tr>
      <w:tr w:rsidR="009C339C" w:rsidTr="00EB6AAB">
        <w:trPr>
          <w:cantSplit/>
        </w:trPr>
        <w:tc>
          <w:tcPr>
            <w:tcW w:w="4450" w:type="dxa"/>
            <w:vAlign w:val="center"/>
          </w:tcPr>
          <w:p w:rsidR="009C339C" w:rsidRDefault="00EB6AAB" w:rsidP="00EB6AAB">
            <w:pPr>
              <w:wordWrap/>
              <w:jc w:val="left"/>
            </w:pPr>
            <w:r>
              <w:rPr>
                <w:rFonts w:eastAsia="Times New Roman"/>
                <w:sz w:val="19"/>
              </w:rPr>
              <w:t>Conventional matching: Treated x Post x State</w:t>
            </w:r>
          </w:p>
        </w:tc>
        <w:tc>
          <w:tcPr>
            <w:tcW w:w="1250" w:type="dxa"/>
            <w:vAlign w:val="center"/>
          </w:tcPr>
          <w:p w:rsidR="009C339C" w:rsidRDefault="00EB6AAB" w:rsidP="00EB6AAB">
            <w:pPr>
              <w:wordWrap/>
              <w:jc w:val="center"/>
            </w:pPr>
            <w:r>
              <w:rPr>
                <w:rFonts w:eastAsia="Times New Roman"/>
                <w:sz w:val="19"/>
              </w:rPr>
              <w:t>+0.0161</w:t>
            </w:r>
          </w:p>
        </w:tc>
        <w:tc>
          <w:tcPr>
            <w:tcW w:w="2350" w:type="dxa"/>
            <w:vAlign w:val="center"/>
          </w:tcPr>
          <w:p w:rsidR="009C339C" w:rsidRDefault="00EB6AAB" w:rsidP="00EB6AAB">
            <w:pPr>
              <w:wordWrap/>
              <w:jc w:val="center"/>
            </w:pPr>
            <w:r>
              <w:rPr>
                <w:rFonts w:eastAsia="Times New Roman"/>
                <w:sz w:val="19"/>
              </w:rPr>
              <w:t>[0.0029, 0.0294]</w:t>
            </w:r>
          </w:p>
        </w:tc>
        <w:tc>
          <w:tcPr>
            <w:tcW w:w="950" w:type="dxa"/>
            <w:vAlign w:val="center"/>
          </w:tcPr>
          <w:p w:rsidR="009C339C" w:rsidRDefault="00EB6AAB" w:rsidP="00EB6AAB">
            <w:pPr>
              <w:wordWrap/>
              <w:jc w:val="center"/>
            </w:pPr>
            <w:r>
              <w:rPr>
                <w:rFonts w:eastAsia="Times New Roman"/>
                <w:sz w:val="19"/>
              </w:rPr>
              <w:t>2.39</w:t>
            </w:r>
          </w:p>
        </w:tc>
      </w:tr>
      <w:tr w:rsidR="009C339C" w:rsidTr="00EB6AAB">
        <w:trPr>
          <w:cantSplit/>
        </w:trPr>
        <w:tc>
          <w:tcPr>
            <w:tcW w:w="4450" w:type="dxa"/>
            <w:vAlign w:val="center"/>
          </w:tcPr>
          <w:p w:rsidR="009C339C" w:rsidRDefault="00EB6AAB" w:rsidP="00EB6AAB">
            <w:pPr>
              <w:wordWrap/>
              <w:jc w:val="left"/>
            </w:pPr>
            <w:r>
              <w:rPr>
                <w:rFonts w:eastAsia="Times New Roman"/>
                <w:sz w:val="19"/>
              </w:rPr>
              <w:t>Event-equal weighting: Treated x Post x State</w:t>
            </w:r>
          </w:p>
        </w:tc>
        <w:tc>
          <w:tcPr>
            <w:tcW w:w="1250" w:type="dxa"/>
            <w:vAlign w:val="center"/>
          </w:tcPr>
          <w:p w:rsidR="009C339C" w:rsidRDefault="00EB6AAB" w:rsidP="00EB6AAB">
            <w:pPr>
              <w:wordWrap/>
              <w:jc w:val="center"/>
            </w:pPr>
            <w:r>
              <w:rPr>
                <w:rFonts w:eastAsia="Times New Roman"/>
                <w:sz w:val="19"/>
              </w:rPr>
              <w:t>+0.0228</w:t>
            </w:r>
          </w:p>
        </w:tc>
        <w:tc>
          <w:tcPr>
            <w:tcW w:w="2350" w:type="dxa"/>
            <w:vAlign w:val="center"/>
          </w:tcPr>
          <w:p w:rsidR="009C339C" w:rsidRDefault="00EB6AAB" w:rsidP="00EB6AAB">
            <w:pPr>
              <w:wordWrap/>
              <w:jc w:val="center"/>
            </w:pPr>
            <w:r>
              <w:rPr>
                <w:rFonts w:eastAsia="Times New Roman"/>
                <w:sz w:val="19"/>
              </w:rPr>
              <w:t>[0.0045, 0.0411]</w:t>
            </w:r>
          </w:p>
        </w:tc>
        <w:tc>
          <w:tcPr>
            <w:tcW w:w="950" w:type="dxa"/>
            <w:vAlign w:val="center"/>
          </w:tcPr>
          <w:p w:rsidR="009C339C" w:rsidRDefault="00EB6AAB" w:rsidP="00EB6AAB">
            <w:pPr>
              <w:wordWrap/>
              <w:jc w:val="center"/>
            </w:pPr>
            <w:r>
              <w:rPr>
                <w:rFonts w:eastAsia="Times New Roman"/>
                <w:sz w:val="19"/>
              </w:rPr>
              <w:t>2.44</w:t>
            </w:r>
          </w:p>
        </w:tc>
      </w:tr>
    </w:tbl>
    <w:p w:rsidR="009C339C" w:rsidRDefault="00EB6AAB" w:rsidP="00EB6AAB">
      <w:pPr>
        <w:pStyle w:val="aff3"/>
        <w:wordWrap/>
        <w:spacing w:before="0"/>
      </w:pPr>
      <w:r>
        <w:rPr>
          <w:rFonts w:eastAsia="Times New Roman"/>
          <w:color w:val="7F7F7F"/>
          <w:sz w:val="20"/>
        </w:rPr>
        <w:t>Notes. Baseline rows use the 286 state-balanced matched sets, the untransformed monthly worker-entry rate, event-by-firm and calendar-month fixed effects, and event-clustered intervals. The log specification changes only the outcome. The event-time row replaces calendar-month fixed effects with event-time fixed effects. The conventional-matching row uses 301 events. Event-equal weighting assigns equal total weight to each matched event after fixed-effect residualisation.</w:t>
      </w:r>
    </w:p>
    <w:p w:rsidR="009C339C" w:rsidRDefault="00EB6AAB" w:rsidP="00EB6AAB">
      <w:pPr>
        <w:pStyle w:val="aff3"/>
        <w:wordWrap/>
      </w:pPr>
      <w:r>
        <w:rPr>
          <w:rFonts w:eastAsia="Times New Roman"/>
        </w:rPr>
        <w:t>The level model gives a monthly target-control difference of 0.0054 [0.0028, 0.0081]. In the interaction model, the difference at the mean state is 0.0055 [0.0029, 0.0081], and the Treated x Post x State coefficient is 0.0179 [0.0035, 0.0323]. The interaction remains positive with the log outcome, event-time fixed effects, conventional matching, and event-equal weighting.</w:t>
      </w:r>
      <w:r>
        <w:t xml:space="preserve"> </w:t>
      </w:r>
      <w:r>
        <w:rPr>
          <w:rFonts w:eastAsia="Times New Roman"/>
        </w:rPr>
        <w:t>The pre-deal state-interaction estimates for quarters -4, -3, and -2 are -0.0018, -0.0038, and -0.0019; the joint test gives p = 0.9904. The post-deal estimates are 0.0038, 0.0102, 0.0260, and 0.0245 in quarters 1 through 4. The positive interaction is therefore concentrated in the latter half of the post-deal year rather than appearing as a discrete break in the first quarter.</w:t>
      </w:r>
    </w:p>
    <w:p w:rsidR="009C339C" w:rsidRDefault="00EB6AAB" w:rsidP="00EB6AAB">
      <w:pPr>
        <w:pStyle w:val="aff3"/>
        <w:wordWrap/>
      </w:pPr>
      <w:r>
        <w:rPr>
          <w:rFonts w:eastAsia="Times New Roman"/>
        </w:rPr>
        <w:t>This exercise is a cross-estimator check, not a new identification strategy. Failure to reject the joint pre-period restrictions does not establish parallel paths or rule out sponsor information that is not expressed in observed pre-deal hiring. Nor is 0.0179 numerically comparable with the primary gradient of 0.7101: the former is a monthly rate interaction in a firm-month panel, whereas the latter is a gradient in a twelve-month matched log-hiring-rate response after the primary transformation and adjustment.</w:t>
      </w:r>
    </w:p>
    <w:p w:rsidR="00FF4DCD" w:rsidRPr="00FF4DCD" w:rsidRDefault="00FF4DCD" w:rsidP="00EB6AAB">
      <w:pPr>
        <w:pStyle w:val="3"/>
      </w:pPr>
      <w:r w:rsidRPr="00FF4DCD">
        <w:t>Appendix E. Transaction form and sponsor characteristics</w:t>
      </w:r>
    </w:p>
    <w:p w:rsidR="00FF4DCD" w:rsidRPr="00FF4DCD" w:rsidRDefault="00FF4DCD" w:rsidP="00EB6AAB">
      <w:pPr>
        <w:pStyle w:val="aff3"/>
        <w:wordWrap/>
      </w:pPr>
      <w:r>
        <w:rPr>
          <w:rFonts w:eastAsia="Times New Roman"/>
        </w:rPr>
        <w:t xml:space="preserve">This appendix asks whether the realised worker-inflow response also varies with transaction and sponsor characteristics. The estimates are scope checks, not competing explanations for the state gradient. </w:t>
      </w:r>
      <w:r>
        <w:rPr>
          <w:rFonts w:eastAsia="Times New Roman"/>
        </w:rPr>
        <w:lastRenderedPageBreak/>
        <w:t>Coverage differs by characteristic, so estimates across panels do not form a common-sample ranking.</w:t>
      </w:r>
      <w:r>
        <w:t xml:space="preserve"> </w:t>
      </w:r>
      <w:r>
        <w:rPr>
          <w:rFonts w:eastAsia="Times New Roman"/>
        </w:rPr>
        <w:t>Sponsor activity counts only investments observed before the focal transaction month; later deals never add experience to an earlier event.</w:t>
      </w:r>
    </w:p>
    <w:p w:rsidR="00FF4DCD" w:rsidRPr="00FF4DCD" w:rsidRDefault="00FF4DCD" w:rsidP="00EB6AAB">
      <w:pPr>
        <w:pStyle w:val="3"/>
      </w:pPr>
      <w:r w:rsidRPr="00FF4DCD">
        <w:t>E.1 Transaction form, ownership, and prior sponsor activity</w:t>
      </w:r>
    </w:p>
    <w:p w:rsidR="00FF4DCD" w:rsidRPr="00FF4DCD" w:rsidRDefault="00FF4DCD" w:rsidP="00EB6AAB">
      <w:pPr>
        <w:pStyle w:val="aff3"/>
        <w:wordWrap/>
      </w:pPr>
      <w:r>
        <w:rPr>
          <w:rFonts w:eastAsia="Times New Roman"/>
        </w:rPr>
        <w:t>We begin with transaction form and acquired ownership. Adjusted specifications include the hiring state, log size, pre-deal employment growth, age, industry, and deal year.</w:t>
      </w:r>
      <w:r>
        <w:t xml:space="preserve"> </w:t>
      </w:r>
      <w:r>
        <w:rPr>
          <w:rFonts w:eastAsia="Times New Roman"/>
        </w:rPr>
        <w:t>The unadjusted control-minus-growth contrast is 0.1218 log points [−0.0494, 0.2776]. Control targets also have a 0.0948 higher pre-deal no-entry share. Adjustment for the hiring state and other pre-deal characteristics reduces the contrast to 0.0475 [−0.1062, 0.1958], consistent with target composition explaining part of the raw difference.</w:t>
      </w:r>
      <w:r>
        <w:t xml:space="preserve"> </w:t>
      </w:r>
      <w:r>
        <w:rPr>
          <w:rFonts w:eastAsia="Times New Roman"/>
        </w:rPr>
        <w:t>Ownership contrasts are less precise. Each percentage point of acquired ownership is associated with 0.0007 log points [−0.0015, 0.0027]; the adjusted majority-minus-minority contrast is 0.0397 [−0.1761, 0.2674].</w:t>
      </w:r>
    </w:p>
    <w:p w:rsidR="00FF4DCD" w:rsidRPr="00952628" w:rsidRDefault="00FF4DCD" w:rsidP="00EB6AAB">
      <w:pPr>
        <w:pStyle w:val="aff3"/>
        <w:wordWrap/>
        <w:rPr>
          <w:b/>
        </w:rPr>
      </w:pPr>
      <w:r w:rsidRPr="00952628">
        <w:rPr>
          <w:b/>
        </w:rPr>
        <w:t>Table E1. Transaction form, ownership, and prior sponsor activity</w:t>
      </w:r>
    </w:p>
    <w:p w:rsidR="00FF4DCD" w:rsidRPr="00FF4DCD" w:rsidRDefault="00FF4DCD" w:rsidP="00EB6AAB">
      <w:pPr>
        <w:pStyle w:val="aff3"/>
        <w:wordWrap/>
      </w:pPr>
      <w:r w:rsidRPr="00FF4DCD">
        <w:rPr>
          <w:b/>
          <w:bCs/>
        </w:rPr>
        <w:t>Panel A. Transaction and ownership characteristics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526"/>
        <w:gridCol w:w="992"/>
        <w:gridCol w:w="1843"/>
        <w:gridCol w:w="660"/>
      </w:tblGrid>
      <w:tr w:rsidR="00FF4DCD" w:rsidRPr="00FF4DCD" w:rsidTr="00EB6AAB">
        <w:trPr>
          <w:cantSplit/>
          <w:tblHeader/>
        </w:trPr>
        <w:tc>
          <w:tcPr>
            <w:tcW w:w="5526" w:type="dxa"/>
            <w:vAlign w:val="center"/>
          </w:tcPr>
          <w:p w:rsidR="00FF4DCD" w:rsidRPr="00B474F8" w:rsidRDefault="00FF4DCD" w:rsidP="00EB6AAB">
            <w:pPr>
              <w:wordWrap/>
              <w:rPr>
                <w:b/>
              </w:rPr>
            </w:pPr>
            <w:r w:rsidRPr="00B474F8">
              <w:rPr>
                <w:b/>
                <w:sz w:val="20"/>
              </w:rPr>
              <w:t>Characteristic</w:t>
            </w:r>
          </w:p>
        </w:tc>
        <w:tc>
          <w:tcPr>
            <w:tcW w:w="992" w:type="dxa"/>
            <w:vAlign w:val="center"/>
          </w:tcPr>
          <w:p w:rsidR="00FF4DCD" w:rsidRPr="00B474F8" w:rsidRDefault="00FF4DCD" w:rsidP="00EB6AAB">
            <w:pPr>
              <w:wordWrap/>
              <w:jc w:val="center"/>
              <w:rPr>
                <w:b/>
              </w:rPr>
            </w:pPr>
            <w:r w:rsidRPr="00B474F8">
              <w:rPr>
                <w:b/>
                <w:sz w:val="20"/>
              </w:rPr>
              <w:t>Estimate</w:t>
            </w:r>
          </w:p>
        </w:tc>
        <w:tc>
          <w:tcPr>
            <w:tcW w:w="1843" w:type="dxa"/>
            <w:vAlign w:val="center"/>
          </w:tcPr>
          <w:p w:rsidR="00FF4DCD" w:rsidRPr="00B474F8" w:rsidRDefault="00FF4DCD" w:rsidP="00EB6AAB">
            <w:pPr>
              <w:wordWrap/>
              <w:jc w:val="center"/>
              <w:rPr>
                <w:b/>
              </w:rPr>
            </w:pPr>
            <w:r w:rsidRPr="00B474F8">
              <w:rPr>
                <w:b/>
                <w:sz w:val="20"/>
              </w:rPr>
              <w:t>95% CI</w:t>
            </w:r>
          </w:p>
        </w:tc>
        <w:tc>
          <w:tcPr>
            <w:tcW w:w="660" w:type="dxa"/>
            <w:vAlign w:val="center"/>
          </w:tcPr>
          <w:p w:rsidR="00FF4DCD" w:rsidRPr="00B474F8" w:rsidRDefault="00FF4DCD" w:rsidP="00EB6AAB">
            <w:pPr>
              <w:wordWrap/>
              <w:jc w:val="center"/>
              <w:rPr>
                <w:b/>
              </w:rPr>
            </w:pPr>
            <w:r w:rsidRPr="00B474F8">
              <w:rPr>
                <w:b/>
                <w:sz w:val="20"/>
              </w:rPr>
              <w:t>N</w:t>
            </w:r>
          </w:p>
        </w:tc>
      </w:tr>
      <w:tr w:rsidR="00FF4DCD" w:rsidRPr="00FF4DCD" w:rsidTr="00EB6AAB">
        <w:trPr>
          <w:cantSplit/>
        </w:trPr>
        <w:tc>
          <w:tcPr>
            <w:tcW w:w="5526" w:type="dxa"/>
          </w:tcPr>
          <w:p w:rsidR="00FF4DCD" w:rsidRPr="00FF4DCD" w:rsidRDefault="00FF4DCD" w:rsidP="00EB6AAB">
            <w:pPr>
              <w:wordWrap/>
            </w:pPr>
            <w:r w:rsidRPr="00FF4DCD">
              <w:t>Control transaction − growth investment, unadjusted</w:t>
            </w:r>
          </w:p>
        </w:tc>
        <w:tc>
          <w:tcPr>
            <w:tcW w:w="992" w:type="dxa"/>
            <w:vAlign w:val="center"/>
          </w:tcPr>
          <w:p w:rsidR="00FF4DCD" w:rsidRPr="00FF4DCD" w:rsidRDefault="00FF4DCD" w:rsidP="00EB6AAB">
            <w:pPr>
              <w:wordWrap/>
              <w:jc w:val="center"/>
            </w:pPr>
            <w:r w:rsidRPr="00FF4DCD">
              <w:t>0.1218</w:t>
            </w:r>
          </w:p>
        </w:tc>
        <w:tc>
          <w:tcPr>
            <w:tcW w:w="1843" w:type="dxa"/>
            <w:vAlign w:val="center"/>
          </w:tcPr>
          <w:p w:rsidR="00FF4DCD" w:rsidRPr="00FF4DCD" w:rsidRDefault="00FF4DCD" w:rsidP="00EB6AAB">
            <w:pPr>
              <w:wordWrap/>
              <w:jc w:val="center"/>
            </w:pPr>
            <w:r w:rsidRPr="00FF4DCD">
              <w:t>[−0.0494, 0.2776]</w:t>
            </w:r>
          </w:p>
        </w:tc>
        <w:tc>
          <w:tcPr>
            <w:tcW w:w="660" w:type="dxa"/>
            <w:vAlign w:val="center"/>
          </w:tcPr>
          <w:p w:rsidR="00FF4DCD" w:rsidRPr="00FF4DCD" w:rsidRDefault="00FF4DCD" w:rsidP="00EB6AAB">
            <w:pPr>
              <w:wordWrap/>
              <w:jc w:val="center"/>
            </w:pPr>
            <w:r w:rsidRPr="00FF4DCD">
              <w:t>301</w:t>
            </w:r>
          </w:p>
        </w:tc>
      </w:tr>
      <w:tr w:rsidR="00FF4DCD" w:rsidRPr="00FF4DCD" w:rsidTr="00EB6AAB">
        <w:trPr>
          <w:cantSplit/>
        </w:trPr>
        <w:tc>
          <w:tcPr>
            <w:tcW w:w="5526" w:type="dxa"/>
          </w:tcPr>
          <w:p w:rsidR="00FF4DCD" w:rsidRPr="00FF4DCD" w:rsidRDefault="00FF4DCD" w:rsidP="00EB6AAB">
            <w:pPr>
              <w:wordWrap/>
            </w:pPr>
            <w:r w:rsidRPr="00FF4DCD">
              <w:t>Control transaction − growth investment, adjusted</w:t>
            </w:r>
          </w:p>
        </w:tc>
        <w:tc>
          <w:tcPr>
            <w:tcW w:w="992" w:type="dxa"/>
            <w:vAlign w:val="center"/>
          </w:tcPr>
          <w:p w:rsidR="00FF4DCD" w:rsidRPr="00FF4DCD" w:rsidRDefault="00FF4DCD" w:rsidP="00EB6AAB">
            <w:pPr>
              <w:wordWrap/>
              <w:jc w:val="center"/>
            </w:pPr>
            <w:r w:rsidRPr="00FF4DCD">
              <w:t>0.0475</w:t>
            </w:r>
          </w:p>
        </w:tc>
        <w:tc>
          <w:tcPr>
            <w:tcW w:w="1843" w:type="dxa"/>
            <w:vAlign w:val="center"/>
          </w:tcPr>
          <w:p w:rsidR="00FF4DCD" w:rsidRPr="00FF4DCD" w:rsidRDefault="00FF4DCD" w:rsidP="00EB6AAB">
            <w:pPr>
              <w:wordWrap/>
              <w:jc w:val="center"/>
            </w:pPr>
            <w:r w:rsidRPr="00FF4DCD">
              <w:t>[−0.1062, 0.1958]</w:t>
            </w:r>
          </w:p>
        </w:tc>
        <w:tc>
          <w:tcPr>
            <w:tcW w:w="660" w:type="dxa"/>
            <w:vAlign w:val="center"/>
          </w:tcPr>
          <w:p w:rsidR="00FF4DCD" w:rsidRPr="00FF4DCD" w:rsidRDefault="00FF4DCD" w:rsidP="00EB6AAB">
            <w:pPr>
              <w:wordWrap/>
              <w:jc w:val="center"/>
            </w:pPr>
            <w:r w:rsidRPr="00FF4DCD">
              <w:t>301</w:t>
            </w:r>
          </w:p>
        </w:tc>
      </w:tr>
      <w:tr w:rsidR="00FF4DCD" w:rsidRPr="00FF4DCD" w:rsidTr="00EB6AAB">
        <w:trPr>
          <w:cantSplit/>
        </w:trPr>
        <w:tc>
          <w:tcPr>
            <w:tcW w:w="5526" w:type="dxa"/>
          </w:tcPr>
          <w:p w:rsidR="00FF4DCD" w:rsidRPr="00FF4DCD" w:rsidRDefault="00FF4DCD" w:rsidP="00EB6AAB">
            <w:pPr>
              <w:wordWrap/>
            </w:pPr>
            <w:r w:rsidRPr="00FF4DCD">
              <w:t>Acquired ownership stake, per percentage point, adjusted</w:t>
            </w:r>
          </w:p>
        </w:tc>
        <w:tc>
          <w:tcPr>
            <w:tcW w:w="992" w:type="dxa"/>
            <w:vAlign w:val="center"/>
          </w:tcPr>
          <w:p w:rsidR="00FF4DCD" w:rsidRPr="00FF4DCD" w:rsidRDefault="00FF4DCD" w:rsidP="00EB6AAB">
            <w:pPr>
              <w:wordWrap/>
              <w:jc w:val="center"/>
            </w:pPr>
            <w:r w:rsidRPr="00FF4DCD">
              <w:t>0.0007</w:t>
            </w:r>
          </w:p>
        </w:tc>
        <w:tc>
          <w:tcPr>
            <w:tcW w:w="1843" w:type="dxa"/>
            <w:vAlign w:val="center"/>
          </w:tcPr>
          <w:p w:rsidR="00FF4DCD" w:rsidRPr="00FF4DCD" w:rsidRDefault="00FF4DCD" w:rsidP="00EB6AAB">
            <w:pPr>
              <w:wordWrap/>
              <w:jc w:val="center"/>
            </w:pPr>
            <w:r w:rsidRPr="00FF4DCD">
              <w:t>[−0.0015, 0.0027]</w:t>
            </w:r>
          </w:p>
        </w:tc>
        <w:tc>
          <w:tcPr>
            <w:tcW w:w="660" w:type="dxa"/>
            <w:vAlign w:val="center"/>
          </w:tcPr>
          <w:p w:rsidR="00FF4DCD" w:rsidRPr="00FF4DCD" w:rsidRDefault="00FF4DCD" w:rsidP="00EB6AAB">
            <w:pPr>
              <w:wordWrap/>
              <w:jc w:val="center"/>
            </w:pPr>
            <w:r w:rsidRPr="00FF4DCD">
              <w:t>181</w:t>
            </w:r>
          </w:p>
        </w:tc>
      </w:tr>
      <w:tr w:rsidR="00FF4DCD" w:rsidRPr="00FF4DCD" w:rsidTr="00EB6AAB">
        <w:trPr>
          <w:cantSplit/>
        </w:trPr>
        <w:tc>
          <w:tcPr>
            <w:tcW w:w="5526" w:type="dxa"/>
          </w:tcPr>
          <w:p w:rsidR="00FF4DCD" w:rsidRPr="00FF4DCD" w:rsidRDefault="00FF4DCD" w:rsidP="00EB6AAB">
            <w:pPr>
              <w:wordWrap/>
            </w:pPr>
            <w:r w:rsidRPr="00FF4DCD">
              <w:t>Majority (</w:t>
            </w:r>
            <m:oMath>
              <m:r>
                <m:rPr>
                  <m:sty m:val="p"/>
                </m:rPr>
                <w:rPr>
                  <w:rFonts w:ascii="Cambria Math" w:hAnsi="Cambria Math"/>
                </w:rPr>
                <m:t>≥</m:t>
              </m:r>
              <m:r>
                <w:rPr>
                  <w:rFonts w:ascii="Cambria Math" w:hAnsi="Cambria Math"/>
                </w:rPr>
                <m:t>50</m:t>
              </m:r>
              <m:r>
                <m:rPr>
                  <m:sty m:val="p"/>
                </m:rPr>
                <w:rPr>
                  <w:rFonts w:ascii="Cambria Math" w:hAnsi="Cambria Math"/>
                </w:rPr>
                <m:t>%</m:t>
              </m:r>
            </m:oMath>
            <w:r w:rsidRPr="00FF4DCD">
              <w:t>) − minority investment, adjusted</w:t>
            </w:r>
          </w:p>
        </w:tc>
        <w:tc>
          <w:tcPr>
            <w:tcW w:w="992" w:type="dxa"/>
            <w:vAlign w:val="center"/>
          </w:tcPr>
          <w:p w:rsidR="00FF4DCD" w:rsidRPr="00FF4DCD" w:rsidRDefault="00FF4DCD" w:rsidP="00EB6AAB">
            <w:pPr>
              <w:wordWrap/>
              <w:jc w:val="center"/>
            </w:pPr>
            <w:r w:rsidRPr="00FF4DCD">
              <w:t>0.0397</w:t>
            </w:r>
          </w:p>
        </w:tc>
        <w:tc>
          <w:tcPr>
            <w:tcW w:w="1843" w:type="dxa"/>
            <w:vAlign w:val="center"/>
          </w:tcPr>
          <w:p w:rsidR="00FF4DCD" w:rsidRPr="00FF4DCD" w:rsidRDefault="00FF4DCD" w:rsidP="00EB6AAB">
            <w:pPr>
              <w:wordWrap/>
              <w:jc w:val="center"/>
            </w:pPr>
            <w:r w:rsidRPr="00FF4DCD">
              <w:t>[−0.1761, 0.2674]</w:t>
            </w:r>
          </w:p>
        </w:tc>
        <w:tc>
          <w:tcPr>
            <w:tcW w:w="660" w:type="dxa"/>
            <w:vAlign w:val="center"/>
          </w:tcPr>
          <w:p w:rsidR="00FF4DCD" w:rsidRPr="00FF4DCD" w:rsidRDefault="00FF4DCD" w:rsidP="00EB6AAB">
            <w:pPr>
              <w:wordWrap/>
              <w:jc w:val="center"/>
            </w:pPr>
            <w:r w:rsidRPr="00FF4DCD">
              <w:t>181</w:t>
            </w:r>
          </w:p>
        </w:tc>
      </w:tr>
    </w:tbl>
    <w:p w:rsidR="00FF4DCD" w:rsidRPr="00952628" w:rsidRDefault="00FF4DCD" w:rsidP="00EB6AAB">
      <w:pPr>
        <w:pStyle w:val="aff3"/>
        <w:wordWrap/>
        <w:rPr>
          <w:b/>
        </w:rPr>
      </w:pPr>
      <w:r w:rsidRPr="00952628">
        <w:rPr>
          <w:b/>
        </w:rPr>
        <w:t>Panel B. Prior sponsor deal activity at the focal transaction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959"/>
        <w:gridCol w:w="1559"/>
        <w:gridCol w:w="1843"/>
        <w:gridCol w:w="660"/>
      </w:tblGrid>
      <w:tr w:rsidR="00FF4DCD" w:rsidRPr="00FF4DCD" w:rsidTr="00EB6AAB">
        <w:trPr>
          <w:cantSplit/>
          <w:tblHeader/>
        </w:trPr>
        <w:tc>
          <w:tcPr>
            <w:tcW w:w="4959" w:type="dxa"/>
            <w:vAlign w:val="center"/>
          </w:tcPr>
          <w:p w:rsidR="00FF4DCD" w:rsidRPr="00B474F8" w:rsidRDefault="00FF4DCD" w:rsidP="00EB6AAB">
            <w:pPr>
              <w:wordWrap/>
              <w:rPr>
                <w:b/>
              </w:rPr>
            </w:pPr>
            <w:r w:rsidRPr="00B474F8">
              <w:rPr>
                <w:b/>
                <w:sz w:val="20"/>
              </w:rPr>
              <w:t>Prior sponsor deal count</w:t>
            </w:r>
          </w:p>
        </w:tc>
        <w:tc>
          <w:tcPr>
            <w:tcW w:w="1559" w:type="dxa"/>
            <w:vAlign w:val="center"/>
          </w:tcPr>
          <w:p w:rsidR="00FF4DCD" w:rsidRPr="00B474F8" w:rsidRDefault="00FF4DCD" w:rsidP="00EB6AAB">
            <w:pPr>
              <w:wordWrap/>
              <w:jc w:val="center"/>
              <w:rPr>
                <w:b/>
              </w:rPr>
            </w:pPr>
            <w:r w:rsidRPr="00B474F8">
              <w:rPr>
                <w:b/>
                <w:sz w:val="20"/>
              </w:rPr>
              <w:t>Mean response</w:t>
            </w:r>
          </w:p>
        </w:tc>
        <w:tc>
          <w:tcPr>
            <w:tcW w:w="1843" w:type="dxa"/>
            <w:vAlign w:val="center"/>
          </w:tcPr>
          <w:p w:rsidR="00FF4DCD" w:rsidRPr="00B474F8" w:rsidRDefault="00FF4DCD" w:rsidP="00EB6AAB">
            <w:pPr>
              <w:wordWrap/>
              <w:jc w:val="center"/>
              <w:rPr>
                <w:b/>
              </w:rPr>
            </w:pPr>
            <w:r w:rsidRPr="00B474F8">
              <w:rPr>
                <w:b/>
                <w:sz w:val="20"/>
              </w:rPr>
              <w:t>95% CI</w:t>
            </w:r>
          </w:p>
        </w:tc>
        <w:tc>
          <w:tcPr>
            <w:tcW w:w="660" w:type="dxa"/>
            <w:vAlign w:val="center"/>
          </w:tcPr>
          <w:p w:rsidR="00FF4DCD" w:rsidRPr="00B474F8" w:rsidRDefault="00FF4DCD" w:rsidP="00EB6AAB">
            <w:pPr>
              <w:wordWrap/>
              <w:jc w:val="center"/>
              <w:rPr>
                <w:b/>
              </w:rPr>
            </w:pPr>
            <w:r w:rsidRPr="00B474F8">
              <w:rPr>
                <w:b/>
                <w:sz w:val="20"/>
              </w:rPr>
              <w:t>N</w:t>
            </w:r>
          </w:p>
        </w:tc>
      </w:tr>
      <w:tr w:rsidR="00FF4DCD" w:rsidRPr="00FF4DCD" w:rsidTr="00EB6AAB">
        <w:trPr>
          <w:cantSplit/>
        </w:trPr>
        <w:tc>
          <w:tcPr>
            <w:tcW w:w="4959" w:type="dxa"/>
          </w:tcPr>
          <w:p w:rsidR="00FF4DCD" w:rsidRPr="00FF4DCD" w:rsidRDefault="00FF4DCD" w:rsidP="00EB6AAB">
            <w:pPr>
              <w:wordWrap/>
            </w:pPr>
            <w:r w:rsidRPr="00FF4DCD">
              <w:t>First observed deal, 0 prior</w:t>
            </w:r>
          </w:p>
        </w:tc>
        <w:tc>
          <w:tcPr>
            <w:tcW w:w="1559" w:type="dxa"/>
            <w:vAlign w:val="center"/>
          </w:tcPr>
          <w:p w:rsidR="00FF4DCD" w:rsidRPr="00FF4DCD" w:rsidRDefault="00FF4DCD" w:rsidP="00EB6AAB">
            <w:pPr>
              <w:wordWrap/>
              <w:jc w:val="center"/>
            </w:pPr>
            <w:r w:rsidRPr="00FF4DCD">
              <w:t>+0.1240</w:t>
            </w:r>
          </w:p>
        </w:tc>
        <w:tc>
          <w:tcPr>
            <w:tcW w:w="1843" w:type="dxa"/>
            <w:vAlign w:val="center"/>
          </w:tcPr>
          <w:p w:rsidR="00FF4DCD" w:rsidRPr="00FF4DCD" w:rsidRDefault="00FF4DCD" w:rsidP="00EB6AAB">
            <w:pPr>
              <w:wordWrap/>
              <w:jc w:val="center"/>
            </w:pPr>
            <w:r w:rsidRPr="00FF4DCD">
              <w:t>[0.0219, 0.2276]</w:t>
            </w:r>
          </w:p>
        </w:tc>
        <w:tc>
          <w:tcPr>
            <w:tcW w:w="660" w:type="dxa"/>
            <w:vAlign w:val="center"/>
          </w:tcPr>
          <w:p w:rsidR="00FF4DCD" w:rsidRPr="00FF4DCD" w:rsidRDefault="00FF4DCD" w:rsidP="00EB6AAB">
            <w:pPr>
              <w:wordWrap/>
              <w:jc w:val="center"/>
            </w:pPr>
            <w:r w:rsidRPr="00FF4DCD">
              <w:t>158</w:t>
            </w:r>
          </w:p>
        </w:tc>
      </w:tr>
      <w:tr w:rsidR="00FF4DCD" w:rsidRPr="00FF4DCD" w:rsidTr="00EB6AAB">
        <w:trPr>
          <w:cantSplit/>
        </w:trPr>
        <w:tc>
          <w:tcPr>
            <w:tcW w:w="4959" w:type="dxa"/>
          </w:tcPr>
          <w:p w:rsidR="00FF4DCD" w:rsidRPr="00FF4DCD" w:rsidRDefault="00FF4DCD" w:rsidP="00EB6AAB">
            <w:pPr>
              <w:wordWrap/>
            </w:pPr>
            <w:r w:rsidRPr="00FF4DCD">
              <w:t>1–3 prior deals</w:t>
            </w:r>
          </w:p>
        </w:tc>
        <w:tc>
          <w:tcPr>
            <w:tcW w:w="1559" w:type="dxa"/>
            <w:vAlign w:val="center"/>
          </w:tcPr>
          <w:p w:rsidR="00FF4DCD" w:rsidRPr="00FF4DCD" w:rsidRDefault="00FF4DCD" w:rsidP="00EB6AAB">
            <w:pPr>
              <w:wordWrap/>
              <w:jc w:val="center"/>
            </w:pPr>
            <w:r w:rsidRPr="00FF4DCD">
              <w:t>+0.2749</w:t>
            </w:r>
          </w:p>
        </w:tc>
        <w:tc>
          <w:tcPr>
            <w:tcW w:w="1843" w:type="dxa"/>
            <w:vAlign w:val="center"/>
          </w:tcPr>
          <w:p w:rsidR="00FF4DCD" w:rsidRPr="00FF4DCD" w:rsidRDefault="00FF4DCD" w:rsidP="00EB6AAB">
            <w:pPr>
              <w:wordWrap/>
              <w:jc w:val="center"/>
            </w:pPr>
            <w:r w:rsidRPr="00FF4DCD">
              <w:t>[0.1369, 0.4128]</w:t>
            </w:r>
          </w:p>
        </w:tc>
        <w:tc>
          <w:tcPr>
            <w:tcW w:w="660" w:type="dxa"/>
            <w:vAlign w:val="center"/>
          </w:tcPr>
          <w:p w:rsidR="00FF4DCD" w:rsidRPr="00FF4DCD" w:rsidRDefault="00FF4DCD" w:rsidP="00EB6AAB">
            <w:pPr>
              <w:wordWrap/>
              <w:jc w:val="center"/>
            </w:pPr>
            <w:r w:rsidRPr="00FF4DCD">
              <w:t>96</w:t>
            </w:r>
          </w:p>
        </w:tc>
      </w:tr>
      <w:tr w:rsidR="00FF4DCD" w:rsidRPr="00FF4DCD" w:rsidTr="00EB6AAB">
        <w:trPr>
          <w:cantSplit/>
        </w:trPr>
        <w:tc>
          <w:tcPr>
            <w:tcW w:w="4959" w:type="dxa"/>
          </w:tcPr>
          <w:p w:rsidR="00FF4DCD" w:rsidRPr="00FF4DCD" w:rsidRDefault="00FF4DCD" w:rsidP="00EB6AAB">
            <w:pPr>
              <w:wordWrap/>
            </w:pPr>
            <w:r w:rsidRPr="00FF4DCD">
              <w:t>4 or more prior deals</w:t>
            </w:r>
          </w:p>
        </w:tc>
        <w:tc>
          <w:tcPr>
            <w:tcW w:w="1559" w:type="dxa"/>
            <w:vAlign w:val="center"/>
          </w:tcPr>
          <w:p w:rsidR="00FF4DCD" w:rsidRPr="00FF4DCD" w:rsidRDefault="00FF4DCD" w:rsidP="00EB6AAB">
            <w:pPr>
              <w:wordWrap/>
              <w:jc w:val="center"/>
            </w:pPr>
            <w:r w:rsidRPr="00FF4DCD">
              <w:t>+0.1122</w:t>
            </w:r>
          </w:p>
        </w:tc>
        <w:tc>
          <w:tcPr>
            <w:tcW w:w="1843" w:type="dxa"/>
            <w:vAlign w:val="center"/>
          </w:tcPr>
          <w:p w:rsidR="00FF4DCD" w:rsidRPr="00FF4DCD" w:rsidRDefault="00FF4DCD" w:rsidP="00EB6AAB">
            <w:pPr>
              <w:wordWrap/>
              <w:jc w:val="center"/>
            </w:pPr>
            <w:r w:rsidRPr="00FF4DCD">
              <w:t>[−0.0643, 0.3025]</w:t>
            </w:r>
          </w:p>
        </w:tc>
        <w:tc>
          <w:tcPr>
            <w:tcW w:w="660" w:type="dxa"/>
            <w:vAlign w:val="center"/>
          </w:tcPr>
          <w:p w:rsidR="00FF4DCD" w:rsidRPr="00FF4DCD" w:rsidRDefault="00FF4DCD" w:rsidP="00EB6AAB">
            <w:pPr>
              <w:wordWrap/>
              <w:jc w:val="center"/>
            </w:pPr>
            <w:r w:rsidRPr="00FF4DCD">
              <w:t>45</w:t>
            </w:r>
          </w:p>
        </w:tc>
      </w:tr>
      <w:tr w:rsidR="00FF4DCD" w:rsidRPr="00FF4DCD" w:rsidTr="00EB6AAB">
        <w:trPr>
          <w:cantSplit/>
        </w:trPr>
        <w:tc>
          <w:tcPr>
            <w:tcW w:w="4959" w:type="dxa"/>
          </w:tcPr>
          <w:p w:rsidR="00FF4DCD" w:rsidRPr="00FF4DCD" w:rsidRDefault="00FF4DCD" w:rsidP="00EB6AAB">
            <w:pPr>
              <w:wordWrap/>
            </w:pPr>
            <m:oMath>
              <m:r>
                <m:rPr>
                  <m:sty m:val="p"/>
                </m:rPr>
                <w:rPr>
                  <w:rFonts w:ascii="Cambria Math" w:hAnsi="Cambria Math"/>
                </w:rPr>
                <m:t>≥</m:t>
              </m:r>
              <m:r>
                <w:rPr>
                  <w:rFonts w:ascii="Cambria Math" w:hAnsi="Cambria Math"/>
                </w:rPr>
                <m:t>4</m:t>
              </m:r>
            </m:oMath>
            <w:r w:rsidRPr="00FF4DCD">
              <w:t xml:space="preserve"> − first observed deal</w:t>
            </w:r>
          </w:p>
        </w:tc>
        <w:tc>
          <w:tcPr>
            <w:tcW w:w="1559" w:type="dxa"/>
            <w:vAlign w:val="center"/>
          </w:tcPr>
          <w:p w:rsidR="00FF4DCD" w:rsidRPr="00FF4DCD" w:rsidRDefault="00FF4DCD" w:rsidP="00EB6AAB">
            <w:pPr>
              <w:wordWrap/>
              <w:jc w:val="center"/>
            </w:pPr>
            <w:r w:rsidRPr="00FF4DCD">
              <w:t>−0.0118</w:t>
            </w:r>
          </w:p>
        </w:tc>
        <w:tc>
          <w:tcPr>
            <w:tcW w:w="1843" w:type="dxa"/>
            <w:vAlign w:val="center"/>
          </w:tcPr>
          <w:p w:rsidR="00FF4DCD" w:rsidRPr="00FF4DCD" w:rsidRDefault="00FF4DCD" w:rsidP="00EB6AAB">
            <w:pPr>
              <w:wordWrap/>
              <w:jc w:val="center"/>
            </w:pPr>
            <w:r w:rsidRPr="00FF4DCD">
              <w:t>[−0.2193, 0.2195]</w:t>
            </w:r>
          </w:p>
        </w:tc>
        <w:tc>
          <w:tcPr>
            <w:tcW w:w="660" w:type="dxa"/>
            <w:vAlign w:val="center"/>
          </w:tcPr>
          <w:p w:rsidR="00FF4DCD" w:rsidRPr="00FF4DCD" w:rsidRDefault="00FF4DCD" w:rsidP="00EB6AAB">
            <w:pPr>
              <w:wordWrap/>
              <w:jc w:val="center"/>
            </w:pPr>
            <w:r w:rsidRPr="00FF4DCD">
              <w:t>—</w:t>
            </w:r>
          </w:p>
        </w:tc>
      </w:tr>
      <w:tr w:rsidR="00FF4DCD" w:rsidRPr="00FF4DCD" w:rsidTr="00EB6AAB">
        <w:trPr>
          <w:cantSplit/>
        </w:trPr>
        <w:tc>
          <w:tcPr>
            <w:tcW w:w="4959" w:type="dxa"/>
          </w:tcPr>
          <w:p w:rsidR="00FF4DCD" w:rsidRPr="00FF4DCD" w:rsidRDefault="00FF4DCD" w:rsidP="00EB6AAB">
            <w:pPr>
              <w:wordWrap/>
            </w:pPr>
            <w:r w:rsidRPr="00FF4DCD">
              <w:t>Repeat (</w:t>
            </w:r>
            <m:oMath>
              <m:r>
                <m:rPr>
                  <m:sty m:val="p"/>
                </m:rPr>
                <w:rPr>
                  <w:rFonts w:ascii="Cambria Math" w:hAnsi="Cambria Math"/>
                </w:rPr>
                <m:t>≥</m:t>
              </m:r>
              <m:r>
                <w:rPr>
                  <w:rFonts w:ascii="Cambria Math" w:hAnsi="Cambria Math"/>
                </w:rPr>
                <m:t>1</m:t>
              </m:r>
            </m:oMath>
            <w:r w:rsidRPr="00FF4DCD">
              <w:t>) − first observed deal</w:t>
            </w:r>
          </w:p>
        </w:tc>
        <w:tc>
          <w:tcPr>
            <w:tcW w:w="1559" w:type="dxa"/>
            <w:vAlign w:val="center"/>
          </w:tcPr>
          <w:p w:rsidR="00FF4DCD" w:rsidRPr="00FF4DCD" w:rsidRDefault="00FF4DCD" w:rsidP="00EB6AAB">
            <w:pPr>
              <w:wordWrap/>
              <w:jc w:val="center"/>
            </w:pPr>
            <w:r w:rsidRPr="00FF4DCD">
              <w:t>+0.0990</w:t>
            </w:r>
          </w:p>
        </w:tc>
        <w:tc>
          <w:tcPr>
            <w:tcW w:w="1843" w:type="dxa"/>
            <w:vAlign w:val="center"/>
          </w:tcPr>
          <w:p w:rsidR="00FF4DCD" w:rsidRPr="00FF4DCD" w:rsidRDefault="00FF4DCD" w:rsidP="00EB6AAB">
            <w:pPr>
              <w:wordWrap/>
              <w:jc w:val="center"/>
            </w:pPr>
            <w:r w:rsidRPr="00FF4DCD">
              <w:t>[−0.0565, 0.2498]</w:t>
            </w:r>
          </w:p>
        </w:tc>
        <w:tc>
          <w:tcPr>
            <w:tcW w:w="660" w:type="dxa"/>
            <w:vAlign w:val="center"/>
          </w:tcPr>
          <w:p w:rsidR="00FF4DCD" w:rsidRPr="00FF4DCD" w:rsidRDefault="00FF4DCD" w:rsidP="00EB6AAB">
            <w:pPr>
              <w:wordWrap/>
              <w:jc w:val="center"/>
            </w:pPr>
            <w:r w:rsidRPr="00FF4DCD">
              <w:t>—</w:t>
            </w:r>
          </w:p>
        </w:tc>
      </w:tr>
    </w:tbl>
    <w:p w:rsidR="00FF4DCD" w:rsidRPr="00952628" w:rsidRDefault="00FF4DCD" w:rsidP="00EB6AAB">
      <w:pPr>
        <w:pStyle w:val="aff3"/>
        <w:wordWrap/>
        <w:spacing w:before="0"/>
        <w:rPr>
          <w:color w:val="7F7F7F" w:themeColor="text1" w:themeTint="80"/>
          <w:sz w:val="20"/>
        </w:rPr>
      </w:pPr>
      <w:r w:rsidRPr="00952628">
        <w:rPr>
          <w:color w:val="7F7F7F" w:themeColor="text1" w:themeTint="80"/>
          <w:sz w:val="20"/>
        </w:rPr>
        <w:t xml:space="preserve">Notes. The Panel A outcome is the event-level change in the log hiring rate. Adjusted specifications condition on the pre-deal hiring state, log firm size, pre-deal employment growth, firm age, industry, and deal year. Acquired ownership stake is the sum of private equity holders’ common-share stakes reported in the shareholder register </w:t>
      </w:r>
      <w:r w:rsidRPr="00952628">
        <w:rPr>
          <w:color w:val="7F7F7F" w:themeColor="text1" w:themeTint="80"/>
          <w:sz w:val="20"/>
        </w:rPr>
        <w:lastRenderedPageBreak/>
        <w:t>for the entry year. The transaction-level percentage-acquired field is not used because it is heavily concentrated at 100 percent.</w:t>
      </w:r>
    </w:p>
    <w:p w:rsidR="00FF4DCD" w:rsidRPr="00952628" w:rsidRDefault="00FF4DCD" w:rsidP="00EB6AAB">
      <w:pPr>
        <w:pStyle w:val="aff3"/>
        <w:wordWrap/>
      </w:pPr>
      <w:r w:rsidRPr="00952628">
        <w:t>Panel B defines sponsor experience as the number of private equity investment events by the same sponsor observed strictly before the focal transaction month within the 379-event treated universe. No later transaction contributes to the experience assigned to an earlier focal event. Fifty-three percent of the events with this measure are the sponsor’s first observed transaction in the treated universe. The correlation between the prior-deal measure and the former full-sample sponsor deal count is 0.74. Because terciles of prior activity are degenerate at zero, the table uses fixed groups of 0, 1–3, and at least 4 prior deals.</w:t>
      </w:r>
    </w:p>
    <w:p w:rsidR="00FF4DCD" w:rsidRPr="00952628" w:rsidRDefault="00FF4DCD" w:rsidP="00EB6AAB">
      <w:pPr>
        <w:pStyle w:val="aff3"/>
        <w:wordWrap/>
      </w:pPr>
      <w:r>
        <w:rPr>
          <w:rFonts w:eastAsia="Times New Roman"/>
        </w:rPr>
        <w:t>The response is not monotonic in prior sponsor activity. Mean responses are 0.1240 [0.0219, 0.2276] for first-observed deals, 0.2749 [0.1369, 0.4128] for one to three prior deals, and 0.1122 [−0.0643, 0.3025] for at least four. The high-activity-minus-first contrast is −0.0118 [−0.2193, 0.2195]; pooling repeat sponsors gives 0.0990 [−0.0565, 0.2498].</w:t>
      </w:r>
      <w:r>
        <w:t xml:space="preserve"> </w:t>
      </w:r>
      <w:r>
        <w:rPr>
          <w:rFonts w:eastAsia="Times New Roman"/>
        </w:rPr>
        <w:t>The observed deals show no monotonic experience gradient. Because the measure covers only transactions in our data, we use it as an ex ante activity measure, not a complete investment history or a proxy for sponsor skill.</w:t>
      </w:r>
    </w:p>
    <w:p w:rsidR="00FF4DCD" w:rsidRPr="00FF4DCD" w:rsidRDefault="00FF4DCD" w:rsidP="00EB6AAB">
      <w:pPr>
        <w:pStyle w:val="3"/>
      </w:pPr>
      <w:r w:rsidRPr="00FF4DCD">
        <w:t>E.2 Common-sample descriptive fit and held-out-event comparison</w:t>
      </w:r>
    </w:p>
    <w:p w:rsidR="00FF4DCD" w:rsidRPr="00FF4DCD" w:rsidRDefault="00FF4DCD" w:rsidP="00EB6AAB">
      <w:pPr>
        <w:pStyle w:val="aff3"/>
        <w:wordWrap/>
      </w:pPr>
      <w:r w:rsidRPr="00FF4DCD">
        <w:t xml:space="preserve">We next compare observable transaction characteristics and the pre-deal hiring state on the same 180 events for which the relevant transaction variables are jointly observed. The transaction-characteristic set consists of the control-transaction indicator, acquired ownership stake, and </w:t>
      </w:r>
      <m:oMath>
        <m:r>
          <m:rPr>
            <m:sty m:val="p"/>
          </m:rPr>
          <w:rPr>
            <w:rFonts w:ascii="Cambria Math" w:hAnsi="Cambria Math"/>
          </w:rPr>
          <m:t>log(</m:t>
        </m:r>
        <m:r>
          <w:rPr>
            <w:rFonts w:ascii="Cambria Math" w:hAnsi="Cambria Math"/>
          </w:rPr>
          <m:t>1</m:t>
        </m:r>
        <m:r>
          <m:rPr>
            <m:sty m:val="p"/>
          </m:rPr>
          <w:rPr>
            <w:rFonts w:ascii="Cambria Math" w:hAnsi="Cambria Math"/>
          </w:rPr>
          <m:t>+</m:t>
        </m:r>
        <m:r>
          <m:rPr>
            <m:nor/>
          </m:rPr>
          <m:t>prior sponsor deal count</m:t>
        </m:r>
        <m:r>
          <m:rPr>
            <m:sty m:val="p"/>
          </m:rPr>
          <w:rPr>
            <w:rFonts w:ascii="Cambria Math" w:hAnsi="Cambria Math"/>
          </w:rPr>
          <m:t>)</m:t>
        </m:r>
      </m:oMath>
      <w:r w:rsidRPr="00FF4DCD">
        <w:t>. The sponsor variable uses only deals observed before the focal transaction.</w:t>
      </w:r>
      <w:r>
        <w:t xml:space="preserve"> </w:t>
      </w:r>
      <w:r w:rsidRPr="00FF4DCD">
        <w:t xml:space="preserve">The comparison is descriptive. In-sample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F4DCD">
        <w:t xml:space="preserve"> measures the fraction of realised cross-event response variation captured by each specification in this common sample. It does not measure causal importance. We also report five-fold held-out-event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F4DCD">
        <w:t>, assigning folds at the event level. This exercise asks whether fit estimated on one subset carries to omitted events in the same observed sample; it is not a temporal forecast of future private equity transactions.</w:t>
      </w:r>
    </w:p>
    <w:p w:rsidR="00FF4DCD" w:rsidRPr="00952628" w:rsidRDefault="00FF4DCD" w:rsidP="00EB6AAB">
      <w:pPr>
        <w:pStyle w:val="aff3"/>
        <w:wordWrap/>
        <w:rPr>
          <w:b/>
        </w:rPr>
      </w:pPr>
      <w:r w:rsidRPr="00952628">
        <w:rPr>
          <w:b/>
        </w:rPr>
        <w:t>Table E2. Transaction characteristics and pre-deal hiring state on a common sample</w:t>
      </w:r>
    </w:p>
    <w:p w:rsidR="00FF4DCD" w:rsidRPr="00FF4DCD" w:rsidRDefault="00FF4DCD" w:rsidP="00EB6AAB">
      <w:pPr>
        <w:pStyle w:val="aff3"/>
        <w:wordWrap/>
      </w:pPr>
      <w:r w:rsidRPr="00FF4DCD">
        <w:rPr>
          <w:b/>
          <w:bCs/>
        </w:rPr>
        <w:t>Panel A. In-sample fit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3345"/>
        <w:gridCol w:w="907"/>
        <w:gridCol w:w="1531"/>
      </w:tblGrid>
      <w:tr w:rsidR="00FF4DCD" w:rsidRPr="00FF4DCD" w:rsidTr="00EB6AAB">
        <w:trPr>
          <w:cantSplit/>
          <w:tblHeader/>
        </w:trPr>
        <w:tc>
          <w:tcPr>
            <w:tcW w:w="3345" w:type="dxa"/>
            <w:vAlign w:val="center"/>
          </w:tcPr>
          <w:p w:rsidR="00FF4DCD" w:rsidRPr="00B474F8" w:rsidRDefault="00FF4DCD" w:rsidP="00EB6AAB">
            <w:pPr>
              <w:wordWrap/>
              <w:jc w:val="left"/>
              <w:rPr>
                <w:b/>
              </w:rPr>
            </w:pPr>
            <w:r w:rsidRPr="00B474F8">
              <w:rPr>
                <w:b/>
                <w:sz w:val="20"/>
              </w:rPr>
              <w:t>Model</w:t>
            </w:r>
          </w:p>
        </w:tc>
        <w:tc>
          <w:tcPr>
            <w:tcW w:w="907" w:type="dxa"/>
            <w:vAlign w:val="center"/>
          </w:tcPr>
          <w:p w:rsidR="00FF4DCD" w:rsidRPr="00B474F8" w:rsidRDefault="00EB6AAB" w:rsidP="00EB6AAB">
            <w:pPr>
              <w:wordWrap/>
              <w:jc w:val="center"/>
              <w:rPr>
                <w:b/>
              </w:rPr>
            </w:pPr>
            <m:oMath>
              <m:sSup>
                <m:sSupPr>
                  <m:ctrlPr>
                    <w:rPr>
                      <w:rFonts w:ascii="Cambria Math" w:hAnsi="Cambria Math"/>
                      <w:b/>
                    </w:rPr>
                  </m:ctrlPr>
                </m:sSupPr>
                <m:e>
                  <m:r>
                    <m:rPr>
                      <m:sty m:val="bi"/>
                    </m:rPr>
                    <w:rPr>
                      <w:rFonts w:ascii="Cambria Math" w:hAnsi="Cambria Math"/>
                    </w:rPr>
                    <m:t>R</m:t>
                  </m:r>
                </m:e>
                <m:sup>
                  <m:r>
                    <m:rPr>
                      <m:sty m:val="bi"/>
                    </m:rPr>
                    <w:rPr>
                      <w:rFonts w:ascii="Cambria Math" w:hAnsi="Cambria Math"/>
                    </w:rPr>
                    <m:t>2</m:t>
                  </m:r>
                </m:sup>
              </m:sSup>
            </m:oMath>
            <w:r w:rsidR="00FF4DCD" w:rsidRPr="00B474F8">
              <w:rPr>
                <w:b/>
                <w:sz w:val="20"/>
              </w:rPr>
              <w:t>​</w:t>
            </w:r>
          </w:p>
        </w:tc>
        <w:tc>
          <w:tcPr>
            <w:tcW w:w="0" w:type="auto"/>
            <w:vAlign w:val="center"/>
          </w:tcPr>
          <w:p w:rsidR="00FF4DCD" w:rsidRPr="00B474F8" w:rsidRDefault="00FF4DCD" w:rsidP="00EB6AAB">
            <w:pPr>
              <w:wordWrap/>
              <w:jc w:val="center"/>
              <w:rPr>
                <w:b/>
              </w:rPr>
            </w:pPr>
            <w:r w:rsidRPr="00B474F8">
              <w:rPr>
                <w:b/>
                <w:sz w:val="20"/>
              </w:rPr>
              <w:t xml:space="preserve">Permutation </w:t>
            </w:r>
            <m:oMath>
              <m:r>
                <m:rPr>
                  <m:sty m:val="bi"/>
                </m:rPr>
                <w:rPr>
                  <w:rFonts w:ascii="Cambria Math" w:hAnsi="Cambria Math"/>
                </w:rPr>
                <m:t>p</m:t>
              </m:r>
            </m:oMath>
          </w:p>
        </w:tc>
      </w:tr>
      <w:tr w:rsidR="00FF4DCD" w:rsidRPr="00FF4DCD" w:rsidTr="00EB6AAB">
        <w:trPr>
          <w:cantSplit/>
        </w:trPr>
        <w:tc>
          <w:tcPr>
            <w:tcW w:w="3345" w:type="dxa"/>
          </w:tcPr>
          <w:p w:rsidR="00FF4DCD" w:rsidRPr="00FF4DCD" w:rsidRDefault="00FF4DCD" w:rsidP="00EB6AAB">
            <w:pPr>
              <w:wordWrap/>
              <w:jc w:val="left"/>
            </w:pPr>
            <w:r w:rsidRPr="00FF4DCD">
              <w:rPr>
                <w:sz w:val="20"/>
              </w:rPr>
              <w:t>Transaction characteristics</w:t>
            </w:r>
          </w:p>
        </w:tc>
        <w:tc>
          <w:tcPr>
            <w:tcW w:w="907" w:type="dxa"/>
          </w:tcPr>
          <w:p w:rsidR="00FF4DCD" w:rsidRPr="00FF4DCD" w:rsidRDefault="00FF4DCD" w:rsidP="00EB6AAB">
            <w:pPr>
              <w:wordWrap/>
              <w:jc w:val="center"/>
            </w:pPr>
            <w:r w:rsidRPr="00FF4DCD">
              <w:rPr>
                <w:sz w:val="20"/>
              </w:rPr>
              <w:t>0.0054</w:t>
            </w:r>
          </w:p>
        </w:tc>
        <w:tc>
          <w:tcPr>
            <w:tcW w:w="0" w:type="auto"/>
          </w:tcPr>
          <w:p w:rsidR="00FF4DCD" w:rsidRPr="00FF4DCD" w:rsidRDefault="00FF4DCD" w:rsidP="00EB6AAB">
            <w:pPr>
              <w:wordWrap/>
              <w:jc w:val="center"/>
            </w:pPr>
            <w:r w:rsidRPr="00FF4DCD">
              <w:rPr>
                <w:sz w:val="20"/>
              </w:rPr>
              <w:t>0.814</w:t>
            </w:r>
          </w:p>
        </w:tc>
      </w:tr>
      <w:tr w:rsidR="00FF4DCD" w:rsidRPr="00FF4DCD" w:rsidTr="00EB6AAB">
        <w:trPr>
          <w:cantSplit/>
        </w:trPr>
        <w:tc>
          <w:tcPr>
            <w:tcW w:w="3345" w:type="dxa"/>
          </w:tcPr>
          <w:p w:rsidR="00FF4DCD" w:rsidRPr="00FF4DCD" w:rsidRDefault="00FF4DCD" w:rsidP="00EB6AAB">
            <w:pPr>
              <w:wordWrap/>
              <w:jc w:val="left"/>
            </w:pPr>
            <w:r w:rsidRPr="00FF4DCD">
              <w:rPr>
                <w:sz w:val="20"/>
              </w:rPr>
              <w:lastRenderedPageBreak/>
              <w:t>Pre-deal hiring state</w:t>
            </w:r>
          </w:p>
        </w:tc>
        <w:tc>
          <w:tcPr>
            <w:tcW w:w="907" w:type="dxa"/>
          </w:tcPr>
          <w:p w:rsidR="00FF4DCD" w:rsidRPr="00FF4DCD" w:rsidRDefault="00FF4DCD" w:rsidP="00EB6AAB">
            <w:pPr>
              <w:wordWrap/>
              <w:jc w:val="center"/>
            </w:pPr>
            <w:r w:rsidRPr="00FF4DCD">
              <w:rPr>
                <w:sz w:val="20"/>
              </w:rPr>
              <w:t>0.0286</w:t>
            </w:r>
          </w:p>
        </w:tc>
        <w:tc>
          <w:tcPr>
            <w:tcW w:w="0" w:type="auto"/>
          </w:tcPr>
          <w:p w:rsidR="00FF4DCD" w:rsidRPr="00FF4DCD" w:rsidRDefault="00FF4DCD" w:rsidP="00EB6AAB">
            <w:pPr>
              <w:wordWrap/>
              <w:jc w:val="center"/>
            </w:pPr>
            <w:r w:rsidRPr="00FF4DCD">
              <w:rPr>
                <w:sz w:val="20"/>
              </w:rPr>
              <w:t>0.0220</w:t>
            </w:r>
          </w:p>
        </w:tc>
      </w:tr>
      <w:tr w:rsidR="00FF4DCD" w:rsidRPr="00FF4DCD" w:rsidTr="00EB6AAB">
        <w:trPr>
          <w:cantSplit/>
        </w:trPr>
        <w:tc>
          <w:tcPr>
            <w:tcW w:w="3345" w:type="dxa"/>
          </w:tcPr>
          <w:p w:rsidR="00FF4DCD" w:rsidRPr="00FF4DCD" w:rsidRDefault="00FF4DCD" w:rsidP="00EB6AAB">
            <w:pPr>
              <w:wordWrap/>
              <w:jc w:val="left"/>
            </w:pPr>
            <w:r w:rsidRPr="00FF4DCD">
              <w:rPr>
                <w:sz w:val="20"/>
              </w:rPr>
              <w:t>Transaction characteristics and state</w:t>
            </w:r>
          </w:p>
        </w:tc>
        <w:tc>
          <w:tcPr>
            <w:tcW w:w="907" w:type="dxa"/>
          </w:tcPr>
          <w:p w:rsidR="00FF4DCD" w:rsidRPr="00FF4DCD" w:rsidRDefault="00FF4DCD" w:rsidP="00EB6AAB">
            <w:pPr>
              <w:wordWrap/>
              <w:jc w:val="center"/>
            </w:pPr>
            <w:r w:rsidRPr="00FF4DCD">
              <w:rPr>
                <w:sz w:val="20"/>
              </w:rPr>
              <w:t>0.0311</w:t>
            </w:r>
          </w:p>
        </w:tc>
        <w:tc>
          <w:tcPr>
            <w:tcW w:w="0" w:type="auto"/>
          </w:tcPr>
          <w:p w:rsidR="00FF4DCD" w:rsidRPr="00FF4DCD" w:rsidRDefault="00FF4DCD" w:rsidP="00EB6AAB">
            <w:pPr>
              <w:wordWrap/>
              <w:jc w:val="center"/>
            </w:pPr>
            <w:r w:rsidRPr="00FF4DCD">
              <w:rPr>
                <w:sz w:val="20"/>
              </w:rPr>
              <w:t>—</w:t>
            </w:r>
          </w:p>
        </w:tc>
      </w:tr>
    </w:tbl>
    <w:p w:rsidR="00FF4DCD" w:rsidRPr="00FF4DCD" w:rsidRDefault="00FF4DCD" w:rsidP="00EB6AAB">
      <w:pPr>
        <w:pStyle w:val="aff3"/>
        <w:wordWrap/>
      </w:pPr>
      <w:r w:rsidRPr="00FF4DCD">
        <w:rPr>
          <w:b/>
          <w:bCs/>
        </w:rPr>
        <w:t>Panel B. Five-fold held-out-event fit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3628"/>
        <w:gridCol w:w="2721"/>
      </w:tblGrid>
      <w:tr w:rsidR="00FF4DCD" w:rsidRPr="00FF4DCD" w:rsidTr="00EB6AAB">
        <w:trPr>
          <w:cantSplit/>
          <w:tblHeader/>
        </w:trPr>
        <w:tc>
          <w:tcPr>
            <w:tcW w:w="3628" w:type="dxa"/>
            <w:vAlign w:val="center"/>
          </w:tcPr>
          <w:p w:rsidR="00FF4DCD" w:rsidRPr="00B474F8" w:rsidRDefault="00FF4DCD" w:rsidP="00EB6AAB">
            <w:pPr>
              <w:wordWrap/>
              <w:rPr>
                <w:b/>
              </w:rPr>
            </w:pPr>
            <w:r w:rsidRPr="00B474F8">
              <w:rPr>
                <w:b/>
              </w:rPr>
              <w:t>Model</w:t>
            </w:r>
          </w:p>
        </w:tc>
        <w:tc>
          <w:tcPr>
            <w:tcW w:w="2721" w:type="dxa"/>
            <w:vAlign w:val="center"/>
          </w:tcPr>
          <w:p w:rsidR="00FF4DCD" w:rsidRPr="00B474F8" w:rsidRDefault="00FF4DCD" w:rsidP="00EB6AAB">
            <w:pPr>
              <w:wordWrap/>
              <w:jc w:val="center"/>
              <w:rPr>
                <w:b/>
              </w:rPr>
            </w:pPr>
            <w:r w:rsidRPr="00B474F8">
              <w:rPr>
                <w:b/>
              </w:rPr>
              <w:t xml:space="preserve">Held-out-event </w:t>
            </w:r>
            <m:oMath>
              <m:sSup>
                <m:sSupPr>
                  <m:ctrlPr>
                    <w:rPr>
                      <w:rFonts w:ascii="Cambria Math" w:hAnsi="Cambria Math"/>
                      <w:b/>
                    </w:rPr>
                  </m:ctrlPr>
                </m:sSupPr>
                <m:e>
                  <m:r>
                    <m:rPr>
                      <m:sty m:val="bi"/>
                    </m:rPr>
                    <w:rPr>
                      <w:rFonts w:ascii="Cambria Math" w:hAnsi="Cambria Math"/>
                    </w:rPr>
                    <m:t>R</m:t>
                  </m:r>
                </m:e>
                <m:sup>
                  <m:r>
                    <m:rPr>
                      <m:sty m:val="bi"/>
                    </m:rPr>
                    <w:rPr>
                      <w:rFonts w:ascii="Cambria Math" w:hAnsi="Cambria Math"/>
                    </w:rPr>
                    <m:t>2</m:t>
                  </m:r>
                </m:sup>
              </m:sSup>
            </m:oMath>
          </w:p>
        </w:tc>
      </w:tr>
      <w:tr w:rsidR="00FF4DCD" w:rsidRPr="00FF4DCD" w:rsidTr="00EB6AAB">
        <w:trPr>
          <w:cantSplit/>
        </w:trPr>
        <w:tc>
          <w:tcPr>
            <w:tcW w:w="3628" w:type="dxa"/>
          </w:tcPr>
          <w:p w:rsidR="00FF4DCD" w:rsidRPr="00FF4DCD" w:rsidRDefault="00FF4DCD" w:rsidP="00EB6AAB">
            <w:pPr>
              <w:wordWrap/>
            </w:pPr>
            <w:r w:rsidRPr="00FF4DCD">
              <w:t>Transaction characteristics</w:t>
            </w:r>
          </w:p>
        </w:tc>
        <w:tc>
          <w:tcPr>
            <w:tcW w:w="2721" w:type="dxa"/>
          </w:tcPr>
          <w:p w:rsidR="00FF4DCD" w:rsidRPr="00FF4DCD" w:rsidRDefault="00FF4DCD" w:rsidP="00EB6AAB">
            <w:pPr>
              <w:wordWrap/>
              <w:jc w:val="center"/>
            </w:pPr>
            <w:r w:rsidRPr="00FF4DCD">
              <w:t>−0.0454</w:t>
            </w:r>
          </w:p>
        </w:tc>
      </w:tr>
      <w:tr w:rsidR="00FF4DCD" w:rsidRPr="00FF4DCD" w:rsidTr="00EB6AAB">
        <w:trPr>
          <w:cantSplit/>
        </w:trPr>
        <w:tc>
          <w:tcPr>
            <w:tcW w:w="3628" w:type="dxa"/>
          </w:tcPr>
          <w:p w:rsidR="00FF4DCD" w:rsidRPr="00FF4DCD" w:rsidRDefault="00FF4DCD" w:rsidP="00EB6AAB">
            <w:pPr>
              <w:wordWrap/>
            </w:pPr>
            <w:r w:rsidRPr="00FF4DCD">
              <w:t>Pre-deal hiring state</w:t>
            </w:r>
          </w:p>
        </w:tc>
        <w:tc>
          <w:tcPr>
            <w:tcW w:w="2721" w:type="dxa"/>
          </w:tcPr>
          <w:p w:rsidR="00FF4DCD" w:rsidRPr="00FF4DCD" w:rsidRDefault="00FF4DCD" w:rsidP="00EB6AAB">
            <w:pPr>
              <w:wordWrap/>
              <w:jc w:val="center"/>
            </w:pPr>
            <w:r w:rsidRPr="00FF4DCD">
              <w:t>−0.0168</w:t>
            </w:r>
          </w:p>
        </w:tc>
      </w:tr>
      <w:tr w:rsidR="00FF4DCD" w:rsidRPr="00FF4DCD" w:rsidTr="00EB6AAB">
        <w:trPr>
          <w:cantSplit/>
        </w:trPr>
        <w:tc>
          <w:tcPr>
            <w:tcW w:w="3628" w:type="dxa"/>
          </w:tcPr>
          <w:p w:rsidR="00FF4DCD" w:rsidRPr="00FF4DCD" w:rsidRDefault="00FF4DCD" w:rsidP="00EB6AAB">
            <w:pPr>
              <w:wordWrap/>
            </w:pPr>
            <w:r w:rsidRPr="00FF4DCD">
              <w:t>Transaction characteristics and state</w:t>
            </w:r>
          </w:p>
        </w:tc>
        <w:tc>
          <w:tcPr>
            <w:tcW w:w="2721" w:type="dxa"/>
          </w:tcPr>
          <w:p w:rsidR="00FF4DCD" w:rsidRPr="00FF4DCD" w:rsidRDefault="00FF4DCD" w:rsidP="00EB6AAB">
            <w:pPr>
              <w:wordWrap/>
              <w:jc w:val="center"/>
            </w:pPr>
            <w:r w:rsidRPr="00FF4DCD">
              <w:t>−0.0534</w:t>
            </w:r>
          </w:p>
        </w:tc>
      </w:tr>
      <w:tr w:rsidR="00FF4DCD" w:rsidRPr="00FF4DCD" w:rsidTr="00EB6AAB">
        <w:trPr>
          <w:cantSplit/>
        </w:trPr>
        <w:tc>
          <w:tcPr>
            <w:tcW w:w="3628" w:type="dxa"/>
          </w:tcPr>
          <w:p w:rsidR="00FF4DCD" w:rsidRPr="00FF4DCD" w:rsidRDefault="00FF4DCD" w:rsidP="00EB6AAB">
            <w:pPr>
              <w:wordWrap/>
            </w:pPr>
            <w:r w:rsidRPr="00FF4DCD">
              <w:t xml:space="preserve">State − transaction-characteristic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c>
          <w:tcPr>
            <w:tcW w:w="2721" w:type="dxa"/>
          </w:tcPr>
          <w:p w:rsidR="00FF4DCD" w:rsidRPr="00FF4DCD" w:rsidRDefault="00FF4DCD" w:rsidP="00EB6AAB">
            <w:pPr>
              <w:wordWrap/>
              <w:jc w:val="center"/>
            </w:pPr>
            <w:r w:rsidRPr="00FF4DCD">
              <w:t>+0.0287 [−0.0280, 0.1148]</w:t>
            </w:r>
          </w:p>
        </w:tc>
      </w:tr>
    </w:tbl>
    <w:p w:rsidR="00FF4DCD" w:rsidRPr="00952628"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common sample contains 180 events. Transaction characteristics are the control-transaction indicator, acquired ownership stake, and log(1 + prior sponsor deal count), where prior sponsor activity uses only transactions preceding the focal event. The permutation probabilities in Panel A use 2,000 random permutations of the transaction-characteristic vectors across events while the state is held fixed. Panel B uses five event-level folds. Negative held-out-event R² indicates worse squared-error performance than the corresponding benchmark prediction for omitted observations. The interval for the state-minus-transaction difference is [−0.0280, 0.1148].</w:t>
      </w:r>
    </w:p>
    <w:p w:rsidR="00FF4DCD" w:rsidRPr="00FF4DCD" w:rsidRDefault="00FF4DCD" w:rsidP="00EB6AAB">
      <w:pPr>
        <w:pStyle w:val="aff3"/>
        <w:wordWrap/>
      </w:pPr>
      <w:r w:rsidRPr="00FF4DCD">
        <w:t xml:space="preserve">Within the 180-event common sample, transaction characteristics explain 0.54 percent of event-level response variation, with a permutation </w:t>
      </w:r>
      <m:oMath>
        <m:r>
          <w:rPr>
            <w:rFonts w:ascii="Cambria Math" w:hAnsi="Cambria Math"/>
          </w:rPr>
          <m:t>p</m:t>
        </m:r>
      </m:oMath>
      <w:r w:rsidRPr="00FF4DCD">
        <w:t xml:space="preserve">-value of 0.814. The pre-deal hiring state alone explains 2.86 percent, with a permutation </w:t>
      </w:r>
      <m:oMath>
        <m:r>
          <w:rPr>
            <w:rFonts w:ascii="Cambria Math" w:hAnsi="Cambria Math"/>
          </w:rPr>
          <m:t>p</m:t>
        </m:r>
      </m:oMath>
      <w:r w:rsidRPr="00FF4DCD">
        <w:t xml:space="preserve">-value of 0.0220. Including both produces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F4DCD">
        <w:t xml:space="preserve"> of 0.0311. These quantities describe realised in-sample association and do not rank the causal importance of target condition and transaction characteristics.</w:t>
      </w:r>
      <w:r>
        <w:t xml:space="preserve"> </w:t>
      </w:r>
      <w:r w:rsidRPr="00FF4DCD">
        <w:t xml:space="preserve">None of the specifications performs well on held-out events. The transaction-characteristic model has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F4DCD">
        <w:t xml:space="preserve"> of −0.0454, the state model −0.0168, and the combined model −0.0534. The state-minus-transaction difference is 0.0287 [−0.0280, 0.1148]. The interval does not establish a held-out advantage for either specification.</w:t>
      </w:r>
      <w:r>
        <w:t xml:space="preserve"> </w:t>
      </w:r>
      <w:r>
        <w:rPr>
          <w:rFonts w:eastAsia="Times New Roman"/>
        </w:rPr>
        <w:t>We use the state to organise realised heterogeneity, not as a validated prediction rule. Its role rests on the within-sample ordering of responses and the untreated counterfactual dynamics, not on forecasting performance for omitted or future transactions.</w:t>
      </w:r>
    </w:p>
    <w:p w:rsidR="00FF4DCD" w:rsidRPr="00FF4DCD" w:rsidRDefault="00FF4DCD" w:rsidP="00EB6AAB">
      <w:pPr>
        <w:pStyle w:val="3"/>
      </w:pPr>
      <w:r w:rsidRPr="00FF4DCD">
        <w:t>E.3 Repeat-deal associations within sponsors</w:t>
      </w:r>
    </w:p>
    <w:p w:rsidR="00FF4DCD" w:rsidRPr="00FF4DCD" w:rsidRDefault="00FF4DCD" w:rsidP="00EB6AAB">
      <w:pPr>
        <w:pStyle w:val="aff3"/>
        <w:wordWrap/>
      </w:pPr>
      <w:r>
        <w:rPr>
          <w:rFonts w:eastAsia="Times New Roman"/>
        </w:rPr>
        <w:t>Sponsor counts depend on the sample. The 379-event treated universe contains 206 sponsor identifiers; the 301-event conventional heterogeneity sample contains 164.</w:t>
      </w:r>
      <w:r>
        <w:t xml:space="preserve"> </w:t>
      </w:r>
      <w:r>
        <w:rPr>
          <w:rFonts w:eastAsia="Times New Roman"/>
        </w:rPr>
        <w:t>For each eligible event, we relate its response to the mean among the same sponsor's other eligible transactions. The leave-one-out coefficient is −0.2675 across 189 events belonging to 54 repeat sponsors.</w:t>
      </w:r>
      <w:r>
        <w:t xml:space="preserve"> </w:t>
      </w:r>
      <w:r>
        <w:rPr>
          <w:rFonts w:eastAsia="Times New Roman"/>
        </w:rPr>
        <w:t xml:space="preserve">This is a within-sponsor association, </w:t>
      </w:r>
      <w:r>
        <w:rPr>
          <w:rFonts w:eastAsia="Times New Roman"/>
        </w:rPr>
        <w:lastRenderedPageBreak/>
        <w:t>not a prediction exercise: the other transactions used in the mean may occur before or after the focal deal.</w:t>
      </w:r>
    </w:p>
    <w:p w:rsidR="00FF4DCD" w:rsidRPr="00952628" w:rsidRDefault="00FF4DCD" w:rsidP="00EB6AAB">
      <w:pPr>
        <w:pStyle w:val="aff3"/>
        <w:wordWrap/>
        <w:rPr>
          <w:b/>
        </w:rPr>
      </w:pPr>
      <w:r w:rsidRPr="00952628">
        <w:rPr>
          <w:b/>
        </w:rPr>
        <w:t>Table E3. Repeat-deal associations within sponsors</w:t>
      </w:r>
    </w:p>
    <w:p w:rsidR="00FF4DCD" w:rsidRPr="00FF4DCD" w:rsidRDefault="00FF4DCD" w:rsidP="00EB6AAB">
      <w:pPr>
        <w:pStyle w:val="aff3"/>
        <w:wordWrap/>
      </w:pPr>
      <w:r w:rsidRPr="00FF4DCD">
        <w:rPr>
          <w:b/>
          <w:bCs/>
        </w:rPr>
        <w:t>Panel A. Leave-one-out within-sponsor association</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3515"/>
        <w:gridCol w:w="2581"/>
      </w:tblGrid>
      <w:tr w:rsidR="00FF4DCD" w:rsidRPr="00FF4DCD" w:rsidTr="00EB6AAB">
        <w:trPr>
          <w:cantSplit/>
          <w:tblHeader/>
        </w:trPr>
        <w:tc>
          <w:tcPr>
            <w:tcW w:w="3515" w:type="dxa"/>
            <w:vAlign w:val="center"/>
          </w:tcPr>
          <w:p w:rsidR="00FF4DCD" w:rsidRPr="00B474F8" w:rsidRDefault="00FF4DCD" w:rsidP="00EB6AAB">
            <w:pPr>
              <w:wordWrap/>
              <w:rPr>
                <w:b/>
              </w:rPr>
            </w:pPr>
            <w:r w:rsidRPr="00B474F8">
              <w:rPr>
                <w:b/>
              </w:rPr>
              <w:t>Specification</w:t>
            </w:r>
          </w:p>
        </w:tc>
        <w:tc>
          <w:tcPr>
            <w:tcW w:w="0" w:type="auto"/>
            <w:vAlign w:val="center"/>
          </w:tcPr>
          <w:p w:rsidR="00FF4DCD" w:rsidRPr="00B474F8" w:rsidRDefault="00FF4DCD" w:rsidP="00EB6AAB">
            <w:pPr>
              <w:wordWrap/>
              <w:rPr>
                <w:b/>
              </w:rPr>
            </w:pPr>
            <w:r w:rsidRPr="00B474F8">
              <w:rPr>
                <w:b/>
              </w:rPr>
              <w:t>Leave-one-out coefficient</w:t>
            </w:r>
          </w:p>
        </w:tc>
      </w:tr>
      <w:tr w:rsidR="00FF4DCD" w:rsidRPr="00FF4DCD" w:rsidTr="00EB6AAB">
        <w:trPr>
          <w:cantSplit/>
        </w:trPr>
        <w:tc>
          <w:tcPr>
            <w:tcW w:w="3515" w:type="dxa"/>
          </w:tcPr>
          <w:p w:rsidR="00FF4DCD" w:rsidRPr="00FF4DCD" w:rsidRDefault="00FF4DCD" w:rsidP="00EB6AAB">
            <w:pPr>
              <w:wordWrap/>
            </w:pPr>
            <w:r w:rsidRPr="00FF4DCD">
              <w:t>Baseline sponsor leave-one-out</w:t>
            </w:r>
          </w:p>
        </w:tc>
        <w:tc>
          <w:tcPr>
            <w:tcW w:w="0" w:type="auto"/>
          </w:tcPr>
          <w:p w:rsidR="00FF4DCD" w:rsidRPr="00FF4DCD" w:rsidRDefault="00FF4DCD" w:rsidP="00EB6AAB">
            <w:pPr>
              <w:wordWrap/>
            </w:pPr>
            <w:r w:rsidRPr="00FF4DCD">
              <w:t>−0.2675</w:t>
            </w:r>
          </w:p>
        </w:tc>
      </w:tr>
      <w:tr w:rsidR="00FF4DCD" w:rsidRPr="00FF4DCD" w:rsidTr="00EB6AAB">
        <w:trPr>
          <w:cantSplit/>
        </w:trPr>
        <w:tc>
          <w:tcPr>
            <w:tcW w:w="3515" w:type="dxa"/>
          </w:tcPr>
          <w:p w:rsidR="00FF4DCD" w:rsidRPr="00FF4DCD" w:rsidRDefault="00FF4DCD" w:rsidP="00EB6AAB">
            <w:pPr>
              <w:wordWrap/>
            </w:pPr>
            <w:r w:rsidRPr="00FF4DCD">
              <w:t>Outcome winsorised at 1/99</w:t>
            </w:r>
          </w:p>
        </w:tc>
        <w:tc>
          <w:tcPr>
            <w:tcW w:w="0" w:type="auto"/>
          </w:tcPr>
          <w:p w:rsidR="00FF4DCD" w:rsidRPr="00FF4DCD" w:rsidRDefault="00FF4DCD" w:rsidP="00EB6AAB">
            <w:pPr>
              <w:wordWrap/>
            </w:pPr>
            <w:r w:rsidRPr="00FF4DCD">
              <w:t>−0.2659</w:t>
            </w:r>
          </w:p>
        </w:tc>
      </w:tr>
      <w:tr w:rsidR="00FF4DCD" w:rsidRPr="00FF4DCD" w:rsidTr="00EB6AAB">
        <w:trPr>
          <w:cantSplit/>
        </w:trPr>
        <w:tc>
          <w:tcPr>
            <w:tcW w:w="3515" w:type="dxa"/>
          </w:tcPr>
          <w:p w:rsidR="00FF4DCD" w:rsidRPr="00FF4DCD" w:rsidRDefault="00FF4DCD" w:rsidP="00EB6AAB">
            <w:pPr>
              <w:wordWrap/>
            </w:pPr>
            <w:r w:rsidRPr="00FF4DCD">
              <w:t>Outcome winsorised at 5/95</w:t>
            </w:r>
          </w:p>
        </w:tc>
        <w:tc>
          <w:tcPr>
            <w:tcW w:w="0" w:type="auto"/>
          </w:tcPr>
          <w:p w:rsidR="00FF4DCD" w:rsidRPr="00FF4DCD" w:rsidRDefault="00FF4DCD" w:rsidP="00EB6AAB">
            <w:pPr>
              <w:wordWrap/>
            </w:pPr>
            <w:r w:rsidRPr="00FF4DCD">
              <w:t>−0.2387</w:t>
            </w:r>
          </w:p>
        </w:tc>
      </w:tr>
      <w:tr w:rsidR="00FF4DCD" w:rsidRPr="00FF4DCD" w:rsidTr="00EB6AAB">
        <w:trPr>
          <w:cantSplit/>
        </w:trPr>
        <w:tc>
          <w:tcPr>
            <w:tcW w:w="3515" w:type="dxa"/>
          </w:tcPr>
          <w:p w:rsidR="00FF4DCD" w:rsidRPr="00FF4DCD" w:rsidRDefault="00FF4DCD" w:rsidP="00EB6AAB">
            <w:pPr>
              <w:wordWrap/>
            </w:pPr>
            <w:r w:rsidRPr="00FF4DCD">
              <w:t>Drop five most influential events</w:t>
            </w:r>
          </w:p>
        </w:tc>
        <w:tc>
          <w:tcPr>
            <w:tcW w:w="0" w:type="auto"/>
          </w:tcPr>
          <w:p w:rsidR="00FF4DCD" w:rsidRPr="00FF4DCD" w:rsidRDefault="00FF4DCD" w:rsidP="00EB6AAB">
            <w:pPr>
              <w:wordWrap/>
            </w:pPr>
            <w:r w:rsidRPr="00FF4DCD">
              <w:t>−0.1751</w:t>
            </w:r>
          </w:p>
        </w:tc>
      </w:tr>
      <w:tr w:rsidR="00FF4DCD" w:rsidRPr="00FF4DCD" w:rsidTr="00EB6AAB">
        <w:trPr>
          <w:cantSplit/>
        </w:trPr>
        <w:tc>
          <w:tcPr>
            <w:tcW w:w="3515" w:type="dxa"/>
          </w:tcPr>
          <w:p w:rsidR="00FF4DCD" w:rsidRPr="00FF4DCD" w:rsidRDefault="00FF4DCD" w:rsidP="00EB6AAB">
            <w:pPr>
              <w:wordWrap/>
            </w:pPr>
            <w:r w:rsidRPr="00FF4DCD">
              <w:t>Covariate-adjusted response</w:t>
            </w:r>
          </w:p>
        </w:tc>
        <w:tc>
          <w:tcPr>
            <w:tcW w:w="0" w:type="auto"/>
          </w:tcPr>
          <w:p w:rsidR="00FF4DCD" w:rsidRPr="00FF4DCD" w:rsidRDefault="00FF4DCD" w:rsidP="00EB6AAB">
            <w:pPr>
              <w:wordWrap/>
            </w:pPr>
            <w:r w:rsidRPr="00FF4DCD">
              <w:t>−0.2496</w:t>
            </w:r>
          </w:p>
        </w:tc>
      </w:tr>
    </w:tbl>
    <w:p w:rsidR="00FF4DCD" w:rsidRPr="00FF4DCD" w:rsidRDefault="00FF4DCD" w:rsidP="00EB6AAB">
      <w:pPr>
        <w:pStyle w:val="aff3"/>
        <w:wordWrap/>
      </w:pPr>
      <w:r w:rsidRPr="00FF4DCD">
        <w:rPr>
          <w:b/>
          <w:bCs/>
        </w:rPr>
        <w:t>Panel B. Sponsor fixed-effect variance share</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3515"/>
        <w:gridCol w:w="907"/>
      </w:tblGrid>
      <w:tr w:rsidR="00FF4DCD" w:rsidRPr="00FF4DCD" w:rsidTr="00EB6AAB">
        <w:trPr>
          <w:cantSplit/>
          <w:tblHeader/>
        </w:trPr>
        <w:tc>
          <w:tcPr>
            <w:tcW w:w="3515" w:type="dxa"/>
            <w:vAlign w:val="center"/>
          </w:tcPr>
          <w:p w:rsidR="00FF4DCD" w:rsidRPr="00B474F8" w:rsidRDefault="00FF4DCD" w:rsidP="00EB6AAB">
            <w:pPr>
              <w:wordWrap/>
              <w:rPr>
                <w:b/>
              </w:rPr>
            </w:pPr>
            <w:r w:rsidRPr="00B474F8">
              <w:rPr>
                <w:b/>
              </w:rPr>
              <w:t>Statistic</w:t>
            </w:r>
          </w:p>
        </w:tc>
        <w:tc>
          <w:tcPr>
            <w:tcW w:w="907" w:type="dxa"/>
            <w:vAlign w:val="center"/>
          </w:tcPr>
          <w:p w:rsidR="00FF4DCD" w:rsidRPr="00B474F8" w:rsidRDefault="00FF4DCD" w:rsidP="00EB6AAB">
            <w:pPr>
              <w:wordWrap/>
              <w:jc w:val="center"/>
              <w:rPr>
                <w:b/>
              </w:rPr>
            </w:pPr>
            <w:r w:rsidRPr="00B474F8">
              <w:rPr>
                <w:b/>
              </w:rPr>
              <w:t>Value</w:t>
            </w:r>
          </w:p>
        </w:tc>
      </w:tr>
      <w:tr w:rsidR="00FF4DCD" w:rsidRPr="00FF4DCD" w:rsidTr="00EB6AAB">
        <w:trPr>
          <w:cantSplit/>
        </w:trPr>
        <w:tc>
          <w:tcPr>
            <w:tcW w:w="3515" w:type="dxa"/>
          </w:tcPr>
          <w:p w:rsidR="00FF4DCD" w:rsidRPr="00FF4DCD" w:rsidRDefault="00FF4DCD" w:rsidP="00EB6AAB">
            <w:pPr>
              <w:wordWrap/>
            </w:pPr>
            <w:r w:rsidRPr="00FF4DCD">
              <w:t>Observed sponsor fixed-effect share</w:t>
            </w:r>
          </w:p>
        </w:tc>
        <w:tc>
          <w:tcPr>
            <w:tcW w:w="907" w:type="dxa"/>
            <w:vAlign w:val="center"/>
          </w:tcPr>
          <w:p w:rsidR="00FF4DCD" w:rsidRPr="00FF4DCD" w:rsidRDefault="00FF4DCD" w:rsidP="00EB6AAB">
            <w:pPr>
              <w:wordWrap/>
              <w:jc w:val="center"/>
            </w:pPr>
            <w:r w:rsidRPr="00FF4DCD">
              <w:t>0.2875</w:t>
            </w:r>
          </w:p>
        </w:tc>
      </w:tr>
      <w:tr w:rsidR="00FF4DCD" w:rsidRPr="00FF4DCD" w:rsidTr="00EB6AAB">
        <w:trPr>
          <w:cantSplit/>
        </w:trPr>
        <w:tc>
          <w:tcPr>
            <w:tcW w:w="3515" w:type="dxa"/>
          </w:tcPr>
          <w:p w:rsidR="00FF4DCD" w:rsidRPr="00FF4DCD" w:rsidRDefault="00FF4DCD" w:rsidP="00EB6AAB">
            <w:pPr>
              <w:wordWrap/>
            </w:pPr>
            <w:r w:rsidRPr="00FF4DCD">
              <w:t>Permutation median</w:t>
            </w:r>
          </w:p>
        </w:tc>
        <w:tc>
          <w:tcPr>
            <w:tcW w:w="907" w:type="dxa"/>
            <w:vAlign w:val="center"/>
          </w:tcPr>
          <w:p w:rsidR="00FF4DCD" w:rsidRPr="00FF4DCD" w:rsidRDefault="00FF4DCD" w:rsidP="00EB6AAB">
            <w:pPr>
              <w:wordWrap/>
              <w:jc w:val="center"/>
            </w:pPr>
            <w:r w:rsidRPr="00FF4DCD">
              <w:t>0.2571</w:t>
            </w:r>
          </w:p>
        </w:tc>
      </w:tr>
      <w:tr w:rsidR="00FF4DCD" w:rsidRPr="00FF4DCD" w:rsidTr="00EB6AAB">
        <w:trPr>
          <w:cantSplit/>
        </w:trPr>
        <w:tc>
          <w:tcPr>
            <w:tcW w:w="3515" w:type="dxa"/>
          </w:tcPr>
          <w:p w:rsidR="00FF4DCD" w:rsidRPr="00FF4DCD" w:rsidRDefault="00FF4DCD" w:rsidP="00EB6AAB">
            <w:pPr>
              <w:wordWrap/>
            </w:pPr>
            <w:r w:rsidRPr="00FF4DCD">
              <w:t xml:space="preserve">Permutation </w:t>
            </w:r>
            <m:oMath>
              <m:r>
                <w:rPr>
                  <w:rFonts w:ascii="Cambria Math" w:hAnsi="Cambria Math"/>
                </w:rPr>
                <m:t>p</m:t>
              </m:r>
            </m:oMath>
          </w:p>
        </w:tc>
        <w:tc>
          <w:tcPr>
            <w:tcW w:w="907" w:type="dxa"/>
            <w:vAlign w:val="center"/>
          </w:tcPr>
          <w:p w:rsidR="00FF4DCD" w:rsidRPr="00FF4DCD" w:rsidRDefault="00FF4DCD" w:rsidP="00EB6AAB">
            <w:pPr>
              <w:wordWrap/>
              <w:jc w:val="center"/>
            </w:pPr>
            <w:r w:rsidRPr="00FF4DCD">
              <w:t>0.2605</w:t>
            </w:r>
          </w:p>
        </w:tc>
      </w:tr>
    </w:tbl>
    <w:p w:rsidR="00FF4DCD" w:rsidRPr="00952628"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379-event baseline treated universe contains 206 distinct sponsor identifiers. The 301-event conventional heterogeneity sample used for the response-level sponsor analysis contains 164 sponsor identifiers. Panel A is further restricted to 189 event observations for which the leave-one-out same-sponsor response can be constructed. These observations represent 54 distinct repeat-sponsor identifiers. Other transactions used to form the same-sponsor mean can occur either before or after the focal event, so the coefficient is a within-sponsor association rather than an ex ante forecast.</w:t>
      </w:r>
    </w:p>
    <w:p w:rsidR="00FF4DCD" w:rsidRPr="00FF4DCD" w:rsidRDefault="00FF4DCD" w:rsidP="00EB6AAB">
      <w:pPr>
        <w:pStyle w:val="aff3"/>
        <w:wordWrap/>
        <w:spacing w:before="0"/>
      </w:pPr>
      <w:r>
        <w:t>The influence specification removes the five events with the largest effect on the baseline coefficient. The covariate-adjusted response partials out the pre-deal hiring state, log firm size, pre-deal employment growth, firm age, one-digit industry, and deal year. Business registration numbers are unique across the 379 treated events, so repeated observation of the same target does not generate the sponsor-level association. Panel B is estimated on 213 events associated with 56 sponsors. Its permutation benchmark is generated by 2,000 random reassignments of sponsor labels that preserve the observed sponsor-group sizes.</w:t>
      </w:r>
    </w:p>
    <w:p w:rsidR="00FF4DCD" w:rsidRPr="00FF4DCD" w:rsidRDefault="00FF4DCD" w:rsidP="00EB6AAB">
      <w:pPr>
        <w:pStyle w:val="aff3"/>
        <w:wordWrap/>
        <w:spacing w:before="0"/>
      </w:pPr>
      <w:r>
        <w:rPr>
          <w:rFonts w:eastAsia="Times New Roman"/>
        </w:rPr>
        <w:t xml:space="preserve">The leave-one-out coefficient remains negative across specifications: −0.2659 with 1/99 winsorisation, −0.2387 at 5/95, −0.1751 after removing the five most influential events, and −0.2496 after covariate </w:t>
      </w:r>
      <w:r>
        <w:rPr>
          <w:rFonts w:eastAsia="Times New Roman"/>
        </w:rPr>
        <w:lastRenderedPageBreak/>
        <w:t>adjustment. Limited repeat-deal support precludes an economic interpretation of the sign.</w:t>
      </w:r>
      <w:r>
        <w:t xml:space="preserve"> </w:t>
      </w:r>
      <w:r w:rsidRPr="00FF4DCD">
        <w:t xml:space="preserve">The observed sponsor fixed-effect variance share is 0.2875, compared with a permutation median of 0.2571. The corresponding permutation </w:t>
      </w:r>
      <m:oMath>
        <m:r>
          <w:rPr>
            <w:rFonts w:ascii="Cambria Math" w:hAnsi="Cambria Math"/>
          </w:rPr>
          <m:t>p</m:t>
        </m:r>
      </m:oMath>
      <w:r w:rsidRPr="00FF4DCD">
        <w:t>-value is 0.2605. The observed sponsor-level variation is not unusual relative to this benchmark.</w:t>
      </w:r>
      <w:r>
        <w:t xml:space="preserve"> </w:t>
      </w:r>
      <w:r>
        <w:rPr>
          <w:rFonts w:eastAsia="Times New Roman"/>
        </w:rPr>
        <w:t>The exercise does not imply that sponsor identity is economically irrelevant. It shows only that the eligible repeat deals do not reveal a stable positive same-sponsor association. The 206 sponsors in the broader universe are not 206 independent repeat-sponsor groups; the useful repeat-deal sample is much narrower.</w:t>
      </w:r>
    </w:p>
    <w:p w:rsidR="00FF4DCD" w:rsidRPr="00FF4DCD" w:rsidRDefault="00FF4DCD" w:rsidP="00EB6AAB">
      <w:pPr>
        <w:pStyle w:val="3"/>
      </w:pPr>
      <w:r w:rsidRPr="00FF4DCD">
        <w:t>Appendix F. Supplementary worker earnings and firm outcomes</w:t>
      </w:r>
    </w:p>
    <w:p w:rsidR="00FF4DCD" w:rsidRPr="00FF4DCD" w:rsidRDefault="00FF4DCD" w:rsidP="00EB6AAB">
      <w:pPr>
        <w:pStyle w:val="aff3"/>
        <w:wordWrap/>
      </w:pPr>
      <w:r>
        <w:rPr>
          <w:rFonts w:eastAsia="Times New Roman"/>
        </w:rPr>
        <w:t>This appendix adds earnings and firm outcomes to the average worker-inflow and employment comparisons. Coverage differs sharply: pension earnings are relatively broad, while audited statements select a smaller set of larger firms. We treat the estimates as supplementary matched comparisons, not mechanism tests or results that automatically extend to the 286-event gradient sample.</w:t>
      </w:r>
    </w:p>
    <w:p w:rsidR="00FF4DCD" w:rsidRPr="00FF4DCD" w:rsidRDefault="00FF4DCD" w:rsidP="00EB6AAB">
      <w:pPr>
        <w:pStyle w:val="3"/>
      </w:pPr>
      <w:r w:rsidRPr="00FF4DCD">
        <w:t>F.1 Pensionable earnings</w:t>
      </w:r>
    </w:p>
    <w:p w:rsidR="00FF4DCD" w:rsidRPr="00FF4DCD" w:rsidRDefault="00FF4DCD" w:rsidP="00EB6AAB">
      <w:pPr>
        <w:pStyle w:val="aff3"/>
        <w:wordWrap/>
      </w:pPr>
      <w:r>
        <w:rPr>
          <w:rFonts w:eastAsia="Times New Roman"/>
        </w:rPr>
        <w:t>The National Pension contribution base is bounded by statute, so it measures pensionable earnings rather than total compensation.</w:t>
      </w:r>
      <w:r>
        <w:t xml:space="preserve"> </w:t>
      </w:r>
      <w:r>
        <w:rPr>
          <w:rFonts w:eastAsia="Times New Roman"/>
        </w:rPr>
        <w:t>Across 346 events, pensionable earnings per insured worker rise by 0.0096 log points relative to matched controls [0.0039, 0.0154], a small increase alongside the average gains in employment and worker inflows.</w:t>
      </w:r>
    </w:p>
    <w:p w:rsidR="00FF4DCD" w:rsidRPr="00FF4DCD" w:rsidRDefault="00FF4DCD" w:rsidP="00EB6AAB">
      <w:pPr>
        <w:pStyle w:val="aff3"/>
        <w:wordWrap/>
      </w:pPr>
      <w:r w:rsidRPr="00FF4DCD">
        <w:t>We also construct a payroll-based earnings measure associated with added employment. The measure is defined as</w:t>
      </w:r>
    </w:p>
    <w:p w:rsidR="00FF4DCD" w:rsidRPr="00FF4DCD" w:rsidRDefault="00EB6AAB" w:rsidP="00EB6AAB">
      <w:pPr>
        <w:pStyle w:val="aff3"/>
        <w:wordWrap/>
      </w:pPr>
      <m:oMathPara>
        <m:oMathParaPr>
          <m:jc m:val="center"/>
        </m:oMathParaPr>
        <m:oMath>
          <m:sSub>
            <m:sSubPr>
              <m:ctrlPr>
                <w:rPr>
                  <w:rFonts w:ascii="Cambria Math" w:hAnsi="Cambria Math"/>
                </w:rPr>
              </m:ctrlPr>
            </m:sSubPr>
            <m:e>
              <m:r>
                <m:rPr>
                  <m:nor/>
                </m:rPr>
                <m:t>AE</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post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pre</m:t>
                      </m:r>
                    </m:sup>
                  </m:sSubSup>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m:t>
                  </m:r>
                </m:sub>
              </m:sSub>
            </m:num>
            <m:den>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pre</m:t>
                  </m:r>
                </m:sup>
              </m:sSubSup>
            </m:den>
          </m:f>
          <m:r>
            <m:rPr>
              <m:sty m:val="p"/>
            </m:rPr>
            <w:rPr>
              <w:rFonts w:ascii="Cambria Math" w:hAnsi="Cambria Math"/>
            </w:rPr>
            <m:t>.</m:t>
          </m:r>
        </m:oMath>
      </m:oMathPara>
    </w:p>
    <w:p w:rsidR="00FF4DCD" w:rsidRPr="00FF4DCD" w:rsidRDefault="00FF4DCD" w:rsidP="00EB6AAB">
      <w:pPr>
        <w:pStyle w:val="aff3"/>
        <w:wordWrap/>
      </w:pPr>
      <w:r>
        <w:t xml:space="preserve">Here,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pre</m:t>
            </m:r>
          </m:sup>
        </m:sSubSup>
      </m:oMath>
      <w:r>
        <w:t xml:space="preserve"> is total NPS contribution-base payroll over months −12 through −1,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post</m:t>
            </m:r>
          </m:sup>
        </m:sSubSup>
      </m:oMath>
      <w:r>
        <w:t xml:space="preserve"> is total contribution-base payroll over months +1 through +12,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change in window-mean insured employment between those periods, and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pre</m:t>
            </m:r>
          </m:sup>
        </m:sSubSup>
      </m:oMath>
      <w:r>
        <w:t xml:space="preserve"> provides the pre-window earnings-per-worker normalisation. We retain observations only when insured employment rises by at least two workers and truncate the resulting ratio to [−3, 5]. </w:t>
      </w:r>
      <w:r>
        <w:rPr>
          <w:rFonts w:eastAsia="Times New Roman"/>
        </w:rPr>
        <w:t>Because incumbent earnings also enter the construction, the measure is not the wage of an identified marginal or newly hired worker. We interpret only its treated-minus-control difference.</w:t>
      </w:r>
    </w:p>
    <w:p w:rsidR="00FF4DCD" w:rsidRPr="00952628" w:rsidRDefault="00FF4DCD" w:rsidP="00EB6AAB">
      <w:pPr>
        <w:pStyle w:val="aff3"/>
        <w:wordWrap/>
        <w:rPr>
          <w:b/>
        </w:rPr>
      </w:pPr>
      <w:r w:rsidRPr="00952628">
        <w:rPr>
          <w:b/>
        </w:rPr>
        <w:lastRenderedPageBreak/>
        <w:t>Table F1. Supplementary worker-earnings measures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960"/>
        <w:gridCol w:w="1137"/>
        <w:gridCol w:w="1988"/>
        <w:gridCol w:w="936"/>
      </w:tblGrid>
      <w:tr w:rsidR="00FF4DCD" w:rsidRPr="00FF4DCD" w:rsidTr="00EB6AAB">
        <w:trPr>
          <w:cantSplit/>
          <w:tblHeader/>
        </w:trPr>
        <w:tc>
          <w:tcPr>
            <w:tcW w:w="4949" w:type="dxa"/>
            <w:vAlign w:val="center"/>
          </w:tcPr>
          <w:p w:rsidR="00FF4DCD" w:rsidRPr="00B474F8" w:rsidRDefault="00FF4DCD" w:rsidP="00EB6AAB">
            <w:pPr>
              <w:wordWrap/>
              <w:rPr>
                <w:b/>
              </w:rPr>
            </w:pPr>
            <w:r w:rsidRPr="00B474F8">
              <w:rPr>
                <w:b/>
                <w:sz w:val="20"/>
              </w:rPr>
              <w:t>Outcome</w:t>
            </w:r>
          </w:p>
        </w:tc>
        <w:tc>
          <w:tcPr>
            <w:tcW w:w="1134" w:type="dxa"/>
            <w:vAlign w:val="center"/>
          </w:tcPr>
          <w:p w:rsidR="00FF4DCD" w:rsidRPr="00B474F8" w:rsidRDefault="00FF4DCD" w:rsidP="00EB6AAB">
            <w:pPr>
              <w:wordWrap/>
              <w:jc w:val="center"/>
              <w:rPr>
                <w:b/>
              </w:rPr>
            </w:pPr>
            <w:r w:rsidRPr="00B474F8">
              <w:rPr>
                <w:b/>
                <w:sz w:val="20"/>
              </w:rPr>
              <w:t>Estimate</w:t>
            </w:r>
          </w:p>
        </w:tc>
        <w:tc>
          <w:tcPr>
            <w:tcW w:w="1984" w:type="dxa"/>
            <w:vAlign w:val="center"/>
          </w:tcPr>
          <w:p w:rsidR="00FF4DCD" w:rsidRPr="00B474F8" w:rsidRDefault="00FF4DCD" w:rsidP="00EB6AAB">
            <w:pPr>
              <w:wordWrap/>
              <w:jc w:val="center"/>
              <w:rPr>
                <w:b/>
              </w:rPr>
            </w:pPr>
            <w:r w:rsidRPr="00B474F8">
              <w:rPr>
                <w:b/>
                <w:sz w:val="20"/>
              </w:rPr>
              <w:t>95% CI</w:t>
            </w:r>
          </w:p>
        </w:tc>
        <w:tc>
          <w:tcPr>
            <w:tcW w:w="934" w:type="dxa"/>
            <w:vAlign w:val="center"/>
          </w:tcPr>
          <w:p w:rsidR="00FF4DCD" w:rsidRPr="00B474F8" w:rsidRDefault="00FF4DCD" w:rsidP="00EB6AAB">
            <w:pPr>
              <w:wordWrap/>
              <w:jc w:val="center"/>
              <w:rPr>
                <w:b/>
              </w:rPr>
            </w:pPr>
            <w:r w:rsidRPr="00B474F8">
              <w:rPr>
                <w:b/>
                <w:sz w:val="20"/>
              </w:rPr>
              <w:t>N</w:t>
            </w:r>
          </w:p>
        </w:tc>
      </w:tr>
      <w:tr w:rsidR="00FF4DCD" w:rsidRPr="00FF4DCD" w:rsidTr="00EB6AAB">
        <w:trPr>
          <w:cantSplit/>
        </w:trPr>
        <w:tc>
          <w:tcPr>
            <w:tcW w:w="4949" w:type="dxa"/>
          </w:tcPr>
          <w:p w:rsidR="00FF4DCD" w:rsidRPr="00FF4DCD" w:rsidRDefault="00FF4DCD" w:rsidP="00EB6AAB">
            <w:pPr>
              <w:wordWrap/>
            </w:pPr>
            <w:r w:rsidRPr="00FF4DCD">
              <w:t>Pensionable earnings per insured worker, log</w:t>
            </w:r>
          </w:p>
        </w:tc>
        <w:tc>
          <w:tcPr>
            <w:tcW w:w="1134" w:type="dxa"/>
          </w:tcPr>
          <w:p w:rsidR="00FF4DCD" w:rsidRPr="00FF4DCD" w:rsidRDefault="00FF4DCD" w:rsidP="00EB6AAB">
            <w:pPr>
              <w:wordWrap/>
              <w:jc w:val="center"/>
            </w:pPr>
            <w:r w:rsidRPr="00FF4DCD">
              <w:t>0.0096</w:t>
            </w:r>
          </w:p>
        </w:tc>
        <w:tc>
          <w:tcPr>
            <w:tcW w:w="1984" w:type="dxa"/>
          </w:tcPr>
          <w:p w:rsidR="00FF4DCD" w:rsidRPr="00FF4DCD" w:rsidRDefault="00FF4DCD" w:rsidP="00EB6AAB">
            <w:pPr>
              <w:wordWrap/>
              <w:jc w:val="center"/>
            </w:pPr>
            <w:r w:rsidRPr="00FF4DCD">
              <w:t>[0.0039, 0.0154]</w:t>
            </w:r>
          </w:p>
        </w:tc>
        <w:tc>
          <w:tcPr>
            <w:tcW w:w="934" w:type="dxa"/>
          </w:tcPr>
          <w:p w:rsidR="00FF4DCD" w:rsidRPr="00FF4DCD" w:rsidRDefault="00FF4DCD" w:rsidP="00EB6AAB">
            <w:pPr>
              <w:wordWrap/>
              <w:jc w:val="center"/>
            </w:pPr>
            <w:r w:rsidRPr="00FF4DCD">
              <w:t>346</w:t>
            </w:r>
          </w:p>
        </w:tc>
      </w:tr>
      <w:tr w:rsidR="00FF4DCD" w:rsidRPr="00FF4DCD" w:rsidTr="00EB6AAB">
        <w:trPr>
          <w:cantSplit/>
        </w:trPr>
        <w:tc>
          <w:tcPr>
            <w:tcW w:w="4949" w:type="dxa"/>
          </w:tcPr>
          <w:p w:rsidR="00FF4DCD" w:rsidRPr="00FF4DCD" w:rsidRDefault="00FF4DCD" w:rsidP="00EB6AAB">
            <w:pPr>
              <w:wordWrap/>
            </w:pPr>
            <w:r w:rsidRPr="00FF4DCD">
              <w:t>Payroll-based added-employment earnings measure</w:t>
            </w:r>
          </w:p>
        </w:tc>
        <w:tc>
          <w:tcPr>
            <w:tcW w:w="1134" w:type="dxa"/>
          </w:tcPr>
          <w:p w:rsidR="00FF4DCD" w:rsidRPr="00FF4DCD" w:rsidRDefault="00FF4DCD" w:rsidP="00EB6AAB">
            <w:pPr>
              <w:wordWrap/>
              <w:jc w:val="center"/>
            </w:pPr>
            <w:r w:rsidRPr="00FF4DCD">
              <w:t>0.0086</w:t>
            </w:r>
          </w:p>
        </w:tc>
        <w:tc>
          <w:tcPr>
            <w:tcW w:w="1984" w:type="dxa"/>
          </w:tcPr>
          <w:p w:rsidR="00FF4DCD" w:rsidRPr="00FF4DCD" w:rsidRDefault="00FF4DCD" w:rsidP="00EB6AAB">
            <w:pPr>
              <w:wordWrap/>
              <w:jc w:val="center"/>
            </w:pPr>
            <w:r w:rsidRPr="00FF4DCD">
              <w:t>[−0.1383, 0.1585]</w:t>
            </w:r>
          </w:p>
        </w:tc>
        <w:tc>
          <w:tcPr>
            <w:tcW w:w="934" w:type="dxa"/>
          </w:tcPr>
          <w:p w:rsidR="00FF4DCD" w:rsidRPr="00FF4DCD" w:rsidRDefault="00FF4DCD" w:rsidP="00EB6AAB">
            <w:pPr>
              <w:wordWrap/>
              <w:jc w:val="center"/>
            </w:pPr>
            <w:r w:rsidRPr="00FF4DCD">
              <w:t>182</w:t>
            </w:r>
          </w:p>
        </w:tc>
      </w:tr>
    </w:tbl>
    <w:p w:rsidR="00FF4DCD" w:rsidRPr="00EB6AAB" w:rsidRDefault="00FF4DCD" w:rsidP="00EB6AAB">
      <w:pPr>
        <w:pStyle w:val="aff3"/>
        <w:wordWrap/>
        <w:spacing w:before="0"/>
        <w:jc w:val="left"/>
        <w:rPr>
          <w:color w:val="7F7F7F" w:themeColor="text1" w:themeTint="80"/>
          <w:sz w:val="20"/>
        </w:rPr>
      </w:pPr>
      <w:r w:rsidRPr="00EB6AAB">
        <w:rPr>
          <w:i/>
          <w:color w:val="7F7F7F" w:themeColor="text1" w:themeTint="80"/>
          <w:sz w:val="20"/>
        </w:rPr>
        <w:t>Notes.</w:t>
      </w:r>
      <w:r w:rsidRPr="00EB6AAB">
        <w:rPr>
          <w:color w:val="7F7F7F" w:themeColor="text1" w:themeTint="80"/>
          <w:sz w:val="20"/>
        </w:rPr>
        <w:t xml:space="preserve"> Pensionable earnings are measured using the National Pension contribution base and are subject to the statutory contribution bounds. The payroll-based added-employment measure is defined as </w:t>
      </w:r>
      <m:oMath>
        <m:sSub>
          <m:sSubPr>
            <m:ctrlPr>
              <w:rPr>
                <w:rFonts w:ascii="Cambria Math" w:hAnsi="Cambria Math"/>
                <w:color w:val="7F7F7F" w:themeColor="text1" w:themeTint="80"/>
              </w:rPr>
            </m:ctrlPr>
          </m:sSubPr>
          <m:e>
            <m:r>
              <m:rPr>
                <m:nor/>
              </m:rPr>
              <w:rPr>
                <w:color w:val="7F7F7F" w:themeColor="text1" w:themeTint="80"/>
              </w:rPr>
              <m:t>AE</m:t>
            </m:r>
          </m:e>
          <m:sub>
            <m:r>
              <w:rPr>
                <w:rFonts w:ascii="Cambria Math" w:hAnsi="Cambria Math"/>
                <w:color w:val="7F7F7F" w:themeColor="text1" w:themeTint="80"/>
              </w:rPr>
              <m:t>i</m:t>
            </m:r>
          </m:sub>
        </m:sSub>
        <m:r>
          <m:rPr>
            <m:sty m:val="p"/>
          </m:rPr>
          <w:rPr>
            <w:rFonts w:ascii="Cambria Math" w:hAnsi="Cambria Math"/>
            <w:color w:val="7F7F7F" w:themeColor="text1" w:themeTint="80"/>
          </w:rPr>
          <m:t>=</m:t>
        </m:r>
        <m:d>
          <m:dPr>
            <m:begChr m:val="["/>
            <m:endChr m:val="]"/>
            <m:ctrlPr>
              <w:rPr>
                <w:rFonts w:ascii="Cambria Math" w:hAnsi="Cambria Math"/>
                <w:color w:val="7F7F7F" w:themeColor="text1" w:themeTint="80"/>
              </w:rPr>
            </m:ctrlPr>
          </m:dPr>
          <m:e>
            <m:d>
              <m:dPr>
                <m:ctrlPr>
                  <w:rPr>
                    <w:rFonts w:ascii="Cambria Math" w:hAnsi="Cambria Math"/>
                    <w:color w:val="7F7F7F" w:themeColor="text1" w:themeTint="80"/>
                  </w:rPr>
                </m:ctrlPr>
              </m:dPr>
              <m:e>
                <m:sSubSup>
                  <m:sSubSupPr>
                    <m:ctrlPr>
                      <w:rPr>
                        <w:rFonts w:ascii="Cambria Math" w:hAnsi="Cambria Math"/>
                        <w:color w:val="7F7F7F" w:themeColor="text1" w:themeTint="80"/>
                      </w:rPr>
                    </m:ctrlPr>
                  </m:sSubSupPr>
                  <m:e>
                    <m:r>
                      <w:rPr>
                        <w:rFonts w:ascii="Cambria Math" w:hAnsi="Cambria Math"/>
                        <w:color w:val="7F7F7F" w:themeColor="text1" w:themeTint="80"/>
                      </w:rPr>
                      <m:t>A</m:t>
                    </m:r>
                  </m:e>
                  <m:sub>
                    <m:r>
                      <w:rPr>
                        <w:rFonts w:ascii="Cambria Math" w:hAnsi="Cambria Math"/>
                        <w:color w:val="7F7F7F" w:themeColor="text1" w:themeTint="80"/>
                      </w:rPr>
                      <m:t>i</m:t>
                    </m:r>
                  </m:sub>
                  <m:sup>
                    <m:r>
                      <m:rPr>
                        <m:nor/>
                      </m:rPr>
                      <w:rPr>
                        <w:color w:val="7F7F7F" w:themeColor="text1" w:themeTint="80"/>
                      </w:rPr>
                      <m:t>post</m:t>
                    </m:r>
                  </m:sup>
                </m:sSubSup>
                <m:r>
                  <m:rPr>
                    <m:sty m:val="p"/>
                  </m:rPr>
                  <w:rPr>
                    <w:rFonts w:ascii="Cambria Math" w:hAnsi="Cambria Math"/>
                    <w:color w:val="7F7F7F" w:themeColor="text1" w:themeTint="80"/>
                  </w:rPr>
                  <m:t>-</m:t>
                </m:r>
                <m:sSubSup>
                  <m:sSubSupPr>
                    <m:ctrlPr>
                      <w:rPr>
                        <w:rFonts w:ascii="Cambria Math" w:hAnsi="Cambria Math"/>
                        <w:color w:val="7F7F7F" w:themeColor="text1" w:themeTint="80"/>
                      </w:rPr>
                    </m:ctrlPr>
                  </m:sSubSupPr>
                  <m:e>
                    <m:r>
                      <w:rPr>
                        <w:rFonts w:ascii="Cambria Math" w:hAnsi="Cambria Math"/>
                        <w:color w:val="7F7F7F" w:themeColor="text1" w:themeTint="80"/>
                      </w:rPr>
                      <m:t>A</m:t>
                    </m:r>
                  </m:e>
                  <m:sub>
                    <m:r>
                      <w:rPr>
                        <w:rFonts w:ascii="Cambria Math" w:hAnsi="Cambria Math"/>
                        <w:color w:val="7F7F7F" w:themeColor="text1" w:themeTint="80"/>
                      </w:rPr>
                      <m:t>i</m:t>
                    </m:r>
                  </m:sub>
                  <m:sup>
                    <m:r>
                      <m:rPr>
                        <m:nor/>
                      </m:rPr>
                      <w:rPr>
                        <w:color w:val="7F7F7F" w:themeColor="text1" w:themeTint="80"/>
                      </w:rPr>
                      <m:t>pre</m:t>
                    </m:r>
                  </m:sup>
                </m:sSubSup>
              </m:e>
            </m:d>
            <m:r>
              <m:rPr>
                <m:sty m:val="p"/>
              </m:rPr>
              <w:rPr>
                <w:rFonts w:ascii="Cambria Math" w:hAnsi="Cambria Math"/>
                <w:color w:val="7F7F7F" w:themeColor="text1" w:themeTint="80"/>
              </w:rPr>
              <m:t>/</m:t>
            </m:r>
            <m:r>
              <w:rPr>
                <w:rFonts w:ascii="Cambria Math" w:hAnsi="Cambria Math"/>
                <w:color w:val="7F7F7F" w:themeColor="text1" w:themeTint="80"/>
              </w:rPr>
              <m:t>Δ</m:t>
            </m:r>
            <m:sSub>
              <m:sSubPr>
                <m:ctrlPr>
                  <w:rPr>
                    <w:rFonts w:ascii="Cambria Math" w:hAnsi="Cambria Math"/>
                    <w:color w:val="7F7F7F" w:themeColor="text1" w:themeTint="80"/>
                  </w:rPr>
                </m:ctrlPr>
              </m:sSubPr>
              <m:e>
                <m:r>
                  <w:rPr>
                    <w:rFonts w:ascii="Cambria Math" w:hAnsi="Cambria Math"/>
                    <w:color w:val="7F7F7F" w:themeColor="text1" w:themeTint="80"/>
                  </w:rPr>
                  <m:t>E</m:t>
                </m:r>
              </m:e>
              <m:sub>
                <m:r>
                  <w:rPr>
                    <w:rFonts w:ascii="Cambria Math" w:hAnsi="Cambria Math"/>
                    <w:color w:val="7F7F7F" w:themeColor="text1" w:themeTint="80"/>
                  </w:rPr>
                  <m:t>i</m:t>
                </m:r>
              </m:sub>
            </m:sSub>
          </m:e>
        </m:d>
        <m:r>
          <m:rPr>
            <m:sty m:val="p"/>
          </m:rPr>
          <w:rPr>
            <w:rFonts w:ascii="Cambria Math" w:hAnsi="Cambria Math"/>
            <w:color w:val="7F7F7F" w:themeColor="text1" w:themeTint="80"/>
          </w:rPr>
          <m:t>/</m:t>
        </m:r>
        <m:d>
          <m:dPr>
            <m:ctrlPr>
              <w:rPr>
                <w:rFonts w:ascii="Cambria Math" w:hAnsi="Cambria Math"/>
                <w:color w:val="7F7F7F" w:themeColor="text1" w:themeTint="80"/>
              </w:rPr>
            </m:ctrlPr>
          </m:dPr>
          <m:e>
            <m:sSubSup>
              <m:sSubSupPr>
                <m:ctrlPr>
                  <w:rPr>
                    <w:rFonts w:ascii="Cambria Math" w:hAnsi="Cambria Math"/>
                    <w:color w:val="7F7F7F" w:themeColor="text1" w:themeTint="80"/>
                  </w:rPr>
                </m:ctrlPr>
              </m:sSubSupPr>
              <m:e>
                <m:r>
                  <w:rPr>
                    <w:rFonts w:ascii="Cambria Math" w:hAnsi="Cambria Math"/>
                    <w:color w:val="7F7F7F" w:themeColor="text1" w:themeTint="80"/>
                  </w:rPr>
                  <m:t>A</m:t>
                </m:r>
              </m:e>
              <m:sub>
                <m:r>
                  <w:rPr>
                    <w:rFonts w:ascii="Cambria Math" w:hAnsi="Cambria Math"/>
                    <w:color w:val="7F7F7F" w:themeColor="text1" w:themeTint="80"/>
                  </w:rPr>
                  <m:t>i</m:t>
                </m:r>
              </m:sub>
              <m:sup>
                <m:r>
                  <m:rPr>
                    <m:nor/>
                  </m:rPr>
                  <w:rPr>
                    <w:color w:val="7F7F7F" w:themeColor="text1" w:themeTint="80"/>
                  </w:rPr>
                  <m:t>pre</m:t>
                </m:r>
              </m:sup>
            </m:sSubSup>
            <m:r>
              <m:rPr>
                <m:sty m:val="p"/>
              </m:rPr>
              <w:rPr>
                <w:rFonts w:ascii="Cambria Math" w:hAnsi="Cambria Math"/>
                <w:color w:val="7F7F7F" w:themeColor="text1" w:themeTint="80"/>
              </w:rPr>
              <m:t>/</m:t>
            </m:r>
            <m:sSubSup>
              <m:sSubSupPr>
                <m:ctrlPr>
                  <w:rPr>
                    <w:rFonts w:ascii="Cambria Math" w:hAnsi="Cambria Math"/>
                    <w:color w:val="7F7F7F" w:themeColor="text1" w:themeTint="80"/>
                  </w:rPr>
                </m:ctrlPr>
              </m:sSubSupPr>
              <m:e>
                <m:r>
                  <w:rPr>
                    <w:rFonts w:ascii="Cambria Math" w:hAnsi="Cambria Math"/>
                    <w:color w:val="7F7F7F" w:themeColor="text1" w:themeTint="80"/>
                  </w:rPr>
                  <m:t>E</m:t>
                </m:r>
              </m:e>
              <m:sub>
                <m:r>
                  <w:rPr>
                    <w:rFonts w:ascii="Cambria Math" w:hAnsi="Cambria Math"/>
                    <w:color w:val="7F7F7F" w:themeColor="text1" w:themeTint="80"/>
                  </w:rPr>
                  <m:t>i</m:t>
                </m:r>
              </m:sub>
              <m:sup>
                <m:r>
                  <m:rPr>
                    <m:nor/>
                  </m:rPr>
                  <w:rPr>
                    <w:color w:val="7F7F7F" w:themeColor="text1" w:themeTint="80"/>
                  </w:rPr>
                  <m:t>pre</m:t>
                </m:r>
              </m:sup>
            </m:sSubSup>
          </m:e>
        </m:d>
      </m:oMath>
      <w:r w:rsidRPr="00EB6AAB">
        <w:rPr>
          <w:color w:val="7F7F7F" w:themeColor="text1" w:themeTint="80"/>
          <w:sz w:val="20"/>
        </w:rPr>
        <w:t>. Because changes in incumbent earnings also affect the construction, the second row is not interpreted as the wage of a marginal hire.</w:t>
      </w:r>
    </w:p>
    <w:p w:rsidR="00FF4DCD" w:rsidRPr="00FF4DCD" w:rsidRDefault="00FF4DCD" w:rsidP="00EB6AAB">
      <w:pPr>
        <w:pStyle w:val="aff3"/>
        <w:wordWrap/>
      </w:pPr>
      <w:r>
        <w:rPr>
          <w:rFonts w:eastAsia="Times New Roman"/>
        </w:rPr>
        <w:t>The payroll-based added-employment measure differs by 0.0086 [−0.1383, 0.1585] between treated firms and controls. The interval spans economically meaningful values in both directions and provides little information about earnings attached specifically to added employment.</w:t>
      </w:r>
    </w:p>
    <w:p w:rsidR="00FF4DCD" w:rsidRPr="00FF4DCD" w:rsidRDefault="00FF4DCD" w:rsidP="00EB6AAB">
      <w:pPr>
        <w:pStyle w:val="3"/>
      </w:pPr>
      <w:r w:rsidRPr="00FF4DCD">
        <w:t>F.2 Audited firm outcomes</w:t>
      </w:r>
    </w:p>
    <w:p w:rsidR="00FF4DCD" w:rsidRPr="00FF4DCD" w:rsidRDefault="00FF4DCD" w:rsidP="00EB6AAB">
      <w:pPr>
        <w:pStyle w:val="aff3"/>
        <w:wordWrap/>
      </w:pPr>
      <w:r w:rsidRPr="00FF4DCD">
        <w:t xml:space="preserve">Audited financial statements provide a broader set of firm outcomes over the first three post-investment years. We construct value added as operating income plus payroll observed in the National Pension records. We use </w:t>
      </w:r>
      <w:r w:rsidRPr="00FF4DCD">
        <w:rPr>
          <w:i/>
          <w:iCs/>
        </w:rPr>
        <w:t>value added</w:t>
      </w:r>
      <w:r w:rsidRPr="00FF4DCD">
        <w:t xml:space="preserve"> below as shorthand for this constructed accounting measure; it is not asserted to be identical to a national-accounts measure of firm value added.</w:t>
      </w:r>
    </w:p>
    <w:p w:rsidR="00FF4DCD" w:rsidRPr="00952628" w:rsidRDefault="00FF4DCD" w:rsidP="00EB6AAB">
      <w:pPr>
        <w:pStyle w:val="aff3"/>
        <w:wordWrap/>
        <w:rPr>
          <w:b/>
        </w:rPr>
      </w:pPr>
      <w:r w:rsidRPr="00952628">
        <w:rPr>
          <w:b/>
        </w:rPr>
        <w:t>Table F2. Audited firm outcomes over three post-investment years</w:t>
      </w:r>
    </w:p>
    <w:tbl>
      <w:tblPr>
        <w:tblW w:w="519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49"/>
        <w:gridCol w:w="2608"/>
        <w:gridCol w:w="2608"/>
        <w:gridCol w:w="2608"/>
      </w:tblGrid>
      <w:tr w:rsidR="00FF4DCD" w:rsidRPr="00FF4DCD" w:rsidTr="00EB6AAB">
        <w:trPr>
          <w:cantSplit/>
          <w:trHeight w:val="454"/>
          <w:tblHeader/>
        </w:trPr>
        <w:tc>
          <w:tcPr>
            <w:tcW w:w="1548" w:type="dxa"/>
            <w:vAlign w:val="center"/>
          </w:tcPr>
          <w:p w:rsidR="00FF4DCD" w:rsidRPr="00B474F8" w:rsidRDefault="00FF4DCD" w:rsidP="00EB6AAB">
            <w:pPr>
              <w:wordWrap/>
              <w:snapToGrid w:val="0"/>
              <w:jc w:val="center"/>
              <w:rPr>
                <w:b/>
                <w:spacing w:val="-8"/>
              </w:rPr>
            </w:pPr>
            <w:r w:rsidRPr="00B474F8">
              <w:rPr>
                <w:b/>
                <w:spacing w:val="-8"/>
                <w:sz w:val="20"/>
              </w:rPr>
              <w:t>Outcome</w:t>
            </w:r>
          </w:p>
        </w:tc>
        <w:tc>
          <w:tcPr>
            <w:tcW w:w="2608" w:type="dxa"/>
            <w:vAlign w:val="center"/>
          </w:tcPr>
          <w:p w:rsidR="00FF4DCD" w:rsidRPr="00B474F8" w:rsidRDefault="00FF4DCD" w:rsidP="00EB6AAB">
            <w:pPr>
              <w:wordWrap/>
              <w:snapToGrid w:val="0"/>
              <w:jc w:val="center"/>
              <w:rPr>
                <w:b/>
                <w:spacing w:val="-8"/>
              </w:rPr>
            </w:pPr>
            <w:r w:rsidRPr="00B474F8">
              <w:rPr>
                <w:b/>
                <w:spacing w:val="-8"/>
                <w:sz w:val="20"/>
              </w:rPr>
              <w:t>+1 year</w:t>
            </w:r>
          </w:p>
        </w:tc>
        <w:tc>
          <w:tcPr>
            <w:tcW w:w="2608" w:type="dxa"/>
            <w:vAlign w:val="center"/>
          </w:tcPr>
          <w:p w:rsidR="00FF4DCD" w:rsidRPr="00B474F8" w:rsidRDefault="00FF4DCD" w:rsidP="00EB6AAB">
            <w:pPr>
              <w:wordWrap/>
              <w:snapToGrid w:val="0"/>
              <w:jc w:val="center"/>
              <w:rPr>
                <w:b/>
                <w:spacing w:val="-8"/>
              </w:rPr>
            </w:pPr>
            <w:r w:rsidRPr="00B474F8">
              <w:rPr>
                <w:b/>
                <w:spacing w:val="-8"/>
                <w:sz w:val="20"/>
              </w:rPr>
              <w:t>+2 years</w:t>
            </w:r>
          </w:p>
        </w:tc>
        <w:tc>
          <w:tcPr>
            <w:tcW w:w="2608" w:type="dxa"/>
            <w:vAlign w:val="center"/>
          </w:tcPr>
          <w:p w:rsidR="00FF4DCD" w:rsidRPr="00B474F8" w:rsidRDefault="00FF4DCD" w:rsidP="00EB6AAB">
            <w:pPr>
              <w:wordWrap/>
              <w:snapToGrid w:val="0"/>
              <w:jc w:val="center"/>
              <w:rPr>
                <w:b/>
                <w:spacing w:val="-8"/>
              </w:rPr>
            </w:pPr>
            <w:r w:rsidRPr="00B474F8">
              <w:rPr>
                <w:b/>
                <w:spacing w:val="-8"/>
                <w:sz w:val="20"/>
              </w:rPr>
              <w:t>+3 years</w:t>
            </w:r>
          </w:p>
        </w:tc>
      </w:tr>
      <w:tr w:rsidR="00FF4DCD" w:rsidRPr="00FF4DCD" w:rsidTr="00EB6AAB">
        <w:trPr>
          <w:cantSplit/>
        </w:trPr>
        <w:tc>
          <w:tcPr>
            <w:tcW w:w="1548" w:type="dxa"/>
            <w:vAlign w:val="center"/>
          </w:tcPr>
          <w:p w:rsidR="00FF4DCD" w:rsidRPr="0076079F" w:rsidRDefault="00FF4DCD" w:rsidP="00EB6AAB">
            <w:pPr>
              <w:wordWrap/>
              <w:snapToGrid w:val="0"/>
              <w:rPr>
                <w:spacing w:val="-8"/>
              </w:rPr>
            </w:pPr>
            <w:r w:rsidRPr="0076079F">
              <w:rPr>
                <w:spacing w:val="-8"/>
              </w:rPr>
              <w:t>Log value added</w:t>
            </w:r>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0.0778 [0.0296, 0.1294]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147</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0.0795 [0.0022, 0.1491]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117</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0.0519 [−0.0323, 0.1385]</w:t>
            </w:r>
            <w:r w:rsidR="00952628" w:rsidRPr="0076079F">
              <w:rPr>
                <w:spacing w:val="-8"/>
              </w:rPr>
              <w:br/>
            </w:r>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90</m:t>
                </m:r>
                <m:r>
                  <m:rPr>
                    <m:sty m:val="p"/>
                  </m:rPr>
                  <w:rPr>
                    <w:rFonts w:ascii="Cambria Math" w:hAnsi="Cambria Math"/>
                    <w:spacing w:val="-8"/>
                  </w:rPr>
                  <m:t>)</m:t>
                </m:r>
              </m:oMath>
            </m:oMathPara>
          </w:p>
        </w:tc>
      </w:tr>
      <w:tr w:rsidR="00FF4DCD" w:rsidRPr="00FF4DCD" w:rsidTr="00EB6AAB">
        <w:trPr>
          <w:cantSplit/>
        </w:trPr>
        <w:tc>
          <w:tcPr>
            <w:tcW w:w="1548" w:type="dxa"/>
            <w:vAlign w:val="center"/>
          </w:tcPr>
          <w:p w:rsidR="00FF4DCD" w:rsidRPr="0076079F" w:rsidRDefault="00FF4DCD" w:rsidP="00EB6AAB">
            <w:pPr>
              <w:wordWrap/>
              <w:snapToGrid w:val="0"/>
              <w:rPr>
                <w:spacing w:val="-8"/>
              </w:rPr>
            </w:pPr>
            <w:r w:rsidRPr="0076079F">
              <w:rPr>
                <w:spacing w:val="-8"/>
              </w:rPr>
              <w:t>Log value added per worker</w:t>
            </w:r>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−0.0052 [−0.0333, 0.0261]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147</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−0.0030 [−0.0409, 0.0308]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117</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0.0060 [−0.0448, 0.0483]</w:t>
            </w:r>
            <w:r w:rsidR="00952628" w:rsidRPr="0076079F">
              <w:rPr>
                <w:spacing w:val="-8"/>
              </w:rPr>
              <w:br/>
            </w:r>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90</m:t>
                </m:r>
                <m:r>
                  <m:rPr>
                    <m:sty m:val="p"/>
                  </m:rPr>
                  <w:rPr>
                    <w:rFonts w:ascii="Cambria Math" w:hAnsi="Cambria Math"/>
                    <w:spacing w:val="-8"/>
                  </w:rPr>
                  <m:t>)</m:t>
                </m:r>
              </m:oMath>
            </m:oMathPara>
          </w:p>
        </w:tc>
      </w:tr>
      <w:tr w:rsidR="00FF4DCD" w:rsidRPr="00FF4DCD" w:rsidTr="00EB6AAB">
        <w:trPr>
          <w:cantSplit/>
        </w:trPr>
        <w:tc>
          <w:tcPr>
            <w:tcW w:w="1548" w:type="dxa"/>
            <w:vAlign w:val="center"/>
          </w:tcPr>
          <w:p w:rsidR="00FF4DCD" w:rsidRPr="0076079F" w:rsidRDefault="00FF4DCD" w:rsidP="00EB6AAB">
            <w:pPr>
              <w:wordWrap/>
              <w:snapToGrid w:val="0"/>
              <w:rPr>
                <w:spacing w:val="-8"/>
              </w:rPr>
            </w:pPr>
            <w:r w:rsidRPr="0076079F">
              <w:rPr>
                <w:spacing w:val="-8"/>
              </w:rPr>
              <w:t>Log assets</w:t>
            </w:r>
          </w:p>
        </w:tc>
        <w:tc>
          <w:tcPr>
            <w:tcW w:w="2608" w:type="dxa"/>
            <w:vAlign w:val="center"/>
          </w:tcPr>
          <w:p w:rsidR="00FF4DCD" w:rsidRPr="0076079F" w:rsidRDefault="00FF4DCD" w:rsidP="00EB6AAB">
            <w:pPr>
              <w:wordWrap/>
              <w:snapToGrid w:val="0"/>
              <w:jc w:val="center"/>
              <w:rPr>
                <w:spacing w:val="-8"/>
              </w:rPr>
            </w:pPr>
            <w:r w:rsidRPr="0076079F">
              <w:rPr>
                <w:spacing w:val="-8"/>
              </w:rPr>
              <w:t xml:space="preserve">0.2265 [0.1241, 0.3522]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155</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0.1796 [0.0643, 0.3032]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123</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0.2396 [0.0974, 0.3811]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95</m:t>
                </m:r>
                <m:r>
                  <m:rPr>
                    <m:sty m:val="p"/>
                  </m:rPr>
                  <w:rPr>
                    <w:rFonts w:ascii="Cambria Math" w:hAnsi="Cambria Math"/>
                    <w:spacing w:val="-8"/>
                  </w:rPr>
                  <m:t>)</m:t>
                </m:r>
              </m:oMath>
            </m:oMathPara>
          </w:p>
        </w:tc>
      </w:tr>
      <w:tr w:rsidR="00FF4DCD" w:rsidRPr="00FF4DCD" w:rsidTr="00EB6AAB">
        <w:trPr>
          <w:cantSplit/>
        </w:trPr>
        <w:tc>
          <w:tcPr>
            <w:tcW w:w="1548" w:type="dxa"/>
            <w:vAlign w:val="center"/>
          </w:tcPr>
          <w:p w:rsidR="00FF4DCD" w:rsidRPr="0076079F" w:rsidRDefault="00FF4DCD" w:rsidP="00EB6AAB">
            <w:pPr>
              <w:wordWrap/>
              <w:snapToGrid w:val="0"/>
              <w:rPr>
                <w:spacing w:val="-8"/>
              </w:rPr>
            </w:pPr>
            <w:r w:rsidRPr="0076079F">
              <w:rPr>
                <w:spacing w:val="-8"/>
              </w:rPr>
              <w:t>Log revenue</w:t>
            </w:r>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−0.0191 [−0.1169, 0.0707]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152</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0.0009 [−0.1153, 0.1174]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121</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0.0622 [−0.0761, 0.2034]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93</m:t>
                </m:r>
                <m:r>
                  <m:rPr>
                    <m:sty m:val="p"/>
                  </m:rPr>
                  <w:rPr>
                    <w:rFonts w:ascii="Cambria Math" w:hAnsi="Cambria Math"/>
                    <w:spacing w:val="-8"/>
                  </w:rPr>
                  <m:t>)</m:t>
                </m:r>
              </m:oMath>
            </m:oMathPara>
          </w:p>
        </w:tc>
      </w:tr>
      <w:tr w:rsidR="00FF4DCD" w:rsidRPr="00FF4DCD" w:rsidTr="00EB6AAB">
        <w:trPr>
          <w:cantSplit/>
        </w:trPr>
        <w:tc>
          <w:tcPr>
            <w:tcW w:w="1548" w:type="dxa"/>
            <w:vAlign w:val="center"/>
          </w:tcPr>
          <w:p w:rsidR="00FF4DCD" w:rsidRPr="0076079F" w:rsidRDefault="00FF4DCD" w:rsidP="00EB6AAB">
            <w:pPr>
              <w:wordWrap/>
              <w:snapToGrid w:val="0"/>
              <w:rPr>
                <w:spacing w:val="-8"/>
              </w:rPr>
            </w:pPr>
            <w:r w:rsidRPr="0076079F">
              <w:rPr>
                <w:spacing w:val="-8"/>
              </w:rPr>
              <w:t>Return on assets</w:t>
            </w:r>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−0.0079 [−0.0373, 0.0236]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155</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−0.0131 [−0.0482, 0.0217]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122</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0.0265 [−0.0107, 0.0684]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93</m:t>
                </m:r>
                <m:r>
                  <m:rPr>
                    <m:sty m:val="p"/>
                  </m:rPr>
                  <w:rPr>
                    <w:rFonts w:ascii="Cambria Math" w:hAnsi="Cambria Math"/>
                    <w:spacing w:val="-8"/>
                  </w:rPr>
                  <m:t>)</m:t>
                </m:r>
              </m:oMath>
            </m:oMathPara>
          </w:p>
        </w:tc>
      </w:tr>
      <w:tr w:rsidR="00FF4DCD" w:rsidRPr="00FF4DCD" w:rsidTr="00EB6AAB">
        <w:trPr>
          <w:cantSplit/>
        </w:trPr>
        <w:tc>
          <w:tcPr>
            <w:tcW w:w="1548" w:type="dxa"/>
            <w:vAlign w:val="center"/>
          </w:tcPr>
          <w:p w:rsidR="00FF4DCD" w:rsidRPr="0076079F" w:rsidRDefault="00FF4DCD" w:rsidP="00EB6AAB">
            <w:pPr>
              <w:wordWrap/>
              <w:snapToGrid w:val="0"/>
              <w:rPr>
                <w:spacing w:val="-8"/>
              </w:rPr>
            </w:pPr>
            <w:r w:rsidRPr="0076079F">
              <w:rPr>
                <w:spacing w:val="-8"/>
              </w:rPr>
              <w:t>Log value added / assets</w:t>
            </w:r>
          </w:p>
        </w:tc>
        <w:tc>
          <w:tcPr>
            <w:tcW w:w="2608" w:type="dxa"/>
            <w:vAlign w:val="center"/>
          </w:tcPr>
          <w:p w:rsidR="00FF4DCD" w:rsidRPr="0076079F" w:rsidRDefault="00FF4DCD" w:rsidP="00EB6AAB">
            <w:pPr>
              <w:wordWrap/>
              <w:snapToGrid w:val="0"/>
              <w:jc w:val="center"/>
              <w:rPr>
                <w:spacing w:val="-8"/>
              </w:rPr>
            </w:pPr>
            <w:r w:rsidRPr="0076079F">
              <w:rPr>
                <w:spacing w:val="-10"/>
              </w:rPr>
              <w:t>−0.0990 [−0.1774, −0.0203]</w:t>
            </w:r>
            <w:r w:rsidR="0076079F">
              <w:rPr>
                <w:spacing w:val="-8"/>
              </w:rPr>
              <w:br/>
            </w:r>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146</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 xml:space="preserve">−0.0811 [−0.1990, 0.0357] </w:t>
            </w:r>
            <m:oMath>
              <m:r>
                <m:rPr>
                  <m:sty m:val="p"/>
                </m:rPr>
                <w:rPr>
                  <w:rFonts w:ascii="Cambria Math" w:hAnsi="Cambria Math"/>
                  <w:spacing w:val="-8"/>
                </w:rPr>
                <w:br/>
              </m:r>
            </m:oMath>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116</m:t>
                </m:r>
                <m:r>
                  <m:rPr>
                    <m:sty m:val="p"/>
                  </m:rPr>
                  <w:rPr>
                    <w:rFonts w:ascii="Cambria Math" w:hAnsi="Cambria Math"/>
                    <w:spacing w:val="-8"/>
                  </w:rPr>
                  <m:t>)</m:t>
                </m:r>
              </m:oMath>
            </m:oMathPara>
          </w:p>
        </w:tc>
        <w:tc>
          <w:tcPr>
            <w:tcW w:w="2608" w:type="dxa"/>
            <w:vAlign w:val="center"/>
          </w:tcPr>
          <w:p w:rsidR="00FF4DCD" w:rsidRPr="0076079F" w:rsidRDefault="00FF4DCD" w:rsidP="00EB6AAB">
            <w:pPr>
              <w:wordWrap/>
              <w:snapToGrid w:val="0"/>
              <w:jc w:val="center"/>
              <w:rPr>
                <w:spacing w:val="-8"/>
              </w:rPr>
            </w:pPr>
            <w:r w:rsidRPr="0076079F">
              <w:rPr>
                <w:spacing w:val="-8"/>
              </w:rPr>
              <w:t>−0.2046 [−0.3299, −0.0713]</w:t>
            </w:r>
            <w:r w:rsidR="0076079F">
              <w:rPr>
                <w:spacing w:val="-8"/>
              </w:rPr>
              <w:br/>
            </w:r>
            <m:oMathPara>
              <m:oMath>
                <m:r>
                  <m:rPr>
                    <m:sty m:val="p"/>
                  </m:rPr>
                  <w:rPr>
                    <w:rFonts w:ascii="Cambria Math" w:hAnsi="Cambria Math"/>
                    <w:spacing w:val="-8"/>
                  </w:rPr>
                  <m:t>(</m:t>
                </m:r>
                <m:r>
                  <w:rPr>
                    <w:rFonts w:ascii="Cambria Math" w:hAnsi="Cambria Math"/>
                    <w:spacing w:val="-8"/>
                  </w:rPr>
                  <m:t>n</m:t>
                </m:r>
                <m:r>
                  <m:rPr>
                    <m:sty m:val="p"/>
                  </m:rPr>
                  <w:rPr>
                    <w:rFonts w:ascii="Cambria Math" w:hAnsi="Cambria Math"/>
                    <w:spacing w:val="-8"/>
                  </w:rPr>
                  <m:t>=</m:t>
                </m:r>
                <m:r>
                  <w:rPr>
                    <w:rFonts w:ascii="Cambria Math" w:hAnsi="Cambria Math"/>
                    <w:spacing w:val="-8"/>
                  </w:rPr>
                  <m:t>89</m:t>
                </m:r>
                <m:r>
                  <m:rPr>
                    <m:sty m:val="p"/>
                  </m:rPr>
                  <w:rPr>
                    <w:rFonts w:ascii="Cambria Math" w:hAnsi="Cambria Math"/>
                    <w:spacing w:val="-8"/>
                  </w:rPr>
                  <m:t>)</m:t>
                </m:r>
              </m:oMath>
            </m:oMathPara>
          </w:p>
        </w:tc>
      </w:tr>
    </w:tbl>
    <w:p w:rsidR="00FF4DCD" w:rsidRPr="0076079F" w:rsidRDefault="00FF4DCD" w:rsidP="00EB6AAB">
      <w:pPr>
        <w:pStyle w:val="aff3"/>
        <w:wordWrap/>
        <w:spacing w:before="0"/>
        <w:rPr>
          <w:color w:val="7F7F7F" w:themeColor="text1" w:themeTint="80"/>
          <w:sz w:val="20"/>
        </w:rPr>
      </w:pPr>
      <w:r w:rsidRPr="0076079F">
        <w:rPr>
          <w:color w:val="7F7F7F" w:themeColor="text1" w:themeTint="80"/>
          <w:sz w:val="20"/>
        </w:rPr>
        <w:t>Notes. Entries are treated-minus-control estimates at the indicated post-investment horizons. Value added is constructed as operating income plus payroll observed in the National Pension records. Samples vary across outcomes and horizons with financial-statement availability and the required post-investment observations. The ±0.10-log-</w:t>
      </w:r>
      <w:r w:rsidRPr="0076079F">
        <w:rPr>
          <w:color w:val="7F7F7F" w:themeColor="text1" w:themeTint="80"/>
          <w:sz w:val="20"/>
        </w:rPr>
        <w:lastRenderedPageBreak/>
        <w:t>point range used for value added per worker and the ±0.15-log-point range used for revenue are descriptive comparison ranges rather than externally established equivalence thresholds.</w:t>
      </w:r>
    </w:p>
    <w:p w:rsidR="00FF4DCD" w:rsidRPr="00FF4DCD" w:rsidRDefault="00FF4DCD" w:rsidP="00EB6AAB">
      <w:pPr>
        <w:pStyle w:val="aff3"/>
        <w:wordWrap/>
      </w:pPr>
      <w:r>
        <w:rPr>
          <w:rFonts w:eastAsia="Times New Roman"/>
        </w:rPr>
        <w:t>Constructed value added is 0.0778 log points above controls after one year [0.0296, 0.1294] and 0.0795 after two years [0.0022, 0.1491]; at three years it is 0.0519 [−0.0323, 0.1385]. Value added per worker changes little: −0.0052, −0.0030, and 0.0060, with intervals inside the stated ±0.10-log-point range.</w:t>
      </w:r>
      <w:r>
        <w:t xml:space="preserve"> </w:t>
      </w:r>
      <w:r>
        <w:rPr>
          <w:rFonts w:eastAsia="Times New Roman"/>
        </w:rPr>
        <w:t>Assets rise more: 0.2265 log points after one year [0.1241, 0.3522], 0.1796 after two [0.0643, 0.3032], and 0.2396 after three [0.0974, 0.3811].</w:t>
      </w:r>
    </w:p>
    <w:p w:rsidR="00FF4DCD" w:rsidRPr="00FF4DCD" w:rsidRDefault="00FF4DCD" w:rsidP="00EB6AAB">
      <w:pPr>
        <w:pStyle w:val="aff3"/>
        <w:wordWrap/>
      </w:pPr>
      <w:r>
        <w:rPr>
          <w:rFonts w:eastAsia="Times New Roman"/>
        </w:rPr>
        <w:t>Revenue and profitability do not share that pattern. Revenue is −0.0191 after one year [−0.1169, 0.0707] and remains imprecise later; return on assets is −0.0079 [−0.0373, 0.0236] after one year and −0.0131 [−0.0482, 0.0217] after two. Value added relative to assets falls by 0.0990 [−0.1774, −0.0203] after one year and 0.2046 [−0.3299, −0.0713] after three.</w:t>
      </w:r>
      <w:r>
        <w:t xml:space="preserve"> </w:t>
      </w:r>
      <w:r>
        <w:rPr>
          <w:rFonts w:eastAsia="Times New Roman"/>
        </w:rPr>
        <w:t>The audited sample shows expansion in some measures of scale, not a uniform improvement in operating performance. Assets and constructed value added rise, revenue and return on assets do not rise clearly, and value added relative to assets falls. Given sample selection and the mixed outcomes, the estimates do not establish productivity gains or an organisational mechanism.</w:t>
      </w:r>
    </w:p>
    <w:p w:rsidR="00FF4DCD" w:rsidRPr="00FF4DCD" w:rsidRDefault="00FF4DCD" w:rsidP="00EB6AAB">
      <w:pPr>
        <w:pStyle w:val="3"/>
      </w:pPr>
      <w:r w:rsidRPr="00FF4DCD">
        <w:t>F.3 Sample coverage and continued NPS observation</w:t>
      </w:r>
    </w:p>
    <w:p w:rsidR="00FF4DCD" w:rsidRPr="00FF4DCD" w:rsidRDefault="00FF4DCD" w:rsidP="00EB6AAB">
      <w:pPr>
        <w:pStyle w:val="aff3"/>
        <w:wordWrap/>
      </w:pPr>
      <w:r>
        <w:rPr>
          <w:rFonts w:eastAsia="Times New Roman"/>
        </w:rPr>
        <w:t>The audited sample is more selected than the worker-flow sample: the one-year value-added analysis contains 147 events rather than 286, and its targets are generally larger. Without reweighting, Section F.2 describes only targets with the required statements.</w:t>
      </w:r>
      <w:r>
        <w:t xml:space="preserve"> </w:t>
      </w:r>
      <w:r>
        <w:rPr>
          <w:rFonts w:eastAsia="Times New Roman"/>
        </w:rPr>
        <w:t>Long-horizon observability is also ambiguous. A firm can leave the NPS panel after closure, acquisition, restructuring, sale, or administrative re-registration; panel presence is not the same as survival.</w:t>
      </w:r>
    </w:p>
    <w:p w:rsidR="00FF4DCD" w:rsidRPr="0076079F" w:rsidRDefault="00FF4DCD" w:rsidP="00EB6AAB">
      <w:pPr>
        <w:pStyle w:val="aff3"/>
        <w:wordWrap/>
        <w:rPr>
          <w:b/>
        </w:rPr>
      </w:pPr>
      <w:r w:rsidRPr="0076079F">
        <w:rPr>
          <w:b/>
        </w:rPr>
        <w:t>Table F3. Pre-deal hiring state and continued observation in the NPS panel</w:t>
      </w:r>
    </w:p>
    <w:tbl>
      <w:tblPr>
        <w:tblW w:w="5226"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85"/>
        <w:gridCol w:w="4082"/>
        <w:gridCol w:w="1985"/>
        <w:gridCol w:w="1417"/>
        <w:gridCol w:w="660"/>
      </w:tblGrid>
      <w:tr w:rsidR="00FF4DCD" w:rsidRPr="00FF4DCD" w:rsidTr="00B474F8">
        <w:trPr>
          <w:cantSplit/>
          <w:tblHeader/>
        </w:trPr>
        <w:tc>
          <w:tcPr>
            <w:tcW w:w="1285" w:type="dxa"/>
            <w:vAlign w:val="center"/>
          </w:tcPr>
          <w:p w:rsidR="00FF4DCD" w:rsidRPr="00B474F8" w:rsidRDefault="00FF4DCD" w:rsidP="00EB6AAB">
            <w:pPr>
              <w:wordWrap/>
              <w:snapToGrid w:val="0"/>
              <w:jc w:val="left"/>
              <w:rPr>
                <w:b/>
              </w:rPr>
            </w:pPr>
            <w:r w:rsidRPr="00B474F8">
              <w:rPr>
                <w:b/>
                <w:sz w:val="20"/>
              </w:rPr>
              <w:t>Horizon</w:t>
            </w:r>
          </w:p>
        </w:tc>
        <w:tc>
          <w:tcPr>
            <w:tcW w:w="4082" w:type="dxa"/>
            <w:vAlign w:val="center"/>
          </w:tcPr>
          <w:p w:rsidR="00FF4DCD" w:rsidRPr="00B474F8" w:rsidRDefault="00FF4DCD" w:rsidP="00B474F8">
            <w:pPr>
              <w:wordWrap/>
              <w:snapToGrid w:val="0"/>
              <w:jc w:val="center"/>
              <w:rPr>
                <w:b/>
              </w:rPr>
            </w:pPr>
            <w:r w:rsidRPr="00B474F8">
              <w:rPr>
                <w:b/>
                <w:sz w:val="20"/>
              </w:rPr>
              <w:t>State contrast in continued NPS observation</w:t>
            </w:r>
          </w:p>
        </w:tc>
        <w:tc>
          <w:tcPr>
            <w:tcW w:w="1985" w:type="dxa"/>
            <w:vAlign w:val="center"/>
          </w:tcPr>
          <w:p w:rsidR="00FF4DCD" w:rsidRPr="00B474F8" w:rsidRDefault="00FF4DCD" w:rsidP="00B474F8">
            <w:pPr>
              <w:wordWrap/>
              <w:snapToGrid w:val="0"/>
              <w:jc w:val="center"/>
              <w:rPr>
                <w:b/>
              </w:rPr>
            </w:pPr>
            <w:r w:rsidRPr="00B474F8">
              <w:rPr>
                <w:b/>
                <w:sz w:val="20"/>
              </w:rPr>
              <w:t>95% CI</w:t>
            </w:r>
          </w:p>
        </w:tc>
        <w:tc>
          <w:tcPr>
            <w:tcW w:w="1417" w:type="dxa"/>
            <w:vAlign w:val="center"/>
          </w:tcPr>
          <w:p w:rsidR="00FF4DCD" w:rsidRPr="00B474F8" w:rsidRDefault="00FF4DCD" w:rsidP="00B474F8">
            <w:pPr>
              <w:wordWrap/>
              <w:snapToGrid w:val="0"/>
              <w:jc w:val="center"/>
              <w:rPr>
                <w:b/>
              </w:rPr>
            </w:pPr>
            <w:r w:rsidRPr="00B474F8">
              <w:rPr>
                <w:b/>
                <w:sz w:val="20"/>
              </w:rPr>
              <w:t>Multiplicity-adjusted p</w:t>
            </w:r>
          </w:p>
        </w:tc>
        <w:tc>
          <w:tcPr>
            <w:tcW w:w="660" w:type="dxa"/>
            <w:vAlign w:val="center"/>
          </w:tcPr>
          <w:p w:rsidR="00FF4DCD" w:rsidRPr="00B474F8" w:rsidRDefault="00FF4DCD" w:rsidP="00B474F8">
            <w:pPr>
              <w:wordWrap/>
              <w:snapToGrid w:val="0"/>
              <w:jc w:val="center"/>
              <w:rPr>
                <w:b/>
              </w:rPr>
            </w:pPr>
            <w:r w:rsidRPr="00B474F8">
              <w:rPr>
                <w:b/>
                <w:sz w:val="20"/>
              </w:rPr>
              <w:t>N</w:t>
            </w:r>
          </w:p>
        </w:tc>
      </w:tr>
      <w:tr w:rsidR="00FF4DCD" w:rsidRPr="00FF4DCD" w:rsidTr="00B474F8">
        <w:trPr>
          <w:cantSplit/>
        </w:trPr>
        <w:tc>
          <w:tcPr>
            <w:tcW w:w="1285" w:type="dxa"/>
          </w:tcPr>
          <w:p w:rsidR="00FF4DCD" w:rsidRPr="00FF4DCD" w:rsidRDefault="00FF4DCD" w:rsidP="00EB6AAB">
            <w:pPr>
              <w:wordWrap/>
              <w:jc w:val="left"/>
            </w:pPr>
            <w:r>
              <w:t>+12 months</w:t>
            </w:r>
          </w:p>
        </w:tc>
        <w:tc>
          <w:tcPr>
            <w:tcW w:w="4082" w:type="dxa"/>
            <w:vAlign w:val="center"/>
          </w:tcPr>
          <w:p w:rsidR="00FF4DCD" w:rsidRPr="00FF4DCD" w:rsidRDefault="00FF4DCD" w:rsidP="00B474F8">
            <w:pPr>
              <w:wordWrap/>
              <w:jc w:val="center"/>
            </w:pPr>
            <w:r>
              <w:t>−0.0072</w:t>
            </w:r>
          </w:p>
        </w:tc>
        <w:tc>
          <w:tcPr>
            <w:tcW w:w="1985" w:type="dxa"/>
            <w:vAlign w:val="center"/>
          </w:tcPr>
          <w:p w:rsidR="00FF4DCD" w:rsidRPr="00FF4DCD" w:rsidRDefault="00FF4DCD" w:rsidP="00B474F8">
            <w:pPr>
              <w:wordWrap/>
              <w:jc w:val="center"/>
            </w:pPr>
            <w:r>
              <w:t>[−0.0598, 0.0468]</w:t>
            </w:r>
          </w:p>
        </w:tc>
        <w:tc>
          <w:tcPr>
            <w:tcW w:w="1417" w:type="dxa"/>
            <w:vAlign w:val="center"/>
          </w:tcPr>
          <w:p w:rsidR="00FF4DCD" w:rsidRPr="00FF4DCD" w:rsidRDefault="00FF4DCD" w:rsidP="00B474F8">
            <w:pPr>
              <w:wordWrap/>
              <w:jc w:val="center"/>
            </w:pPr>
            <w:r>
              <w:t>0.9972</w:t>
            </w:r>
          </w:p>
        </w:tc>
        <w:tc>
          <w:tcPr>
            <w:tcW w:w="660" w:type="dxa"/>
            <w:vAlign w:val="center"/>
          </w:tcPr>
          <w:p w:rsidR="00FF4DCD" w:rsidRPr="00FF4DCD" w:rsidRDefault="00FF4DCD" w:rsidP="00B474F8">
            <w:pPr>
              <w:wordWrap/>
              <w:jc w:val="center"/>
            </w:pPr>
            <w:r>
              <w:t>224</w:t>
            </w:r>
          </w:p>
        </w:tc>
      </w:tr>
      <w:tr w:rsidR="00FF4DCD" w:rsidRPr="00FF4DCD" w:rsidTr="00B474F8">
        <w:trPr>
          <w:cantSplit/>
        </w:trPr>
        <w:tc>
          <w:tcPr>
            <w:tcW w:w="1285" w:type="dxa"/>
          </w:tcPr>
          <w:p w:rsidR="00FF4DCD" w:rsidRPr="00FF4DCD" w:rsidRDefault="00FF4DCD" w:rsidP="00EB6AAB">
            <w:pPr>
              <w:wordWrap/>
              <w:jc w:val="left"/>
            </w:pPr>
            <w:r>
              <w:t>+24 months</w:t>
            </w:r>
          </w:p>
        </w:tc>
        <w:tc>
          <w:tcPr>
            <w:tcW w:w="4082" w:type="dxa"/>
            <w:vAlign w:val="center"/>
          </w:tcPr>
          <w:p w:rsidR="00FF4DCD" w:rsidRPr="00FF4DCD" w:rsidRDefault="00FF4DCD" w:rsidP="00B474F8">
            <w:pPr>
              <w:wordWrap/>
              <w:jc w:val="center"/>
            </w:pPr>
            <w:r>
              <w:t>−0.0480</w:t>
            </w:r>
          </w:p>
        </w:tc>
        <w:tc>
          <w:tcPr>
            <w:tcW w:w="1985" w:type="dxa"/>
            <w:vAlign w:val="center"/>
          </w:tcPr>
          <w:p w:rsidR="00FF4DCD" w:rsidRPr="00FF4DCD" w:rsidRDefault="00FF4DCD" w:rsidP="00B474F8">
            <w:pPr>
              <w:wordWrap/>
              <w:jc w:val="center"/>
            </w:pPr>
            <w:r>
              <w:t>[−0.1275, 0.0292]</w:t>
            </w:r>
          </w:p>
        </w:tc>
        <w:tc>
          <w:tcPr>
            <w:tcW w:w="1417" w:type="dxa"/>
            <w:vAlign w:val="center"/>
          </w:tcPr>
          <w:p w:rsidR="00FF4DCD" w:rsidRPr="00FF4DCD" w:rsidRDefault="00FF4DCD" w:rsidP="00B474F8">
            <w:pPr>
              <w:wordWrap/>
              <w:jc w:val="center"/>
            </w:pPr>
            <w:r>
              <w:t>0.6069</w:t>
            </w:r>
          </w:p>
        </w:tc>
        <w:tc>
          <w:tcPr>
            <w:tcW w:w="660" w:type="dxa"/>
            <w:vAlign w:val="center"/>
          </w:tcPr>
          <w:p w:rsidR="00FF4DCD" w:rsidRPr="00FF4DCD" w:rsidRDefault="00FF4DCD" w:rsidP="00B474F8">
            <w:pPr>
              <w:wordWrap/>
              <w:jc w:val="center"/>
            </w:pPr>
            <w:r>
              <w:t>194</w:t>
            </w:r>
          </w:p>
        </w:tc>
      </w:tr>
      <w:tr w:rsidR="00FF4DCD" w:rsidRPr="00FF4DCD" w:rsidTr="00B474F8">
        <w:trPr>
          <w:cantSplit/>
        </w:trPr>
        <w:tc>
          <w:tcPr>
            <w:tcW w:w="1285" w:type="dxa"/>
          </w:tcPr>
          <w:p w:rsidR="00FF4DCD" w:rsidRPr="00FF4DCD" w:rsidRDefault="00FF4DCD" w:rsidP="00EB6AAB">
            <w:pPr>
              <w:wordWrap/>
              <w:jc w:val="left"/>
            </w:pPr>
            <w:r>
              <w:t>+36 months</w:t>
            </w:r>
          </w:p>
        </w:tc>
        <w:tc>
          <w:tcPr>
            <w:tcW w:w="4082" w:type="dxa"/>
            <w:vAlign w:val="center"/>
          </w:tcPr>
          <w:p w:rsidR="00FF4DCD" w:rsidRPr="00FF4DCD" w:rsidRDefault="00FF4DCD" w:rsidP="00B474F8">
            <w:pPr>
              <w:wordWrap/>
              <w:jc w:val="center"/>
            </w:pPr>
            <w:r>
              <w:t>−0.0505</w:t>
            </w:r>
          </w:p>
        </w:tc>
        <w:tc>
          <w:tcPr>
            <w:tcW w:w="1985" w:type="dxa"/>
            <w:vAlign w:val="center"/>
          </w:tcPr>
          <w:p w:rsidR="00FF4DCD" w:rsidRPr="00FF4DCD" w:rsidRDefault="00FF4DCD" w:rsidP="00B474F8">
            <w:pPr>
              <w:wordWrap/>
              <w:jc w:val="center"/>
            </w:pPr>
            <w:r>
              <w:t>[−0.1391, 0.0358]</w:t>
            </w:r>
          </w:p>
        </w:tc>
        <w:tc>
          <w:tcPr>
            <w:tcW w:w="1417" w:type="dxa"/>
            <w:vAlign w:val="center"/>
          </w:tcPr>
          <w:p w:rsidR="00FF4DCD" w:rsidRPr="00FF4DCD" w:rsidRDefault="00FF4DCD" w:rsidP="00B474F8">
            <w:pPr>
              <w:wordWrap/>
              <w:jc w:val="center"/>
            </w:pPr>
            <w:r>
              <w:t>0.6805</w:t>
            </w:r>
          </w:p>
        </w:tc>
        <w:tc>
          <w:tcPr>
            <w:tcW w:w="660" w:type="dxa"/>
            <w:vAlign w:val="center"/>
          </w:tcPr>
          <w:p w:rsidR="00FF4DCD" w:rsidRPr="00FF4DCD" w:rsidRDefault="00FF4DCD" w:rsidP="00B474F8">
            <w:pPr>
              <w:wordWrap/>
              <w:jc w:val="center"/>
            </w:pPr>
            <w:r>
              <w:t>167</w:t>
            </w:r>
          </w:p>
        </w:tc>
      </w:tr>
      <w:tr w:rsidR="00FF4DCD" w:rsidRPr="00FF4DCD" w:rsidTr="00B474F8">
        <w:trPr>
          <w:cantSplit/>
        </w:trPr>
        <w:tc>
          <w:tcPr>
            <w:tcW w:w="1285" w:type="dxa"/>
          </w:tcPr>
          <w:p w:rsidR="00FF4DCD" w:rsidRPr="00FF4DCD" w:rsidRDefault="00FF4DCD" w:rsidP="00EB6AAB">
            <w:pPr>
              <w:wordWrap/>
              <w:jc w:val="left"/>
            </w:pPr>
            <w:r>
              <w:t>+48 months</w:t>
            </w:r>
          </w:p>
        </w:tc>
        <w:tc>
          <w:tcPr>
            <w:tcW w:w="4082" w:type="dxa"/>
            <w:vAlign w:val="center"/>
          </w:tcPr>
          <w:p w:rsidR="00FF4DCD" w:rsidRPr="00FF4DCD" w:rsidRDefault="00FF4DCD" w:rsidP="00B474F8">
            <w:pPr>
              <w:wordWrap/>
              <w:jc w:val="center"/>
            </w:pPr>
            <w:r>
              <w:t>−0.1360</w:t>
            </w:r>
          </w:p>
        </w:tc>
        <w:tc>
          <w:tcPr>
            <w:tcW w:w="1985" w:type="dxa"/>
            <w:vAlign w:val="center"/>
          </w:tcPr>
          <w:p w:rsidR="00FF4DCD" w:rsidRPr="00FF4DCD" w:rsidRDefault="00FF4DCD" w:rsidP="00B474F8">
            <w:pPr>
              <w:wordWrap/>
              <w:jc w:val="center"/>
            </w:pPr>
            <w:r>
              <w:t>[−0.2563, −0.0289]</w:t>
            </w:r>
          </w:p>
        </w:tc>
        <w:tc>
          <w:tcPr>
            <w:tcW w:w="1417" w:type="dxa"/>
            <w:vAlign w:val="center"/>
          </w:tcPr>
          <w:p w:rsidR="00FF4DCD" w:rsidRPr="00FF4DCD" w:rsidRDefault="00FF4DCD" w:rsidP="00B474F8">
            <w:pPr>
              <w:wordWrap/>
              <w:jc w:val="center"/>
            </w:pPr>
            <w:r>
              <w:rPr>
                <w:bCs/>
              </w:rPr>
              <w:t>0.0394</w:t>
            </w:r>
          </w:p>
        </w:tc>
        <w:tc>
          <w:tcPr>
            <w:tcW w:w="660" w:type="dxa"/>
            <w:vAlign w:val="center"/>
          </w:tcPr>
          <w:p w:rsidR="00FF4DCD" w:rsidRPr="00FF4DCD" w:rsidRDefault="00FF4DCD" w:rsidP="00B474F8">
            <w:pPr>
              <w:wordWrap/>
              <w:jc w:val="center"/>
            </w:pPr>
            <w:r>
              <w:t>133</w:t>
            </w:r>
          </w:p>
        </w:tc>
      </w:tr>
    </w:tbl>
    <w:p w:rsidR="00FF4DCD" w:rsidRPr="0076079F"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contrast compares the top tercile of the state distribution, corresponding to the lowest pre-deal hiring activity, with the bottom tercile in treated-minus-control continued-observation rates. The four horizon-specific </w:t>
      </w:r>
      <w:r>
        <w:rPr>
          <w:color w:val="7F7F7F" w:themeColor="text1" w:themeTint="80"/>
          <w:sz w:val="20"/>
        </w:rPr>
        <w:lastRenderedPageBreak/>
        <w:t>two-sided bootstrap probabilities are adjusted using the Šidák correction. Approximately one-third of otherwise usable events cannot contribute to the forty-eight-month estimate because the corresponding transactions occur too close to the end of the NPS panel.</w:t>
      </w:r>
    </w:p>
    <w:p w:rsidR="00FF4DCD" w:rsidRPr="00FF4DCD" w:rsidRDefault="00FF4DCD" w:rsidP="00EB6AAB">
      <w:pPr>
        <w:pStyle w:val="aff3"/>
        <w:wordWrap/>
      </w:pPr>
      <w:r>
        <w:rPr>
          <w:rFonts w:eastAsia="Times New Roman"/>
        </w:rPr>
        <w:t>The adjusted contrasts at 12, 24, and 36 months are −0.0072 [−0.0598, 0.0468] (p = 0.9972; n = 224), −0.0480 [−0.1275, 0.0292] (p = 0.6069; n = 194), and −0.0505 [−0.1391, 0.0358] (p = 0.6805; n = 167). At 48 months the contrast is −0.1360 [−0.2563, −0.0289] (p = 0.0394; n = 133) after adjustment across the four horizons.</w:t>
      </w:r>
      <w:r>
        <w:t xml:space="preserve"> </w:t>
      </w:r>
      <w:r>
        <w:rPr>
          <w:rFonts w:eastAsia="Times New Roman"/>
        </w:rPr>
        <w:t>The four-year estimate occurs where follow-up loss is greatest: about one-third of otherwise usable events fall beyond the panel. The data also do not reveal why a firm leaves its NPS reporting unit.</w:t>
      </w:r>
      <w:r>
        <w:t xml:space="preserve"> </w:t>
      </w:r>
      <w:r>
        <w:rPr>
          <w:rFonts w:eastAsia="Times New Roman"/>
        </w:rPr>
        <w:t>We interpret the estimate as a state-dependent difference in longer-run panel presence, not as evidence of failure among low-hiring targets. Separating closure from acquisition, restructuring, sponsor exit, or administrative change requires other data.</w:t>
      </w:r>
    </w:p>
    <w:p w:rsidR="00FF4DCD" w:rsidRPr="00FF4DCD" w:rsidRDefault="00FF4DCD" w:rsidP="00EB6AAB">
      <w:pPr>
        <w:pStyle w:val="3"/>
      </w:pPr>
      <w:r w:rsidRPr="00FF4DCD">
        <w:t>Appendix G. Alternative comparison designs and descriptive checks</w:t>
      </w:r>
    </w:p>
    <w:p w:rsidR="00FF4DCD" w:rsidRPr="00FF4DCD" w:rsidRDefault="00FF4DCD" w:rsidP="00EB6AAB">
      <w:pPr>
        <w:pStyle w:val="aff3"/>
        <w:wordWrap/>
      </w:pPr>
      <w:r>
        <w:rPr>
          <w:rFonts w:eastAsia="Times New Roman"/>
        </w:rPr>
        <w:t>This appendix studies four alternatives to the primary design: sponsor exits, not-yet-treated controls, non-private-equity ownership changes, and the association between hiring and realised post-deal cash changes.</w:t>
      </w:r>
      <w:r>
        <w:t xml:space="preserve"> </w:t>
      </w:r>
      <w:r>
        <w:rPr>
          <w:rFonts w:eastAsia="Times New Roman"/>
        </w:rPr>
        <w:t>None supplies a stronger counterfactual. Sponsor exits are sparse; future-treated controls may anticipate their own deals; other ownership changes need not be comparable interventions; and post-deal cash is treatment-affected. The exercises delineate these alternatives rather than serve as independent replications.</w:t>
      </w:r>
    </w:p>
    <w:p w:rsidR="00FF4DCD" w:rsidRPr="00FF4DCD" w:rsidRDefault="00FF4DCD" w:rsidP="00EB6AAB">
      <w:pPr>
        <w:pStyle w:val="3"/>
      </w:pPr>
      <w:r w:rsidRPr="00FF4DCD">
        <w:t>G.1 Sponsor exits and reversibility</w:t>
      </w:r>
    </w:p>
    <w:p w:rsidR="00FF4DCD" w:rsidRPr="00FF4DCD" w:rsidRDefault="00FF4DCD" w:rsidP="00EB6AAB">
      <w:pPr>
        <w:pStyle w:val="aff3"/>
        <w:wordWrap/>
      </w:pPr>
      <w:r>
        <w:rPr>
          <w:rFonts w:eastAsia="Times New Roman"/>
        </w:rPr>
        <w:t>We use annual shareholder records to ask whether the worker-inflow response weakens or reverses when the sponsor exits. Sponsor names are normalised and identifiable variants grouped within firms.</w:t>
      </w:r>
      <w:r>
        <w:t xml:space="preserve"> </w:t>
      </w:r>
      <w:r>
        <w:rPr>
          <w:rFonts w:eastAsia="Times New Roman"/>
        </w:rPr>
        <w:t>Only thirteen exits have an identifiable sponsor departure, an assignable period, and twelve months of post-exit NPS data. We rematch each firm at exit using the applicable exact cell and five-nearest-neighbour rule, then measure the twelve-month treated-minus-control change in the no-entry share.</w:t>
      </w:r>
    </w:p>
    <w:p w:rsidR="00FF4DCD" w:rsidRPr="00B567F4" w:rsidRDefault="00FF4DCD" w:rsidP="00EB6AAB">
      <w:pPr>
        <w:pStyle w:val="aff3"/>
        <w:wordWrap/>
        <w:rPr>
          <w:b/>
        </w:rPr>
      </w:pPr>
      <w:r w:rsidRPr="00B567F4">
        <w:rPr>
          <w:b/>
        </w:rPr>
        <w:t>Table G1. Sponsor exits and reversibility</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3742"/>
        <w:gridCol w:w="1077"/>
        <w:gridCol w:w="2268"/>
      </w:tblGrid>
      <w:tr w:rsidR="00B474F8" w:rsidRPr="00FF4DCD" w:rsidTr="00B474F8">
        <w:trPr>
          <w:cantSplit/>
          <w:tblHeader/>
        </w:trPr>
        <w:tc>
          <w:tcPr>
            <w:tcW w:w="3742" w:type="dxa"/>
            <w:vAlign w:val="center"/>
          </w:tcPr>
          <w:p w:rsidR="00FF4DCD" w:rsidRPr="00B474F8" w:rsidRDefault="00FF4DCD" w:rsidP="00EB6AAB">
            <w:pPr>
              <w:wordWrap/>
              <w:rPr>
                <w:b/>
              </w:rPr>
            </w:pPr>
            <w:r w:rsidRPr="00B474F8">
              <w:rPr>
                <w:b/>
              </w:rPr>
              <w:t>Estimate</w:t>
            </w:r>
          </w:p>
        </w:tc>
        <w:tc>
          <w:tcPr>
            <w:tcW w:w="1077" w:type="dxa"/>
            <w:vAlign w:val="center"/>
          </w:tcPr>
          <w:p w:rsidR="00FF4DCD" w:rsidRPr="00B474F8" w:rsidRDefault="00FF4DCD" w:rsidP="00B474F8">
            <w:pPr>
              <w:wordWrap/>
              <w:jc w:val="center"/>
              <w:rPr>
                <w:b/>
              </w:rPr>
            </w:pPr>
            <w:r w:rsidRPr="00B474F8">
              <w:rPr>
                <w:b/>
              </w:rPr>
              <w:t>Value</w:t>
            </w:r>
          </w:p>
        </w:tc>
        <w:tc>
          <w:tcPr>
            <w:tcW w:w="2268" w:type="dxa"/>
            <w:vAlign w:val="center"/>
          </w:tcPr>
          <w:p w:rsidR="00FF4DCD" w:rsidRPr="00B474F8" w:rsidRDefault="00FF4DCD" w:rsidP="00B474F8">
            <w:pPr>
              <w:wordWrap/>
              <w:jc w:val="center"/>
              <w:rPr>
                <w:b/>
              </w:rPr>
            </w:pPr>
            <w:r w:rsidRPr="00B474F8">
              <w:rPr>
                <w:b/>
              </w:rPr>
              <w:t>95% CI</w:t>
            </w:r>
          </w:p>
        </w:tc>
      </w:tr>
      <w:tr w:rsidR="00B474F8" w:rsidRPr="00FF4DCD" w:rsidTr="00B474F8">
        <w:trPr>
          <w:cantSplit/>
        </w:trPr>
        <w:tc>
          <w:tcPr>
            <w:tcW w:w="3742" w:type="dxa"/>
          </w:tcPr>
          <w:p w:rsidR="00FF4DCD" w:rsidRPr="00FF4DCD" w:rsidRDefault="00FF4DCD" w:rsidP="00EB6AAB">
            <w:pPr>
              <w:wordWrap/>
            </w:pPr>
            <w:r w:rsidRPr="00FF4DCD">
              <w:t>Entry-period change in no-entry share</w:t>
            </w:r>
          </w:p>
        </w:tc>
        <w:tc>
          <w:tcPr>
            <w:tcW w:w="1077" w:type="dxa"/>
            <w:vAlign w:val="center"/>
          </w:tcPr>
          <w:p w:rsidR="00FF4DCD" w:rsidRPr="00FF4DCD" w:rsidRDefault="00FF4DCD" w:rsidP="00B474F8">
            <w:pPr>
              <w:wordWrap/>
              <w:jc w:val="center"/>
            </w:pPr>
            <w:r w:rsidRPr="00FF4DCD">
              <w:t>−0.0715</w:t>
            </w:r>
          </w:p>
        </w:tc>
        <w:tc>
          <w:tcPr>
            <w:tcW w:w="2268" w:type="dxa"/>
            <w:vAlign w:val="center"/>
          </w:tcPr>
          <w:p w:rsidR="00FF4DCD" w:rsidRPr="00FF4DCD" w:rsidRDefault="00FF4DCD" w:rsidP="00B474F8">
            <w:pPr>
              <w:wordWrap/>
              <w:jc w:val="center"/>
            </w:pPr>
            <w:r w:rsidRPr="00FF4DCD">
              <w:t>[−0.1328, −0.0093]</w:t>
            </w:r>
          </w:p>
        </w:tc>
      </w:tr>
      <w:tr w:rsidR="00B474F8" w:rsidRPr="00FF4DCD" w:rsidTr="00B474F8">
        <w:trPr>
          <w:cantSplit/>
        </w:trPr>
        <w:tc>
          <w:tcPr>
            <w:tcW w:w="3742" w:type="dxa"/>
          </w:tcPr>
          <w:p w:rsidR="00FF4DCD" w:rsidRPr="00FF4DCD" w:rsidRDefault="00FF4DCD" w:rsidP="00EB6AAB">
            <w:pPr>
              <w:wordWrap/>
            </w:pPr>
            <w:r w:rsidRPr="00FF4DCD">
              <w:t>Exit-period change in no-entry share</w:t>
            </w:r>
          </w:p>
        </w:tc>
        <w:tc>
          <w:tcPr>
            <w:tcW w:w="1077" w:type="dxa"/>
            <w:vAlign w:val="center"/>
          </w:tcPr>
          <w:p w:rsidR="00FF4DCD" w:rsidRPr="00FF4DCD" w:rsidRDefault="00FF4DCD" w:rsidP="00B474F8">
            <w:pPr>
              <w:wordWrap/>
              <w:jc w:val="center"/>
            </w:pPr>
            <w:r w:rsidRPr="00FF4DCD">
              <w:t>−0.0077</w:t>
            </w:r>
          </w:p>
        </w:tc>
        <w:tc>
          <w:tcPr>
            <w:tcW w:w="2268" w:type="dxa"/>
            <w:vAlign w:val="center"/>
          </w:tcPr>
          <w:p w:rsidR="00FF4DCD" w:rsidRPr="00FF4DCD" w:rsidRDefault="00FF4DCD" w:rsidP="00B474F8">
            <w:pPr>
              <w:wordWrap/>
              <w:jc w:val="center"/>
            </w:pPr>
            <w:r w:rsidRPr="00FF4DCD">
              <w:t>[−0.1192, 0.0859]</w:t>
            </w:r>
          </w:p>
        </w:tc>
      </w:tr>
      <w:tr w:rsidR="00B474F8" w:rsidRPr="00FF4DCD" w:rsidTr="00B474F8">
        <w:trPr>
          <w:cantSplit/>
        </w:trPr>
        <w:tc>
          <w:tcPr>
            <w:tcW w:w="3742" w:type="dxa"/>
          </w:tcPr>
          <w:p w:rsidR="00FF4DCD" w:rsidRPr="00FF4DCD" w:rsidRDefault="00FF4DCD" w:rsidP="00EB6AAB">
            <w:pPr>
              <w:wordWrap/>
            </w:pPr>
            <w:r w:rsidRPr="00FF4DCD">
              <w:lastRenderedPageBreak/>
              <w:t>Entry + exit</w:t>
            </w:r>
          </w:p>
        </w:tc>
        <w:tc>
          <w:tcPr>
            <w:tcW w:w="1077" w:type="dxa"/>
            <w:vAlign w:val="center"/>
          </w:tcPr>
          <w:p w:rsidR="00FF4DCD" w:rsidRPr="00FF4DCD" w:rsidRDefault="00FF4DCD" w:rsidP="00B474F8">
            <w:pPr>
              <w:wordWrap/>
              <w:jc w:val="center"/>
            </w:pPr>
            <w:r w:rsidRPr="00FF4DCD">
              <w:t>−0.0792</w:t>
            </w:r>
          </w:p>
        </w:tc>
        <w:tc>
          <w:tcPr>
            <w:tcW w:w="2268" w:type="dxa"/>
            <w:vAlign w:val="center"/>
          </w:tcPr>
          <w:p w:rsidR="00FF4DCD" w:rsidRPr="00FF4DCD" w:rsidRDefault="00FF4DCD" w:rsidP="00B474F8">
            <w:pPr>
              <w:wordWrap/>
              <w:jc w:val="center"/>
            </w:pPr>
            <w:r w:rsidRPr="00FF4DCD">
              <w:t>[−0.2122, 0.0338]</w:t>
            </w:r>
          </w:p>
        </w:tc>
      </w:tr>
      <w:tr w:rsidR="00B474F8" w:rsidRPr="00FF4DCD" w:rsidTr="00B474F8">
        <w:trPr>
          <w:cantSplit/>
        </w:trPr>
        <w:tc>
          <w:tcPr>
            <w:tcW w:w="3742" w:type="dxa"/>
          </w:tcPr>
          <w:p w:rsidR="00FF4DCD" w:rsidRPr="00FF4DCD" w:rsidRDefault="00FF4DCD" w:rsidP="00EB6AAB">
            <w:pPr>
              <w:wordWrap/>
            </w:pPr>
            <w:r w:rsidRPr="00FF4DCD">
              <w:t>Usable sponsor exits</w:t>
            </w:r>
          </w:p>
        </w:tc>
        <w:tc>
          <w:tcPr>
            <w:tcW w:w="1077" w:type="dxa"/>
            <w:vAlign w:val="center"/>
          </w:tcPr>
          <w:p w:rsidR="00FF4DCD" w:rsidRPr="00FF4DCD" w:rsidRDefault="00FF4DCD" w:rsidP="00B474F8">
            <w:pPr>
              <w:wordWrap/>
              <w:jc w:val="center"/>
            </w:pPr>
            <w:r w:rsidRPr="00FF4DCD">
              <w:t>13</w:t>
            </w:r>
          </w:p>
        </w:tc>
        <w:tc>
          <w:tcPr>
            <w:tcW w:w="2268" w:type="dxa"/>
            <w:vAlign w:val="center"/>
          </w:tcPr>
          <w:p w:rsidR="00FF4DCD" w:rsidRPr="00FF4DCD" w:rsidRDefault="00FF4DCD" w:rsidP="00B474F8">
            <w:pPr>
              <w:wordWrap/>
              <w:jc w:val="center"/>
            </w:pPr>
            <w:r w:rsidRPr="00FF4DCD">
              <w:t>—</w:t>
            </w:r>
          </w:p>
        </w:tc>
      </w:tr>
    </w:tbl>
    <w:p w:rsidR="00FF4DCD" w:rsidRPr="00B567F4" w:rsidRDefault="00FF4DCD" w:rsidP="00EB6AAB">
      <w:pPr>
        <w:pStyle w:val="aff3"/>
        <w:wordWrap/>
        <w:spacing w:before="0"/>
        <w:rPr>
          <w:color w:val="7F7F7F" w:themeColor="text1" w:themeTint="80"/>
          <w:sz w:val="20"/>
        </w:rPr>
      </w:pPr>
      <w:r w:rsidRPr="00B567F4">
        <w:rPr>
          <w:color w:val="7F7F7F" w:themeColor="text1" w:themeTint="80"/>
          <w:sz w:val="20"/>
        </w:rPr>
        <w:t>Notes. The entry-period estimate measures the matched change around the original private equity investment for the thirteen firms later observed to exit. The exit-period estimate measures the corresponding change around sponsor departure after rematching at the exit event. A positive exit-period estimate would offset the negative entry-period change. Their sum is therefore reported as a descriptive measure of how much of the original no-entry-share change remains after incorporating the exit-period estimate. The analysis does not impose that the two event windows represent exact inverse treatments.</w:t>
      </w:r>
    </w:p>
    <w:p w:rsidR="00FF4DCD" w:rsidRPr="00FF4DCD" w:rsidRDefault="00FF4DCD" w:rsidP="00EB6AAB">
      <w:pPr>
        <w:pStyle w:val="aff3"/>
        <w:wordWrap/>
      </w:pPr>
      <w:r>
        <w:rPr>
          <w:rFonts w:eastAsia="Times New Roman"/>
        </w:rPr>
        <w:t>For these firms, the no-entry share falls by 0.0715 around entry [−0.1328, −0.0093] and by 0.0077 around exit [−0.1192, 0.0859]. Their sum is −0.0792 [−0.2122, 0.0338].</w:t>
      </w:r>
      <w:r>
        <w:t xml:space="preserve"> </w:t>
      </w:r>
      <w:r>
        <w:rPr>
          <w:rFonts w:eastAsia="Times New Roman"/>
        </w:rPr>
        <w:t>The combined interval accommodates persistence, partial reversal, and little remaining difference. Thirteen exits do not distinguish these paths with useful precision.</w:t>
      </w:r>
    </w:p>
    <w:p w:rsidR="00FF4DCD" w:rsidRPr="00FF4DCD" w:rsidRDefault="00FF4DCD" w:rsidP="00EB6AAB">
      <w:pPr>
        <w:pStyle w:val="3"/>
      </w:pPr>
      <w:r w:rsidRPr="00FF4DCD">
        <w:t>G.2 Not-yet-treated firms as controls</w:t>
      </w:r>
    </w:p>
    <w:p w:rsidR="00FF4DCD" w:rsidRPr="00FF4DCD" w:rsidRDefault="00FF4DCD" w:rsidP="00EB6AAB">
      <w:pPr>
        <w:pStyle w:val="aff3"/>
        <w:wordWrap/>
      </w:pPr>
      <w:r>
        <w:rPr>
          <w:rFonts w:eastAsia="Times New Roman"/>
        </w:rPr>
        <w:t>As an alternative to never-treated controls, we use firms that receive private equity investment sufficiently far in the future.</w:t>
      </w:r>
      <w:r>
        <w:t xml:space="preserve"> </w:t>
      </w:r>
      <w:r>
        <w:rPr>
          <w:rFonts w:eastAsia="Times New Roman"/>
        </w:rPr>
        <w:t>Future-treated firms may share unobserved determinants of eventual private equity selection. But those approaching their own transaction may already be adjusting or responding to related information.</w:t>
      </w:r>
      <w:r>
        <w:t xml:space="preserve"> </w:t>
      </w:r>
      <w:r>
        <w:rPr>
          <w:rFonts w:eastAsia="Times New Roman"/>
        </w:rPr>
        <w:t>Controls must be at least twenty-four months from their own transaction, satisfy the size restriction, and rank among the five nearest neighbours. The gap keeps their deal outside the focal post-event window but cannot exclude anticipation beginning earlier.</w:t>
      </w:r>
      <w:r>
        <w:t xml:space="preserve"> </w:t>
      </w:r>
      <w:r w:rsidRPr="00FF4DCD">
        <w:t xml:space="preserve">We report continuous outcomes before the earlier binary comparison. Panel A uses the treated-minus-control change in the share of months with no worker entry. Panel B uses </w:t>
      </w:r>
      <m:oMath>
        <m:r>
          <m:rPr>
            <m:sty m:val="p"/>
          </m:rPr>
          <w:rPr>
            <w:rFonts w:ascii="Cambria Math" w:hAnsi="Cambria Math"/>
          </w:rPr>
          <m:t>log(</m:t>
        </m:r>
        <m:r>
          <w:rPr>
            <w:rFonts w:ascii="Cambria Math" w:hAnsi="Cambria Math"/>
          </w:rPr>
          <m:t>1</m:t>
        </m:r>
        <m:r>
          <m:rPr>
            <m:sty m:val="p"/>
          </m:rPr>
          <w:rPr>
            <w:rFonts w:ascii="Cambria Math" w:hAnsi="Cambria Math"/>
          </w:rPr>
          <m:t>+</m:t>
        </m:r>
        <m:r>
          <m:rPr>
            <m:nor/>
          </m:rPr>
          <m:t>worker-entry rate</m:t>
        </m:r>
        <m:r>
          <m:rPr>
            <m:sty m:val="p"/>
          </m:rPr>
          <w:rPr>
            <w:rFonts w:ascii="Cambria Math" w:hAnsi="Cambria Math"/>
          </w:rPr>
          <m:t>)</m:t>
        </m:r>
      </m:oMath>
      <w:r w:rsidRPr="00FF4DCD">
        <w:t xml:space="preserve">, which retains windows with zero worker entries. Panel C reports the original </w:t>
      </w:r>
      <m:oMath>
        <m:r>
          <w:rPr>
            <w:rFonts w:ascii="Cambria Math" w:hAnsi="Cambria Math"/>
          </w:rPr>
          <m:t>P1</m:t>
        </m:r>
      </m:oMath>
      <w:r w:rsidRPr="00FF4DCD">
        <w:t xml:space="preserve"> statistic, defined as the treated-minus-control difference in the probability that the no-entry share declines between the pre- and post-event windows.</w:t>
      </w:r>
    </w:p>
    <w:p w:rsidR="00FF4DCD" w:rsidRPr="00FF4DCD" w:rsidRDefault="00FF4DCD" w:rsidP="00EB6AAB">
      <w:pPr>
        <w:pStyle w:val="3"/>
      </w:pPr>
      <w:r w:rsidRPr="00FF4DCD">
        <w:t>Table G2. Not-yet-treated private equity targets as controls</w:t>
      </w:r>
    </w:p>
    <w:p w:rsidR="00FF4DCD" w:rsidRPr="00FF4DCD" w:rsidRDefault="00FF4DCD" w:rsidP="00EB6AAB">
      <w:pPr>
        <w:pStyle w:val="aff3"/>
        <w:wordWrap/>
      </w:pPr>
      <w:r w:rsidRPr="00FF4DCD">
        <w:rPr>
          <w:b/>
          <w:bCs/>
        </w:rPr>
        <w:t>Panel A. Continuous change in the no-entry share</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819"/>
        <w:gridCol w:w="1274"/>
        <w:gridCol w:w="2126"/>
        <w:gridCol w:w="802"/>
      </w:tblGrid>
      <w:tr w:rsidR="00FF4DCD" w:rsidRPr="00FF4DCD" w:rsidTr="00B474F8">
        <w:trPr>
          <w:cantSplit/>
          <w:tblHeader/>
        </w:trPr>
        <w:tc>
          <w:tcPr>
            <w:tcW w:w="4819" w:type="dxa"/>
            <w:vAlign w:val="center"/>
          </w:tcPr>
          <w:p w:rsidR="00FF4DCD" w:rsidRPr="00B474F8" w:rsidRDefault="00FF4DCD" w:rsidP="00EB6AAB">
            <w:pPr>
              <w:wordWrap/>
              <w:jc w:val="left"/>
              <w:rPr>
                <w:b/>
              </w:rPr>
            </w:pPr>
            <w:r w:rsidRPr="00B474F8">
              <w:rPr>
                <w:b/>
                <w:sz w:val="20"/>
              </w:rPr>
              <w:t>Specification</w:t>
            </w:r>
          </w:p>
        </w:tc>
        <w:tc>
          <w:tcPr>
            <w:tcW w:w="1274" w:type="dxa"/>
            <w:vAlign w:val="center"/>
          </w:tcPr>
          <w:p w:rsidR="00FF4DCD" w:rsidRPr="00B474F8" w:rsidRDefault="00FF4DCD" w:rsidP="00B474F8">
            <w:pPr>
              <w:wordWrap/>
              <w:jc w:val="center"/>
              <w:rPr>
                <w:b/>
              </w:rPr>
            </w:pPr>
            <w:r w:rsidRPr="00B474F8">
              <w:rPr>
                <w:b/>
                <w:sz w:val="20"/>
              </w:rPr>
              <w:t>Estimate</w:t>
            </w:r>
          </w:p>
        </w:tc>
        <w:tc>
          <w:tcPr>
            <w:tcW w:w="2126" w:type="dxa"/>
            <w:vAlign w:val="center"/>
          </w:tcPr>
          <w:p w:rsidR="00FF4DCD" w:rsidRPr="00B474F8" w:rsidRDefault="00FF4DCD" w:rsidP="00B474F8">
            <w:pPr>
              <w:wordWrap/>
              <w:jc w:val="center"/>
              <w:rPr>
                <w:b/>
              </w:rPr>
            </w:pPr>
            <w:r w:rsidRPr="00B474F8">
              <w:rPr>
                <w:b/>
                <w:sz w:val="20"/>
              </w:rPr>
              <w:t>95% CI</w:t>
            </w:r>
          </w:p>
        </w:tc>
        <w:tc>
          <w:tcPr>
            <w:tcW w:w="802" w:type="dxa"/>
            <w:vAlign w:val="center"/>
          </w:tcPr>
          <w:p w:rsidR="00FF4DCD" w:rsidRPr="00B474F8" w:rsidRDefault="00FF4DCD" w:rsidP="00B474F8">
            <w:pPr>
              <w:wordWrap/>
              <w:jc w:val="center"/>
              <w:rPr>
                <w:b/>
              </w:rPr>
            </w:pPr>
            <w:r w:rsidRPr="00B474F8">
              <w:rPr>
                <w:b/>
                <w:sz w:val="20"/>
              </w:rPr>
              <w:t>N</w:t>
            </w:r>
          </w:p>
        </w:tc>
      </w:tr>
      <w:tr w:rsidR="00FF4DCD" w:rsidRPr="00FF4DCD" w:rsidTr="00B474F8">
        <w:trPr>
          <w:cantSplit/>
        </w:trPr>
        <w:tc>
          <w:tcPr>
            <w:tcW w:w="4819" w:type="dxa"/>
          </w:tcPr>
          <w:p w:rsidR="00FF4DCD" w:rsidRPr="00FF4DCD" w:rsidRDefault="00FF4DCD" w:rsidP="00EB6AAB">
            <w:pPr>
              <w:wordWrap/>
              <w:jc w:val="left"/>
            </w:pPr>
            <w:r>
              <w:t>Original treated sample and future-treated controls</w:t>
            </w:r>
          </w:p>
        </w:tc>
        <w:tc>
          <w:tcPr>
            <w:tcW w:w="1274" w:type="dxa"/>
            <w:vAlign w:val="center"/>
          </w:tcPr>
          <w:p w:rsidR="00FF4DCD" w:rsidRPr="00FF4DCD" w:rsidRDefault="00FF4DCD" w:rsidP="00B474F8">
            <w:pPr>
              <w:wordWrap/>
              <w:jc w:val="center"/>
            </w:pPr>
            <w:r>
              <w:t>+0.0411</w:t>
            </w:r>
          </w:p>
        </w:tc>
        <w:tc>
          <w:tcPr>
            <w:tcW w:w="2126" w:type="dxa"/>
            <w:vAlign w:val="center"/>
          </w:tcPr>
          <w:p w:rsidR="00FF4DCD" w:rsidRPr="00FF4DCD" w:rsidRDefault="00FF4DCD" w:rsidP="00B474F8">
            <w:pPr>
              <w:wordWrap/>
              <w:jc w:val="center"/>
            </w:pPr>
            <w:r>
              <w:t>[−0.0113, 0.0921]</w:t>
            </w:r>
          </w:p>
        </w:tc>
        <w:tc>
          <w:tcPr>
            <w:tcW w:w="802" w:type="dxa"/>
            <w:vAlign w:val="center"/>
          </w:tcPr>
          <w:p w:rsidR="00FF4DCD" w:rsidRPr="00FF4DCD" w:rsidRDefault="00FF4DCD" w:rsidP="00B474F8">
            <w:pPr>
              <w:wordWrap/>
              <w:jc w:val="center"/>
            </w:pPr>
            <w:r>
              <w:t>186</w:t>
            </w:r>
          </w:p>
        </w:tc>
      </w:tr>
      <w:tr w:rsidR="00FF4DCD" w:rsidRPr="00FF4DCD" w:rsidTr="00B474F8">
        <w:trPr>
          <w:cantSplit/>
        </w:trPr>
        <w:tc>
          <w:tcPr>
            <w:tcW w:w="4819" w:type="dxa"/>
          </w:tcPr>
          <w:p w:rsidR="00FF4DCD" w:rsidRPr="00FF4DCD" w:rsidRDefault="00FF4DCD" w:rsidP="00EB6AAB">
            <w:pPr>
              <w:wordWrap/>
              <w:jc w:val="left"/>
            </w:pPr>
            <w:r>
              <w:t>Expanded treated sample and future-treated controls</w:t>
            </w:r>
          </w:p>
        </w:tc>
        <w:tc>
          <w:tcPr>
            <w:tcW w:w="1274" w:type="dxa"/>
            <w:vAlign w:val="center"/>
          </w:tcPr>
          <w:p w:rsidR="00FF4DCD" w:rsidRPr="00FF4DCD" w:rsidRDefault="00FF4DCD" w:rsidP="00B474F8">
            <w:pPr>
              <w:wordWrap/>
              <w:jc w:val="center"/>
            </w:pPr>
            <w:r>
              <w:t>+0.0342</w:t>
            </w:r>
          </w:p>
        </w:tc>
        <w:tc>
          <w:tcPr>
            <w:tcW w:w="2126" w:type="dxa"/>
            <w:vAlign w:val="center"/>
          </w:tcPr>
          <w:p w:rsidR="00FF4DCD" w:rsidRPr="00FF4DCD" w:rsidRDefault="00FF4DCD" w:rsidP="00B474F8">
            <w:pPr>
              <w:wordWrap/>
              <w:jc w:val="center"/>
            </w:pPr>
            <w:r>
              <w:t>[−0.0074, 0.0722]</w:t>
            </w:r>
          </w:p>
        </w:tc>
        <w:tc>
          <w:tcPr>
            <w:tcW w:w="802" w:type="dxa"/>
            <w:vAlign w:val="center"/>
          </w:tcPr>
          <w:p w:rsidR="00FF4DCD" w:rsidRPr="00FF4DCD" w:rsidRDefault="00FF4DCD" w:rsidP="00B474F8">
            <w:pPr>
              <w:wordWrap/>
              <w:jc w:val="center"/>
            </w:pPr>
            <w:r>
              <w:t>256</w:t>
            </w:r>
          </w:p>
        </w:tc>
      </w:tr>
      <w:tr w:rsidR="00FF4DCD" w:rsidRPr="00FF4DCD" w:rsidTr="00B474F8">
        <w:trPr>
          <w:cantSplit/>
        </w:trPr>
        <w:tc>
          <w:tcPr>
            <w:tcW w:w="4819" w:type="dxa"/>
          </w:tcPr>
          <w:p w:rsidR="00FF4DCD" w:rsidRPr="00FF4DCD" w:rsidRDefault="00FF4DCD" w:rsidP="00EB6AAB">
            <w:pPr>
              <w:wordWrap/>
              <w:jc w:val="left"/>
            </w:pPr>
            <w:r>
              <w:lastRenderedPageBreak/>
              <w:t>Difference</w:t>
            </w:r>
          </w:p>
        </w:tc>
        <w:tc>
          <w:tcPr>
            <w:tcW w:w="1274" w:type="dxa"/>
            <w:vAlign w:val="center"/>
          </w:tcPr>
          <w:p w:rsidR="00FF4DCD" w:rsidRPr="00FF4DCD" w:rsidRDefault="00FF4DCD" w:rsidP="00B474F8">
            <w:pPr>
              <w:wordWrap/>
              <w:jc w:val="center"/>
            </w:pPr>
            <w:r>
              <w:t>+0.0069</w:t>
            </w:r>
          </w:p>
        </w:tc>
        <w:tc>
          <w:tcPr>
            <w:tcW w:w="2126" w:type="dxa"/>
            <w:vAlign w:val="center"/>
          </w:tcPr>
          <w:p w:rsidR="00FF4DCD" w:rsidRPr="00FF4DCD" w:rsidRDefault="00FF4DCD" w:rsidP="00B474F8">
            <w:pPr>
              <w:wordWrap/>
              <w:jc w:val="center"/>
            </w:pPr>
            <w:r>
              <w:t>[−0.0573, 0.0772]</w:t>
            </w:r>
          </w:p>
        </w:tc>
        <w:tc>
          <w:tcPr>
            <w:tcW w:w="802" w:type="dxa"/>
            <w:vAlign w:val="center"/>
          </w:tcPr>
          <w:p w:rsidR="00FF4DCD" w:rsidRPr="00FF4DCD" w:rsidRDefault="00FF4DCD" w:rsidP="00B474F8">
            <w:pPr>
              <w:wordWrap/>
              <w:jc w:val="center"/>
            </w:pPr>
            <w:r>
              <w:t>—</w:t>
            </w:r>
          </w:p>
        </w:tc>
      </w:tr>
    </w:tbl>
    <w:p w:rsidR="00FF4DCD" w:rsidRPr="00FF4DCD" w:rsidRDefault="00FF4DCD" w:rsidP="00EB6AAB">
      <w:pPr>
        <w:pStyle w:val="aff3"/>
        <w:wordWrap/>
      </w:pPr>
      <w:r w:rsidRPr="00FF4DCD">
        <w:rPr>
          <w:b/>
          <w:bCs/>
        </w:rPr>
        <w:t xml:space="preserve">Panel B. Continuous change in </w:t>
      </w:r>
      <m:oMath>
        <m:r>
          <m:rPr>
            <m:sty m:val="p"/>
          </m:rPr>
          <w:rPr>
            <w:rFonts w:ascii="Cambria Math" w:hAnsi="Cambria Math"/>
          </w:rPr>
          <m:t>log(</m:t>
        </m:r>
        <m:r>
          <w:rPr>
            <w:rFonts w:ascii="Cambria Math" w:hAnsi="Cambria Math"/>
          </w:rPr>
          <m:t>1</m:t>
        </m:r>
        <m:r>
          <m:rPr>
            <m:sty m:val="p"/>
          </m:rPr>
          <w:rPr>
            <w:rFonts w:ascii="Cambria Math" w:hAnsi="Cambria Math"/>
          </w:rPr>
          <m:t>+</m:t>
        </m:r>
        <m:r>
          <m:rPr>
            <m:nor/>
          </m:rPr>
          <m:t>worker-entry rate</m:t>
        </m:r>
        <m:r>
          <m:rPr>
            <m:sty m:val="p"/>
          </m:rPr>
          <w:rPr>
            <w:rFonts w:ascii="Cambria Math" w:hAnsi="Cambria Math"/>
          </w:rPr>
          <m:t>)</m:t>
        </m:r>
      </m:oMath>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819"/>
        <w:gridCol w:w="1274"/>
        <w:gridCol w:w="2126"/>
        <w:gridCol w:w="802"/>
      </w:tblGrid>
      <w:tr w:rsidR="00FF4DCD" w:rsidRPr="00FF4DCD" w:rsidTr="00B474F8">
        <w:trPr>
          <w:cantSplit/>
          <w:tblHeader/>
        </w:trPr>
        <w:tc>
          <w:tcPr>
            <w:tcW w:w="4819" w:type="dxa"/>
            <w:vAlign w:val="center"/>
          </w:tcPr>
          <w:p w:rsidR="00FF4DCD" w:rsidRPr="00B474F8" w:rsidRDefault="00FF4DCD" w:rsidP="00EB6AAB">
            <w:pPr>
              <w:wordWrap/>
              <w:jc w:val="left"/>
              <w:rPr>
                <w:b/>
              </w:rPr>
            </w:pPr>
            <w:r w:rsidRPr="00B474F8">
              <w:rPr>
                <w:b/>
                <w:sz w:val="20"/>
              </w:rPr>
              <w:t>Specification</w:t>
            </w:r>
          </w:p>
        </w:tc>
        <w:tc>
          <w:tcPr>
            <w:tcW w:w="1274" w:type="dxa"/>
            <w:vAlign w:val="center"/>
          </w:tcPr>
          <w:p w:rsidR="00FF4DCD" w:rsidRPr="00B474F8" w:rsidRDefault="00FF4DCD" w:rsidP="00B474F8">
            <w:pPr>
              <w:wordWrap/>
              <w:jc w:val="center"/>
              <w:rPr>
                <w:b/>
              </w:rPr>
            </w:pPr>
            <w:r w:rsidRPr="00B474F8">
              <w:rPr>
                <w:b/>
                <w:sz w:val="20"/>
              </w:rPr>
              <w:t>Estimate</w:t>
            </w:r>
          </w:p>
        </w:tc>
        <w:tc>
          <w:tcPr>
            <w:tcW w:w="2126" w:type="dxa"/>
            <w:vAlign w:val="center"/>
          </w:tcPr>
          <w:p w:rsidR="00FF4DCD" w:rsidRPr="00B474F8" w:rsidRDefault="00FF4DCD" w:rsidP="00B474F8">
            <w:pPr>
              <w:wordWrap/>
              <w:jc w:val="center"/>
              <w:rPr>
                <w:b/>
              </w:rPr>
            </w:pPr>
            <w:r w:rsidRPr="00B474F8">
              <w:rPr>
                <w:b/>
                <w:sz w:val="20"/>
              </w:rPr>
              <w:t>95% CI</w:t>
            </w:r>
          </w:p>
        </w:tc>
        <w:tc>
          <w:tcPr>
            <w:tcW w:w="802" w:type="dxa"/>
            <w:vAlign w:val="center"/>
          </w:tcPr>
          <w:p w:rsidR="00FF4DCD" w:rsidRPr="00B474F8" w:rsidRDefault="00FF4DCD" w:rsidP="00B474F8">
            <w:pPr>
              <w:wordWrap/>
              <w:jc w:val="center"/>
              <w:rPr>
                <w:b/>
              </w:rPr>
            </w:pPr>
            <w:r w:rsidRPr="00B474F8">
              <w:rPr>
                <w:b/>
                <w:sz w:val="20"/>
              </w:rPr>
              <w:t>N</w:t>
            </w:r>
          </w:p>
        </w:tc>
      </w:tr>
      <w:tr w:rsidR="00FF4DCD" w:rsidRPr="00FF4DCD" w:rsidTr="00B474F8">
        <w:trPr>
          <w:cantSplit/>
        </w:trPr>
        <w:tc>
          <w:tcPr>
            <w:tcW w:w="4819" w:type="dxa"/>
          </w:tcPr>
          <w:p w:rsidR="00FF4DCD" w:rsidRPr="00FF4DCD" w:rsidRDefault="00FF4DCD" w:rsidP="00EB6AAB">
            <w:pPr>
              <w:wordWrap/>
              <w:jc w:val="left"/>
            </w:pPr>
            <w:r>
              <w:t>Original treated sample and future-treated controls</w:t>
            </w:r>
          </w:p>
        </w:tc>
        <w:tc>
          <w:tcPr>
            <w:tcW w:w="1274" w:type="dxa"/>
            <w:vAlign w:val="center"/>
          </w:tcPr>
          <w:p w:rsidR="00FF4DCD" w:rsidRPr="00FF4DCD" w:rsidRDefault="00FF4DCD" w:rsidP="00B474F8">
            <w:pPr>
              <w:wordWrap/>
              <w:jc w:val="center"/>
            </w:pPr>
            <w:r>
              <w:t>+0.0453</w:t>
            </w:r>
          </w:p>
        </w:tc>
        <w:tc>
          <w:tcPr>
            <w:tcW w:w="2126" w:type="dxa"/>
            <w:vAlign w:val="center"/>
          </w:tcPr>
          <w:p w:rsidR="00FF4DCD" w:rsidRPr="00FF4DCD" w:rsidRDefault="00FF4DCD" w:rsidP="00B474F8">
            <w:pPr>
              <w:wordWrap/>
              <w:jc w:val="center"/>
            </w:pPr>
            <w:r>
              <w:t>[−0.0062, 0.0946]</w:t>
            </w:r>
          </w:p>
        </w:tc>
        <w:tc>
          <w:tcPr>
            <w:tcW w:w="802" w:type="dxa"/>
            <w:vAlign w:val="center"/>
          </w:tcPr>
          <w:p w:rsidR="00FF4DCD" w:rsidRPr="00FF4DCD" w:rsidRDefault="00FF4DCD" w:rsidP="00B474F8">
            <w:pPr>
              <w:wordWrap/>
              <w:jc w:val="center"/>
            </w:pPr>
            <w:r>
              <w:t>186</w:t>
            </w:r>
          </w:p>
        </w:tc>
      </w:tr>
      <w:tr w:rsidR="00FF4DCD" w:rsidRPr="00FF4DCD" w:rsidTr="00B474F8">
        <w:trPr>
          <w:cantSplit/>
        </w:trPr>
        <w:tc>
          <w:tcPr>
            <w:tcW w:w="4819" w:type="dxa"/>
          </w:tcPr>
          <w:p w:rsidR="00FF4DCD" w:rsidRPr="00FF4DCD" w:rsidRDefault="00FF4DCD" w:rsidP="00EB6AAB">
            <w:pPr>
              <w:wordWrap/>
              <w:jc w:val="left"/>
            </w:pPr>
            <w:r>
              <w:t>Expanded treated sample and future-treated controls</w:t>
            </w:r>
          </w:p>
        </w:tc>
        <w:tc>
          <w:tcPr>
            <w:tcW w:w="1274" w:type="dxa"/>
            <w:vAlign w:val="center"/>
          </w:tcPr>
          <w:p w:rsidR="00FF4DCD" w:rsidRPr="00FF4DCD" w:rsidRDefault="00FF4DCD" w:rsidP="00B474F8">
            <w:pPr>
              <w:wordWrap/>
              <w:jc w:val="center"/>
            </w:pPr>
            <w:r>
              <w:t>+0.0207</w:t>
            </w:r>
          </w:p>
        </w:tc>
        <w:tc>
          <w:tcPr>
            <w:tcW w:w="2126" w:type="dxa"/>
            <w:vAlign w:val="center"/>
          </w:tcPr>
          <w:p w:rsidR="00FF4DCD" w:rsidRPr="00FF4DCD" w:rsidRDefault="00FF4DCD" w:rsidP="00B474F8">
            <w:pPr>
              <w:wordWrap/>
              <w:jc w:val="center"/>
            </w:pPr>
            <w:r>
              <w:t>[−0.0245, 0.0651]</w:t>
            </w:r>
          </w:p>
        </w:tc>
        <w:tc>
          <w:tcPr>
            <w:tcW w:w="802" w:type="dxa"/>
            <w:vAlign w:val="center"/>
          </w:tcPr>
          <w:p w:rsidR="00FF4DCD" w:rsidRPr="00FF4DCD" w:rsidRDefault="00FF4DCD" w:rsidP="00B474F8">
            <w:pPr>
              <w:wordWrap/>
              <w:jc w:val="center"/>
            </w:pPr>
            <w:r>
              <w:t>256</w:t>
            </w:r>
          </w:p>
        </w:tc>
      </w:tr>
      <w:tr w:rsidR="00FF4DCD" w:rsidRPr="00FF4DCD" w:rsidTr="00B474F8">
        <w:trPr>
          <w:cantSplit/>
        </w:trPr>
        <w:tc>
          <w:tcPr>
            <w:tcW w:w="4819" w:type="dxa"/>
          </w:tcPr>
          <w:p w:rsidR="00FF4DCD" w:rsidRPr="00FF4DCD" w:rsidRDefault="00FF4DCD" w:rsidP="00EB6AAB">
            <w:pPr>
              <w:wordWrap/>
              <w:jc w:val="left"/>
            </w:pPr>
            <w:r>
              <w:t>Difference</w:t>
            </w:r>
          </w:p>
        </w:tc>
        <w:tc>
          <w:tcPr>
            <w:tcW w:w="1274" w:type="dxa"/>
            <w:vAlign w:val="center"/>
          </w:tcPr>
          <w:p w:rsidR="00FF4DCD" w:rsidRPr="00FF4DCD" w:rsidRDefault="00FF4DCD" w:rsidP="00B474F8">
            <w:pPr>
              <w:wordWrap/>
              <w:jc w:val="center"/>
            </w:pPr>
            <w:r>
              <w:t>+0.0246</w:t>
            </w:r>
          </w:p>
        </w:tc>
        <w:tc>
          <w:tcPr>
            <w:tcW w:w="2126" w:type="dxa"/>
            <w:vAlign w:val="center"/>
          </w:tcPr>
          <w:p w:rsidR="00FF4DCD" w:rsidRPr="00FF4DCD" w:rsidRDefault="00FF4DCD" w:rsidP="00B474F8">
            <w:pPr>
              <w:wordWrap/>
              <w:snapToGrid w:val="0"/>
              <w:jc w:val="center"/>
            </w:pPr>
            <w:r>
              <w:t xml:space="preserve">Not separately </w:t>
            </w:r>
            <w:r w:rsidR="00B474F8">
              <w:br/>
            </w:r>
            <w:r>
              <w:t>bootstrapped</w:t>
            </w:r>
          </w:p>
        </w:tc>
        <w:tc>
          <w:tcPr>
            <w:tcW w:w="802" w:type="dxa"/>
            <w:vAlign w:val="center"/>
          </w:tcPr>
          <w:p w:rsidR="00FF4DCD" w:rsidRPr="00FF4DCD" w:rsidRDefault="00FF4DCD" w:rsidP="00B474F8">
            <w:pPr>
              <w:wordWrap/>
              <w:jc w:val="center"/>
            </w:pPr>
            <w:r>
              <w:t>—</w:t>
            </w:r>
          </w:p>
        </w:tc>
      </w:tr>
    </w:tbl>
    <w:p w:rsidR="00FF4DCD" w:rsidRPr="00FF4DCD" w:rsidRDefault="00FF4DCD" w:rsidP="00EB6AAB">
      <w:pPr>
        <w:pStyle w:val="aff3"/>
        <w:wordWrap/>
      </w:pPr>
      <w:r w:rsidRPr="00FF4DCD">
        <w:rPr>
          <w:b/>
          <w:bCs/>
        </w:rPr>
        <w:t>Panel C. Probability that the no-entry share declines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819"/>
        <w:gridCol w:w="1274"/>
        <w:gridCol w:w="2126"/>
        <w:gridCol w:w="802"/>
      </w:tblGrid>
      <w:tr w:rsidR="00FF4DCD" w:rsidRPr="00FF4DCD" w:rsidTr="00B474F8">
        <w:trPr>
          <w:cantSplit/>
          <w:tblHeader/>
        </w:trPr>
        <w:tc>
          <w:tcPr>
            <w:tcW w:w="4819" w:type="dxa"/>
            <w:vAlign w:val="center"/>
          </w:tcPr>
          <w:p w:rsidR="00FF4DCD" w:rsidRPr="00B474F8" w:rsidRDefault="00FF4DCD" w:rsidP="00EB6AAB">
            <w:pPr>
              <w:wordWrap/>
              <w:rPr>
                <w:b/>
              </w:rPr>
            </w:pPr>
            <w:r w:rsidRPr="00B474F8">
              <w:rPr>
                <w:b/>
                <w:sz w:val="20"/>
              </w:rPr>
              <w:t>Specification</w:t>
            </w:r>
          </w:p>
        </w:tc>
        <w:tc>
          <w:tcPr>
            <w:tcW w:w="1274" w:type="dxa"/>
            <w:vAlign w:val="center"/>
          </w:tcPr>
          <w:p w:rsidR="00FF4DCD" w:rsidRPr="00B474F8" w:rsidRDefault="00B474F8" w:rsidP="00B474F8">
            <w:pPr>
              <w:wordWrap/>
              <w:jc w:val="center"/>
              <w:rPr>
                <w:b/>
              </w:rPr>
            </w:pPr>
            <m:oMath>
              <m:r>
                <m:rPr>
                  <m:sty m:val="bi"/>
                </m:rPr>
                <w:rPr>
                  <w:rFonts w:ascii="Cambria Math" w:hAnsi="Cambria Math"/>
                </w:rPr>
                <m:t>P</m:t>
              </m:r>
              <m:r>
                <m:rPr>
                  <m:sty m:val="bi"/>
                </m:rPr>
                <w:rPr>
                  <w:rFonts w:ascii="Cambria Math" w:hAnsi="Cambria Math"/>
                </w:rPr>
                <m:t>1</m:t>
              </m:r>
            </m:oMath>
            <w:r w:rsidR="00FF4DCD" w:rsidRPr="00B474F8">
              <w:rPr>
                <w:b/>
                <w:sz w:val="20"/>
              </w:rPr>
              <w:t>​</w:t>
            </w:r>
          </w:p>
        </w:tc>
        <w:tc>
          <w:tcPr>
            <w:tcW w:w="2126" w:type="dxa"/>
            <w:vAlign w:val="center"/>
          </w:tcPr>
          <w:p w:rsidR="00FF4DCD" w:rsidRPr="00B474F8" w:rsidRDefault="00FF4DCD" w:rsidP="00B474F8">
            <w:pPr>
              <w:wordWrap/>
              <w:jc w:val="center"/>
              <w:rPr>
                <w:b/>
              </w:rPr>
            </w:pPr>
            <w:r w:rsidRPr="00B474F8">
              <w:rPr>
                <w:b/>
                <w:sz w:val="20"/>
              </w:rPr>
              <w:t>95% CI</w:t>
            </w:r>
          </w:p>
        </w:tc>
        <w:tc>
          <w:tcPr>
            <w:tcW w:w="802" w:type="dxa"/>
            <w:vAlign w:val="center"/>
          </w:tcPr>
          <w:p w:rsidR="00FF4DCD" w:rsidRPr="00B474F8" w:rsidRDefault="00FF4DCD" w:rsidP="00B474F8">
            <w:pPr>
              <w:wordWrap/>
              <w:jc w:val="center"/>
              <w:rPr>
                <w:b/>
              </w:rPr>
            </w:pPr>
            <w:r w:rsidRPr="00B474F8">
              <w:rPr>
                <w:b/>
                <w:sz w:val="20"/>
              </w:rPr>
              <w:t>N</w:t>
            </w:r>
          </w:p>
        </w:tc>
      </w:tr>
      <w:tr w:rsidR="00FF4DCD" w:rsidRPr="00FF4DCD" w:rsidTr="00B474F8">
        <w:trPr>
          <w:cantSplit/>
        </w:trPr>
        <w:tc>
          <w:tcPr>
            <w:tcW w:w="4819" w:type="dxa"/>
          </w:tcPr>
          <w:p w:rsidR="00FF4DCD" w:rsidRPr="00FF4DCD" w:rsidRDefault="00FF4DCD" w:rsidP="00EB6AAB">
            <w:pPr>
              <w:wordWrap/>
            </w:pPr>
            <w:r w:rsidRPr="00FF4DCD">
              <w:t>Original treated sample and future-treated controls</w:t>
            </w:r>
          </w:p>
        </w:tc>
        <w:tc>
          <w:tcPr>
            <w:tcW w:w="1274" w:type="dxa"/>
          </w:tcPr>
          <w:p w:rsidR="00FF4DCD" w:rsidRPr="00FF4DCD" w:rsidRDefault="00FF4DCD" w:rsidP="00B474F8">
            <w:pPr>
              <w:wordWrap/>
              <w:jc w:val="center"/>
            </w:pPr>
            <w:r w:rsidRPr="00FF4DCD">
              <w:t>−0.0863</w:t>
            </w:r>
          </w:p>
        </w:tc>
        <w:tc>
          <w:tcPr>
            <w:tcW w:w="2126" w:type="dxa"/>
          </w:tcPr>
          <w:p w:rsidR="00FF4DCD" w:rsidRPr="00FF4DCD" w:rsidRDefault="00FF4DCD" w:rsidP="00B474F8">
            <w:pPr>
              <w:wordWrap/>
              <w:jc w:val="center"/>
            </w:pPr>
            <w:r w:rsidRPr="00FF4DCD">
              <w:t>[−0.1653, −0.0069]</w:t>
            </w:r>
          </w:p>
        </w:tc>
        <w:tc>
          <w:tcPr>
            <w:tcW w:w="802" w:type="dxa"/>
          </w:tcPr>
          <w:p w:rsidR="00FF4DCD" w:rsidRPr="00FF4DCD" w:rsidRDefault="00FF4DCD" w:rsidP="00B474F8">
            <w:pPr>
              <w:wordWrap/>
              <w:jc w:val="center"/>
            </w:pPr>
            <w:r w:rsidRPr="00FF4DCD">
              <w:t>186</w:t>
            </w:r>
          </w:p>
        </w:tc>
      </w:tr>
      <w:tr w:rsidR="00FF4DCD" w:rsidRPr="00FF4DCD" w:rsidTr="00B474F8">
        <w:trPr>
          <w:cantSplit/>
        </w:trPr>
        <w:tc>
          <w:tcPr>
            <w:tcW w:w="4819" w:type="dxa"/>
          </w:tcPr>
          <w:p w:rsidR="00FF4DCD" w:rsidRPr="00FF4DCD" w:rsidRDefault="00FF4DCD" w:rsidP="00EB6AAB">
            <w:pPr>
              <w:wordWrap/>
            </w:pPr>
            <w:r w:rsidRPr="00FF4DCD">
              <w:t>Expanded treated sample and future-treated controls</w:t>
            </w:r>
          </w:p>
        </w:tc>
        <w:tc>
          <w:tcPr>
            <w:tcW w:w="1274" w:type="dxa"/>
          </w:tcPr>
          <w:p w:rsidR="00FF4DCD" w:rsidRPr="00FF4DCD" w:rsidRDefault="00FF4DCD" w:rsidP="00B474F8">
            <w:pPr>
              <w:wordWrap/>
              <w:jc w:val="center"/>
            </w:pPr>
            <w:r w:rsidRPr="00FF4DCD">
              <w:t>−0.0577</w:t>
            </w:r>
          </w:p>
        </w:tc>
        <w:tc>
          <w:tcPr>
            <w:tcW w:w="2126" w:type="dxa"/>
          </w:tcPr>
          <w:p w:rsidR="00FF4DCD" w:rsidRPr="00FF4DCD" w:rsidRDefault="00FF4DCD" w:rsidP="00B474F8">
            <w:pPr>
              <w:wordWrap/>
              <w:jc w:val="center"/>
            </w:pPr>
            <w:r w:rsidRPr="00FF4DCD">
              <w:t>[−0.1257, 0.0081]</w:t>
            </w:r>
          </w:p>
        </w:tc>
        <w:tc>
          <w:tcPr>
            <w:tcW w:w="802" w:type="dxa"/>
          </w:tcPr>
          <w:p w:rsidR="00FF4DCD" w:rsidRPr="00FF4DCD" w:rsidRDefault="00FF4DCD" w:rsidP="00B474F8">
            <w:pPr>
              <w:wordWrap/>
              <w:jc w:val="center"/>
            </w:pPr>
            <w:r w:rsidRPr="00FF4DCD">
              <w:t>256</w:t>
            </w:r>
          </w:p>
        </w:tc>
      </w:tr>
      <w:tr w:rsidR="00FF4DCD" w:rsidRPr="00FF4DCD" w:rsidTr="00B474F8">
        <w:trPr>
          <w:cantSplit/>
        </w:trPr>
        <w:tc>
          <w:tcPr>
            <w:tcW w:w="4819" w:type="dxa"/>
          </w:tcPr>
          <w:p w:rsidR="00FF4DCD" w:rsidRPr="00FF4DCD" w:rsidRDefault="00FF4DCD" w:rsidP="00EB6AAB">
            <w:pPr>
              <w:wordWrap/>
            </w:pPr>
            <w:r w:rsidRPr="00FF4DCD">
              <w:t>Difference</w:t>
            </w:r>
          </w:p>
        </w:tc>
        <w:tc>
          <w:tcPr>
            <w:tcW w:w="1274" w:type="dxa"/>
          </w:tcPr>
          <w:p w:rsidR="00FF4DCD" w:rsidRPr="00FF4DCD" w:rsidRDefault="00FF4DCD" w:rsidP="00B474F8">
            <w:pPr>
              <w:wordWrap/>
              <w:jc w:val="center"/>
            </w:pPr>
            <w:r w:rsidRPr="00FF4DCD">
              <w:t>−0.0287</w:t>
            </w:r>
          </w:p>
        </w:tc>
        <w:tc>
          <w:tcPr>
            <w:tcW w:w="2126" w:type="dxa"/>
          </w:tcPr>
          <w:p w:rsidR="00FF4DCD" w:rsidRPr="00FF4DCD" w:rsidRDefault="00FF4DCD" w:rsidP="00B474F8">
            <w:pPr>
              <w:wordWrap/>
              <w:jc w:val="center"/>
            </w:pPr>
            <w:r w:rsidRPr="00FF4DCD">
              <w:t>[−0.1295, 0.0713]</w:t>
            </w:r>
          </w:p>
        </w:tc>
        <w:tc>
          <w:tcPr>
            <w:tcW w:w="802" w:type="dxa"/>
          </w:tcPr>
          <w:p w:rsidR="00FF4DCD" w:rsidRPr="00FF4DCD" w:rsidRDefault="00FF4DCD" w:rsidP="00B474F8">
            <w:pPr>
              <w:wordWrap/>
              <w:jc w:val="center"/>
            </w:pPr>
            <w:r w:rsidRPr="00FF4DCD">
              <w:t>—</w:t>
            </w:r>
          </w:p>
        </w:tc>
      </w:tr>
    </w:tbl>
    <w:p w:rsidR="00FF4DCD" w:rsidRPr="00B567F4" w:rsidRDefault="00FF4DCD" w:rsidP="00EB6AAB">
      <w:pPr>
        <w:pStyle w:val="aff3"/>
        <w:wordWrap/>
        <w:rPr>
          <w:color w:val="7F7F7F" w:themeColor="text1" w:themeTint="80"/>
          <w:sz w:val="20"/>
        </w:rPr>
      </w:pPr>
      <w:r>
        <w:rPr>
          <w:i/>
          <w:color w:val="7F7F7F" w:themeColor="text1" w:themeTint="80"/>
          <w:sz w:val="20"/>
        </w:rPr>
        <w:t>Notes.</w:t>
      </w:r>
      <w:r>
        <w:rPr>
          <w:color w:val="7F7F7F" w:themeColor="text1" w:themeTint="80"/>
          <w:sz w:val="20"/>
        </w:rPr>
        <w:t xml:space="preserve"> Future-treated controls receive private equity investment at least twenty-four months after the focal event and are selected using a size restriction and five-nearest-neighbour procedure. Panel A reports the continuous change in the no-entry share. Panel B reports the corresponding fixed-window comparison in log(1 + worker-entry rate). Panel C reports the earlier binary P1 statistic. The original sample uses targets linked directly by business registration number; the expanded sample also includes reviewed name-based recoveries. For the expanded P1 sample, changing the minimum gap gives −0.0631 [−0.1254, −0.0003] at eighteen months (n = 272), −0.0577 [−0.1257, 0.0081] at twenty-four months (n = 256), and −0.0660 [−0.1416, 0.0106] at thirty-six months (n = 200).</w:t>
      </w:r>
    </w:p>
    <w:p w:rsidR="00FF4DCD" w:rsidRPr="00FF4DCD" w:rsidRDefault="00FF4DCD" w:rsidP="00EB6AAB">
      <w:pPr>
        <w:pStyle w:val="aff3"/>
        <w:wordWrap/>
      </w:pPr>
      <w:r>
        <w:rPr>
          <w:rFonts w:eastAsia="Times New Roman"/>
        </w:rPr>
        <w:t>The continuous outcomes are closer to the paper's fixed-window measures. The original- and expanded-sample no-entry-share estimates are 0.0411 [−0.0113, 0.0921] and 0.0342 [−0.0074, 0.0722], a difference of 0.0069 [−0.0573, 0.0772]. For log(1 + worker-entry rate), the estimates are 0.0453 [−0.0062, 0.0946] and 0.0207 [−0.0245, 0.0651]; their unbootstrapped difference is 0.0246.</w:t>
      </w:r>
      <w:r>
        <w:t xml:space="preserve"> </w:t>
      </w:r>
      <w:r>
        <w:rPr>
          <w:rFonts w:eastAsia="Times New Roman"/>
        </w:rPr>
        <w:t>For the binary P1 statistic, the original-sample estimate is −0.0863 [−0.1653, −0.0069] and the expanded-sample estimate is −0.0577 [−0.1257, 0.0081]. Their difference is −0.0287 [−0.1295, 0.0713].</w:t>
      </w:r>
      <w:r>
        <w:t xml:space="preserve"> </w:t>
      </w:r>
      <w:r>
        <w:rPr>
          <w:rFonts w:eastAsia="Times New Roman"/>
        </w:rPr>
        <w:t>Not-yet-treated controls do not solve selection. They may better match eventual selection but offer a smaller pool and can anticipate their own transactions. We use them as a stress test, not a replacement for never-treated firms.</w:t>
      </w:r>
    </w:p>
    <w:p w:rsidR="00FF4DCD" w:rsidRPr="00FF4DCD" w:rsidRDefault="00FF4DCD" w:rsidP="00EB6AAB">
      <w:pPr>
        <w:pStyle w:val="3"/>
      </w:pPr>
      <w:r w:rsidRPr="00FF4DCD">
        <w:t>G.3 Non-private-equity ownership changes</w:t>
      </w:r>
    </w:p>
    <w:p w:rsidR="00FF4DCD" w:rsidRPr="00FF4DCD" w:rsidRDefault="00FF4DCD" w:rsidP="00EB6AAB">
      <w:pPr>
        <w:pStyle w:val="aff3"/>
        <w:wordWrap/>
      </w:pPr>
      <w:r>
        <w:rPr>
          <w:rFonts w:eastAsia="Times New Roman"/>
        </w:rPr>
        <w:lastRenderedPageBreak/>
        <w:t>Among firms never observed as private equity targets, we identify changes in the largest shareholder and exclude incoming holders identified as financial sponsors. Private equity and other ownership events use annual timing and a common control pool excluding any identified ownership change.</w:t>
      </w:r>
    </w:p>
    <w:p w:rsidR="00FF4DCD" w:rsidRPr="00FF4DCD" w:rsidRDefault="00FF4DCD" w:rsidP="00EB6AAB">
      <w:pPr>
        <w:pStyle w:val="3"/>
      </w:pPr>
      <w:r w:rsidRPr="00FF4DCD">
        <w:t>Table G3. Labour outcomes around non-private-equity ownership changes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250"/>
        <w:gridCol w:w="1984"/>
        <w:gridCol w:w="1985"/>
        <w:gridCol w:w="802"/>
      </w:tblGrid>
      <w:tr w:rsidR="00FF4DCD" w:rsidRPr="00FF4DCD" w:rsidTr="00B474F8">
        <w:trPr>
          <w:cantSplit/>
          <w:tblHeader/>
        </w:trPr>
        <w:tc>
          <w:tcPr>
            <w:tcW w:w="4250" w:type="dxa"/>
            <w:vAlign w:val="center"/>
          </w:tcPr>
          <w:p w:rsidR="00FF4DCD" w:rsidRPr="00B474F8" w:rsidRDefault="00FF4DCD" w:rsidP="00EB6AAB">
            <w:pPr>
              <w:wordWrap/>
              <w:jc w:val="left"/>
              <w:rPr>
                <w:b/>
              </w:rPr>
            </w:pPr>
            <w:r w:rsidRPr="00B474F8">
              <w:rPr>
                <w:b/>
                <w:sz w:val="20"/>
              </w:rPr>
              <w:t>Outcome</w:t>
            </w:r>
          </w:p>
        </w:tc>
        <w:tc>
          <w:tcPr>
            <w:tcW w:w="1984" w:type="dxa"/>
            <w:vAlign w:val="center"/>
          </w:tcPr>
          <w:p w:rsidR="00FF4DCD" w:rsidRPr="00B474F8" w:rsidRDefault="00FF4DCD" w:rsidP="00B474F8">
            <w:pPr>
              <w:wordWrap/>
              <w:jc w:val="center"/>
              <w:rPr>
                <w:b/>
              </w:rPr>
            </w:pPr>
            <w:r w:rsidRPr="00B474F8">
              <w:rPr>
                <w:b/>
                <w:sz w:val="20"/>
              </w:rPr>
              <w:t>Estimate</w:t>
            </w:r>
          </w:p>
        </w:tc>
        <w:tc>
          <w:tcPr>
            <w:tcW w:w="1985" w:type="dxa"/>
            <w:vAlign w:val="center"/>
          </w:tcPr>
          <w:p w:rsidR="00FF4DCD" w:rsidRPr="00B474F8" w:rsidRDefault="00FF4DCD" w:rsidP="00B474F8">
            <w:pPr>
              <w:wordWrap/>
              <w:jc w:val="center"/>
              <w:rPr>
                <w:b/>
              </w:rPr>
            </w:pPr>
            <w:r w:rsidRPr="00B474F8">
              <w:rPr>
                <w:b/>
                <w:sz w:val="20"/>
              </w:rPr>
              <w:t>95% CI</w:t>
            </w:r>
          </w:p>
        </w:tc>
        <w:tc>
          <w:tcPr>
            <w:tcW w:w="802" w:type="dxa"/>
            <w:vAlign w:val="center"/>
          </w:tcPr>
          <w:p w:rsidR="00FF4DCD" w:rsidRPr="00B474F8" w:rsidRDefault="00FF4DCD" w:rsidP="00B474F8">
            <w:pPr>
              <w:wordWrap/>
              <w:jc w:val="center"/>
              <w:rPr>
                <w:b/>
              </w:rPr>
            </w:pPr>
            <w:r w:rsidRPr="00B474F8">
              <w:rPr>
                <w:b/>
                <w:sz w:val="20"/>
              </w:rPr>
              <w:t>N</w:t>
            </w:r>
          </w:p>
        </w:tc>
      </w:tr>
      <w:tr w:rsidR="00FF4DCD" w:rsidRPr="00FF4DCD" w:rsidTr="00B474F8">
        <w:trPr>
          <w:cantSplit/>
        </w:trPr>
        <w:tc>
          <w:tcPr>
            <w:tcW w:w="4250" w:type="dxa"/>
          </w:tcPr>
          <w:p w:rsidR="00FF4DCD" w:rsidRPr="00FF4DCD" w:rsidRDefault="00FF4DCD" w:rsidP="00EB6AAB">
            <w:pPr>
              <w:wordWrap/>
              <w:jc w:val="left"/>
            </w:pPr>
            <w:r>
              <w:t>No-entry outcome</w:t>
            </w:r>
          </w:p>
        </w:tc>
        <w:tc>
          <w:tcPr>
            <w:tcW w:w="1984" w:type="dxa"/>
            <w:vAlign w:val="center"/>
          </w:tcPr>
          <w:p w:rsidR="00FF4DCD" w:rsidRPr="00FF4DCD" w:rsidRDefault="00FF4DCD" w:rsidP="00B474F8">
            <w:pPr>
              <w:wordWrap/>
              <w:jc w:val="center"/>
            </w:pPr>
            <w:r>
              <w:t>0.0050</w:t>
            </w:r>
          </w:p>
        </w:tc>
        <w:tc>
          <w:tcPr>
            <w:tcW w:w="1985" w:type="dxa"/>
            <w:vAlign w:val="center"/>
          </w:tcPr>
          <w:p w:rsidR="00FF4DCD" w:rsidRPr="00FF4DCD" w:rsidRDefault="00FF4DCD" w:rsidP="00B474F8">
            <w:pPr>
              <w:wordWrap/>
              <w:jc w:val="center"/>
            </w:pPr>
            <w:r>
              <w:t>[−0.0066, 0.0176]</w:t>
            </w:r>
          </w:p>
        </w:tc>
        <w:tc>
          <w:tcPr>
            <w:tcW w:w="802" w:type="dxa"/>
            <w:vAlign w:val="center"/>
          </w:tcPr>
          <w:p w:rsidR="00FF4DCD" w:rsidRPr="00FF4DCD" w:rsidRDefault="00FF4DCD" w:rsidP="00B474F8">
            <w:pPr>
              <w:wordWrap/>
              <w:jc w:val="center"/>
            </w:pPr>
            <w:r>
              <w:t>1,191</w:t>
            </w:r>
          </w:p>
        </w:tc>
      </w:tr>
      <w:tr w:rsidR="00FF4DCD" w:rsidRPr="00FF4DCD" w:rsidTr="00B474F8">
        <w:trPr>
          <w:cantSplit/>
        </w:trPr>
        <w:tc>
          <w:tcPr>
            <w:tcW w:w="4250" w:type="dxa"/>
          </w:tcPr>
          <w:p w:rsidR="00FF4DCD" w:rsidRPr="00FF4DCD" w:rsidRDefault="00FF4DCD" w:rsidP="00EB6AAB">
            <w:pPr>
              <w:wordWrap/>
              <w:jc w:val="left"/>
            </w:pPr>
            <w:r>
              <w:t>Employment level</w:t>
            </w:r>
          </w:p>
        </w:tc>
        <w:tc>
          <w:tcPr>
            <w:tcW w:w="1984" w:type="dxa"/>
            <w:vAlign w:val="center"/>
          </w:tcPr>
          <w:p w:rsidR="00FF4DCD" w:rsidRPr="00FF4DCD" w:rsidRDefault="00FF4DCD" w:rsidP="00B474F8">
            <w:pPr>
              <w:wordWrap/>
              <w:jc w:val="center"/>
            </w:pPr>
            <w:r>
              <w:t>+0.0054</w:t>
            </w:r>
          </w:p>
        </w:tc>
        <w:tc>
          <w:tcPr>
            <w:tcW w:w="1985" w:type="dxa"/>
            <w:vAlign w:val="center"/>
          </w:tcPr>
          <w:p w:rsidR="00FF4DCD" w:rsidRPr="00FF4DCD" w:rsidRDefault="00FF4DCD" w:rsidP="00B474F8">
            <w:pPr>
              <w:wordWrap/>
              <w:jc w:val="center"/>
            </w:pPr>
            <w:r>
              <w:t>[−0.0069, 0.0184]</w:t>
            </w:r>
          </w:p>
        </w:tc>
        <w:tc>
          <w:tcPr>
            <w:tcW w:w="802" w:type="dxa"/>
            <w:vAlign w:val="center"/>
          </w:tcPr>
          <w:p w:rsidR="00FF4DCD" w:rsidRPr="00FF4DCD" w:rsidRDefault="00FF4DCD" w:rsidP="00B474F8">
            <w:pPr>
              <w:wordWrap/>
              <w:jc w:val="center"/>
            </w:pPr>
            <w:r>
              <w:t>1,188</w:t>
            </w:r>
          </w:p>
        </w:tc>
      </w:tr>
      <w:tr w:rsidR="00FF4DCD" w:rsidRPr="00FF4DCD" w:rsidTr="00B474F8">
        <w:trPr>
          <w:cantSplit/>
        </w:trPr>
        <w:tc>
          <w:tcPr>
            <w:tcW w:w="4250" w:type="dxa"/>
          </w:tcPr>
          <w:p w:rsidR="00FF4DCD" w:rsidRPr="00FF4DCD" w:rsidRDefault="00FF4DCD" w:rsidP="00EB6AAB">
            <w:pPr>
              <w:wordWrap/>
              <w:jc w:val="left"/>
            </w:pPr>
            <w:r>
              <w:t>Slope with transferred ownership stake</w:t>
            </w:r>
          </w:p>
        </w:tc>
        <w:tc>
          <w:tcPr>
            <w:tcW w:w="1984" w:type="dxa"/>
            <w:vAlign w:val="center"/>
          </w:tcPr>
          <w:p w:rsidR="00FF4DCD" w:rsidRPr="00FF4DCD" w:rsidRDefault="00FF4DCD" w:rsidP="00B474F8">
            <w:pPr>
              <w:wordWrap/>
              <w:jc w:val="center"/>
            </w:pPr>
            <w:r>
              <w:t xml:space="preserve">−0.000008 per </w:t>
            </w:r>
            <w:r w:rsidR="00B474F8">
              <w:t>%p</w:t>
            </w:r>
          </w:p>
        </w:tc>
        <w:tc>
          <w:tcPr>
            <w:tcW w:w="1985" w:type="dxa"/>
            <w:vAlign w:val="center"/>
          </w:tcPr>
          <w:p w:rsidR="00FF4DCD" w:rsidRPr="00FF4DCD" w:rsidRDefault="00FF4DCD" w:rsidP="00B474F8">
            <w:pPr>
              <w:wordWrap/>
              <w:jc w:val="center"/>
            </w:pPr>
            <w:r>
              <w:t>[−0.0006, 0.0006]</w:t>
            </w:r>
          </w:p>
        </w:tc>
        <w:tc>
          <w:tcPr>
            <w:tcW w:w="802" w:type="dxa"/>
            <w:vAlign w:val="center"/>
          </w:tcPr>
          <w:p w:rsidR="00FF4DCD" w:rsidRPr="00FF4DCD" w:rsidRDefault="00FF4DCD" w:rsidP="00B474F8">
            <w:pPr>
              <w:wordWrap/>
              <w:jc w:val="center"/>
            </w:pPr>
            <w:r>
              <w:t>798</w:t>
            </w:r>
          </w:p>
        </w:tc>
      </w:tr>
    </w:tbl>
    <w:p w:rsidR="00FF4DCD" w:rsidRPr="00B567F4"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Ownership changes are identified from annual shareholder records among firms never observed as private equity targets. Incoming holders identified as financial sponsors are excluded. The transferred-stake slope uses the recorded percentage of common shares transferred. These comparisons do not establish that the labour response is unique to private equity because non-private-equity ownership transitions need not involve comparable financing, governance, or operating changes.</w:t>
      </w:r>
    </w:p>
    <w:p w:rsidR="00FF4DCD" w:rsidRPr="00FF4DCD" w:rsidRDefault="00FF4DCD" w:rsidP="00EB6AAB">
      <w:pPr>
        <w:pStyle w:val="aff3"/>
        <w:wordWrap/>
      </w:pPr>
      <w:r>
        <w:rPr>
          <w:rFonts w:eastAsia="Times New Roman"/>
        </w:rPr>
        <w:t>The no-entry and employment estimates are close to zero. The slope with transferred ownership stake is −0.000008 per percentage point [−0.0006, 0.0006].</w:t>
      </w:r>
      <w:r>
        <w:t xml:space="preserve"> </w:t>
      </w:r>
      <w:r>
        <w:rPr>
          <w:rFonts w:eastAsia="Times New Roman"/>
        </w:rPr>
        <w:t>The comparison has limited identifying leverage. Other recorded ownership changes need not involve the financing, governance, operating involvement, or effective control associated with private equity, and the shareholder data may miss economically relevant changes.</w:t>
      </w:r>
    </w:p>
    <w:p w:rsidR="00FF4DCD" w:rsidRPr="00FF4DCD" w:rsidRDefault="00FF4DCD" w:rsidP="00EB6AAB">
      <w:pPr>
        <w:pStyle w:val="aff3"/>
        <w:wordWrap/>
      </w:pPr>
      <w:r>
        <w:rPr>
          <w:b/>
        </w:rPr>
        <w:t>Supplementary panel. Exploratory ownership-transfer subgroups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683"/>
        <w:gridCol w:w="1134"/>
        <w:gridCol w:w="1559"/>
        <w:gridCol w:w="2645"/>
      </w:tblGrid>
      <w:tr w:rsidR="00FF4DCD" w:rsidRPr="00FF4DCD" w:rsidTr="00B474F8">
        <w:trPr>
          <w:cantSplit/>
          <w:tblHeader/>
        </w:trPr>
        <w:tc>
          <w:tcPr>
            <w:tcW w:w="3683" w:type="dxa"/>
            <w:vAlign w:val="center"/>
          </w:tcPr>
          <w:p w:rsidR="00FF4DCD" w:rsidRPr="00B474F8" w:rsidRDefault="00FF4DCD" w:rsidP="00EB6AAB">
            <w:pPr>
              <w:wordWrap/>
              <w:jc w:val="left"/>
              <w:rPr>
                <w:b/>
              </w:rPr>
            </w:pPr>
            <w:r w:rsidRPr="00B474F8">
              <w:rPr>
                <w:b/>
                <w:sz w:val="20"/>
              </w:rPr>
              <w:t>Subgroup</w:t>
            </w:r>
          </w:p>
        </w:tc>
        <w:tc>
          <w:tcPr>
            <w:tcW w:w="1134" w:type="dxa"/>
            <w:vAlign w:val="center"/>
          </w:tcPr>
          <w:p w:rsidR="00FF4DCD" w:rsidRPr="00B474F8" w:rsidRDefault="00FF4DCD" w:rsidP="00B474F8">
            <w:pPr>
              <w:wordWrap/>
              <w:jc w:val="center"/>
              <w:rPr>
                <w:b/>
              </w:rPr>
            </w:pPr>
            <w:r w:rsidRPr="00B474F8">
              <w:rPr>
                <w:b/>
                <w:sz w:val="20"/>
              </w:rPr>
              <w:t>Estimate</w:t>
            </w:r>
          </w:p>
        </w:tc>
        <w:tc>
          <w:tcPr>
            <w:tcW w:w="1559" w:type="dxa"/>
            <w:vAlign w:val="center"/>
          </w:tcPr>
          <w:p w:rsidR="00FF4DCD" w:rsidRPr="00B474F8" w:rsidRDefault="00FF4DCD" w:rsidP="00B474F8">
            <w:pPr>
              <w:wordWrap/>
              <w:jc w:val="center"/>
              <w:rPr>
                <w:b/>
              </w:rPr>
            </w:pPr>
            <w:r w:rsidRPr="00B474F8">
              <w:rPr>
                <w:b/>
                <w:sz w:val="20"/>
              </w:rPr>
              <w:t>Unadjusted p</w:t>
            </w:r>
          </w:p>
        </w:tc>
        <w:tc>
          <w:tcPr>
            <w:tcW w:w="2645" w:type="dxa"/>
            <w:vAlign w:val="center"/>
          </w:tcPr>
          <w:p w:rsidR="00FF4DCD" w:rsidRPr="00B474F8" w:rsidRDefault="00FF4DCD" w:rsidP="00B474F8">
            <w:pPr>
              <w:wordWrap/>
              <w:jc w:val="center"/>
              <w:rPr>
                <w:b/>
              </w:rPr>
            </w:pPr>
            <w:r w:rsidRPr="00B474F8">
              <w:rPr>
                <w:b/>
                <w:sz w:val="20"/>
              </w:rPr>
              <w:t>Šidák-adjusted p</w:t>
            </w:r>
          </w:p>
        </w:tc>
      </w:tr>
      <w:tr w:rsidR="00FF4DCD" w:rsidRPr="00FF4DCD" w:rsidTr="00B474F8">
        <w:trPr>
          <w:cantSplit/>
        </w:trPr>
        <w:tc>
          <w:tcPr>
            <w:tcW w:w="3683" w:type="dxa"/>
          </w:tcPr>
          <w:p w:rsidR="00FF4DCD" w:rsidRPr="00FF4DCD" w:rsidRDefault="00FF4DCD" w:rsidP="00EB6AAB">
            <w:pPr>
              <w:wordWrap/>
              <w:jc w:val="left"/>
            </w:pPr>
            <w:r>
              <w:t>Overall</w:t>
            </w:r>
          </w:p>
        </w:tc>
        <w:tc>
          <w:tcPr>
            <w:tcW w:w="1134" w:type="dxa"/>
            <w:vAlign w:val="center"/>
          </w:tcPr>
          <w:p w:rsidR="00FF4DCD" w:rsidRPr="00FF4DCD" w:rsidRDefault="00FF4DCD" w:rsidP="00B474F8">
            <w:pPr>
              <w:wordWrap/>
              <w:jc w:val="center"/>
            </w:pPr>
            <w:r>
              <w:t>−0.0052</w:t>
            </w:r>
          </w:p>
        </w:tc>
        <w:tc>
          <w:tcPr>
            <w:tcW w:w="1559" w:type="dxa"/>
            <w:vAlign w:val="center"/>
          </w:tcPr>
          <w:p w:rsidR="00FF4DCD" w:rsidRPr="00FF4DCD" w:rsidRDefault="00FF4DCD" w:rsidP="00B474F8">
            <w:pPr>
              <w:wordWrap/>
              <w:jc w:val="center"/>
            </w:pPr>
            <w:r>
              <w:t>0.4259</w:t>
            </w:r>
          </w:p>
        </w:tc>
        <w:tc>
          <w:tcPr>
            <w:tcW w:w="2645" w:type="dxa"/>
            <w:vAlign w:val="center"/>
          </w:tcPr>
          <w:p w:rsidR="00FF4DCD" w:rsidRPr="00FF4DCD" w:rsidRDefault="00FF4DCD" w:rsidP="00B474F8">
            <w:pPr>
              <w:wordWrap/>
              <w:jc w:val="center"/>
            </w:pPr>
            <w:r>
              <w:t>0.9642</w:t>
            </w:r>
          </w:p>
        </w:tc>
      </w:tr>
      <w:tr w:rsidR="00FF4DCD" w:rsidRPr="00FF4DCD" w:rsidTr="00B474F8">
        <w:trPr>
          <w:cantSplit/>
        </w:trPr>
        <w:tc>
          <w:tcPr>
            <w:tcW w:w="3683" w:type="dxa"/>
          </w:tcPr>
          <w:p w:rsidR="00FF4DCD" w:rsidRPr="00FF4DCD" w:rsidRDefault="00FF4DCD" w:rsidP="00EB6AAB">
            <w:pPr>
              <w:wordWrap/>
              <w:jc w:val="left"/>
            </w:pPr>
            <w:r>
              <w:t>Majority acquisition, &lt;50% → ≥50%</w:t>
            </w:r>
          </w:p>
        </w:tc>
        <w:tc>
          <w:tcPr>
            <w:tcW w:w="1134" w:type="dxa"/>
            <w:vAlign w:val="center"/>
          </w:tcPr>
          <w:p w:rsidR="00FF4DCD" w:rsidRPr="00FF4DCD" w:rsidRDefault="00FF4DCD" w:rsidP="00B474F8">
            <w:pPr>
              <w:wordWrap/>
              <w:jc w:val="center"/>
            </w:pPr>
            <w:r>
              <w:t>−0.0178</w:t>
            </w:r>
          </w:p>
        </w:tc>
        <w:tc>
          <w:tcPr>
            <w:tcW w:w="1559" w:type="dxa"/>
            <w:vAlign w:val="center"/>
          </w:tcPr>
          <w:p w:rsidR="00FF4DCD" w:rsidRPr="00FF4DCD" w:rsidRDefault="00FF4DCD" w:rsidP="00B474F8">
            <w:pPr>
              <w:wordWrap/>
              <w:jc w:val="center"/>
            </w:pPr>
            <w:r>
              <w:t>0.0361</w:t>
            </w:r>
          </w:p>
        </w:tc>
        <w:tc>
          <w:tcPr>
            <w:tcW w:w="2645" w:type="dxa"/>
            <w:vAlign w:val="center"/>
          </w:tcPr>
          <w:p w:rsidR="00FF4DCD" w:rsidRPr="00FF4DCD" w:rsidRDefault="00FF4DCD" w:rsidP="00B474F8">
            <w:pPr>
              <w:wordWrap/>
              <w:jc w:val="center"/>
            </w:pPr>
            <w:r>
              <w:t>0.1982</w:t>
            </w:r>
          </w:p>
        </w:tc>
      </w:tr>
      <w:tr w:rsidR="00FF4DCD" w:rsidRPr="00FF4DCD" w:rsidTr="00B474F8">
        <w:trPr>
          <w:cantSplit/>
        </w:trPr>
        <w:tc>
          <w:tcPr>
            <w:tcW w:w="3683" w:type="dxa"/>
          </w:tcPr>
          <w:p w:rsidR="00FF4DCD" w:rsidRPr="00FF4DCD" w:rsidRDefault="00FF4DCD" w:rsidP="00EB6AAB">
            <w:pPr>
              <w:wordWrap/>
              <w:jc w:val="left"/>
            </w:pPr>
            <w:r>
              <w:t>Corporate acquirer</w:t>
            </w:r>
          </w:p>
        </w:tc>
        <w:tc>
          <w:tcPr>
            <w:tcW w:w="1134" w:type="dxa"/>
            <w:vAlign w:val="center"/>
          </w:tcPr>
          <w:p w:rsidR="00FF4DCD" w:rsidRPr="00FF4DCD" w:rsidRDefault="00FF4DCD" w:rsidP="00B474F8">
            <w:pPr>
              <w:wordWrap/>
              <w:jc w:val="center"/>
            </w:pPr>
            <w:r>
              <w:t>−0.0109</w:t>
            </w:r>
          </w:p>
        </w:tc>
        <w:tc>
          <w:tcPr>
            <w:tcW w:w="1559" w:type="dxa"/>
            <w:vAlign w:val="center"/>
          </w:tcPr>
          <w:p w:rsidR="00FF4DCD" w:rsidRPr="00FF4DCD" w:rsidRDefault="00FF4DCD" w:rsidP="00B474F8">
            <w:pPr>
              <w:wordWrap/>
              <w:jc w:val="center"/>
            </w:pPr>
            <w:r>
              <w:t>0.1202</w:t>
            </w:r>
          </w:p>
        </w:tc>
        <w:tc>
          <w:tcPr>
            <w:tcW w:w="2645" w:type="dxa"/>
            <w:vAlign w:val="center"/>
          </w:tcPr>
          <w:p w:rsidR="00FF4DCD" w:rsidRPr="00FF4DCD" w:rsidRDefault="00FF4DCD" w:rsidP="00B474F8">
            <w:pPr>
              <w:wordWrap/>
              <w:jc w:val="center"/>
            </w:pPr>
            <w:r>
              <w:t>0.5364</w:t>
            </w:r>
          </w:p>
        </w:tc>
      </w:tr>
      <w:tr w:rsidR="00FF4DCD" w:rsidRPr="00FF4DCD" w:rsidTr="00B474F8">
        <w:trPr>
          <w:cantSplit/>
        </w:trPr>
        <w:tc>
          <w:tcPr>
            <w:tcW w:w="3683" w:type="dxa"/>
          </w:tcPr>
          <w:p w:rsidR="00FF4DCD" w:rsidRPr="00FF4DCD" w:rsidRDefault="00FF4DCD" w:rsidP="00EB6AAB">
            <w:pPr>
              <w:wordWrap/>
              <w:jc w:val="left"/>
            </w:pPr>
            <w:r>
              <w:t>Individual acquirer, different surname</w:t>
            </w:r>
          </w:p>
        </w:tc>
        <w:tc>
          <w:tcPr>
            <w:tcW w:w="1134" w:type="dxa"/>
            <w:vAlign w:val="center"/>
          </w:tcPr>
          <w:p w:rsidR="00FF4DCD" w:rsidRPr="00FF4DCD" w:rsidRDefault="00FF4DCD" w:rsidP="00B474F8">
            <w:pPr>
              <w:wordWrap/>
              <w:jc w:val="center"/>
            </w:pPr>
            <w:r>
              <w:t>+0.0059</w:t>
            </w:r>
          </w:p>
        </w:tc>
        <w:tc>
          <w:tcPr>
            <w:tcW w:w="1559" w:type="dxa"/>
            <w:vAlign w:val="center"/>
          </w:tcPr>
          <w:p w:rsidR="00FF4DCD" w:rsidRPr="00FF4DCD" w:rsidRDefault="00FF4DCD" w:rsidP="00B474F8">
            <w:pPr>
              <w:wordWrap/>
              <w:jc w:val="center"/>
            </w:pPr>
            <w:r>
              <w:t>0.3606</w:t>
            </w:r>
          </w:p>
        </w:tc>
        <w:tc>
          <w:tcPr>
            <w:tcW w:w="2645" w:type="dxa"/>
            <w:vAlign w:val="center"/>
          </w:tcPr>
          <w:p w:rsidR="00FF4DCD" w:rsidRPr="00FF4DCD" w:rsidRDefault="00FF4DCD" w:rsidP="00B474F8">
            <w:pPr>
              <w:wordWrap/>
              <w:jc w:val="center"/>
            </w:pPr>
            <w:r>
              <w:t>0.9317</w:t>
            </w:r>
          </w:p>
        </w:tc>
      </w:tr>
      <w:tr w:rsidR="00FF4DCD" w:rsidRPr="00FF4DCD" w:rsidTr="00B474F8">
        <w:trPr>
          <w:cantSplit/>
        </w:trPr>
        <w:tc>
          <w:tcPr>
            <w:tcW w:w="3683" w:type="dxa"/>
          </w:tcPr>
          <w:p w:rsidR="00FF4DCD" w:rsidRPr="00FF4DCD" w:rsidRDefault="00FF4DCD" w:rsidP="00EB6AAB">
            <w:pPr>
              <w:wordWrap/>
              <w:jc w:val="left"/>
            </w:pPr>
            <w:r>
              <w:t>Individual acquirer, same surname</w:t>
            </w:r>
          </w:p>
        </w:tc>
        <w:tc>
          <w:tcPr>
            <w:tcW w:w="1134" w:type="dxa"/>
            <w:vAlign w:val="center"/>
          </w:tcPr>
          <w:p w:rsidR="00FF4DCD" w:rsidRPr="00FF4DCD" w:rsidRDefault="00FF4DCD" w:rsidP="00B474F8">
            <w:pPr>
              <w:wordWrap/>
              <w:jc w:val="center"/>
            </w:pPr>
            <w:r>
              <w:t>−0.0018</w:t>
            </w:r>
          </w:p>
        </w:tc>
        <w:tc>
          <w:tcPr>
            <w:tcW w:w="1559" w:type="dxa"/>
            <w:vAlign w:val="center"/>
          </w:tcPr>
          <w:p w:rsidR="00FF4DCD" w:rsidRPr="00FF4DCD" w:rsidRDefault="00FF4DCD" w:rsidP="00B474F8">
            <w:pPr>
              <w:wordWrap/>
              <w:jc w:val="center"/>
            </w:pPr>
            <w:r>
              <w:t>0.7820</w:t>
            </w:r>
          </w:p>
        </w:tc>
        <w:tc>
          <w:tcPr>
            <w:tcW w:w="2645" w:type="dxa"/>
            <w:vAlign w:val="center"/>
          </w:tcPr>
          <w:p w:rsidR="00FF4DCD" w:rsidRPr="00FF4DCD" w:rsidRDefault="00FF4DCD" w:rsidP="00B474F8">
            <w:pPr>
              <w:wordWrap/>
              <w:jc w:val="center"/>
            </w:pPr>
            <w:r>
              <w:t>0.9999</w:t>
            </w:r>
          </w:p>
        </w:tc>
      </w:tr>
      <w:tr w:rsidR="00FF4DCD" w:rsidRPr="00FF4DCD" w:rsidTr="00B474F8">
        <w:trPr>
          <w:cantSplit/>
        </w:trPr>
        <w:tc>
          <w:tcPr>
            <w:tcW w:w="3683" w:type="dxa"/>
          </w:tcPr>
          <w:p w:rsidR="00FF4DCD" w:rsidRPr="00FF4DCD" w:rsidRDefault="00FF4DCD" w:rsidP="00EB6AAB">
            <w:pPr>
              <w:wordWrap/>
              <w:jc w:val="left"/>
            </w:pPr>
            <w:r>
              <w:t>Top tercile of transferred stake</w:t>
            </w:r>
          </w:p>
        </w:tc>
        <w:tc>
          <w:tcPr>
            <w:tcW w:w="1134" w:type="dxa"/>
            <w:vAlign w:val="center"/>
          </w:tcPr>
          <w:p w:rsidR="00FF4DCD" w:rsidRPr="00FF4DCD" w:rsidRDefault="00FF4DCD" w:rsidP="00B474F8">
            <w:pPr>
              <w:wordWrap/>
              <w:jc w:val="center"/>
            </w:pPr>
            <w:r>
              <w:t>−0.0167</w:t>
            </w:r>
          </w:p>
        </w:tc>
        <w:tc>
          <w:tcPr>
            <w:tcW w:w="1559" w:type="dxa"/>
            <w:vAlign w:val="center"/>
          </w:tcPr>
          <w:p w:rsidR="00FF4DCD" w:rsidRPr="00FF4DCD" w:rsidRDefault="00FF4DCD" w:rsidP="00B474F8">
            <w:pPr>
              <w:wordWrap/>
              <w:jc w:val="center"/>
            </w:pPr>
            <w:r>
              <w:t>0.0109</w:t>
            </w:r>
          </w:p>
        </w:tc>
        <w:tc>
          <w:tcPr>
            <w:tcW w:w="2645" w:type="dxa"/>
            <w:vAlign w:val="center"/>
          </w:tcPr>
          <w:p w:rsidR="00FF4DCD" w:rsidRPr="00FF4DCD" w:rsidRDefault="00FF4DCD" w:rsidP="00B474F8">
            <w:pPr>
              <w:wordWrap/>
              <w:jc w:val="center"/>
            </w:pPr>
            <w:r>
              <w:t>0.0634</w:t>
            </w:r>
          </w:p>
        </w:tc>
      </w:tr>
    </w:tbl>
    <w:p w:rsidR="00FF4DCD" w:rsidRPr="00FF4DCD" w:rsidRDefault="00FF4DCD" w:rsidP="00EB6AAB">
      <w:pPr>
        <w:pStyle w:val="aff3"/>
        <w:wordWrap/>
      </w:pPr>
      <w:r>
        <w:rPr>
          <w:i/>
        </w:rPr>
        <w:t>Notes.</w:t>
      </w:r>
      <w:r>
        <w:t xml:space="preserve"> None of the subgroup comparisons is detected after the Šidák adjustment. Surname similarity is a coarse administrative classification and does not establish a family relationship; it should not be labelled as a family-succession measure in the table or text.</w:t>
      </w:r>
    </w:p>
    <w:p w:rsidR="00FF4DCD" w:rsidRPr="00FF4DCD" w:rsidRDefault="00FF4DCD" w:rsidP="00EB6AAB">
      <w:pPr>
        <w:pStyle w:val="aff3"/>
        <w:wordWrap/>
      </w:pPr>
      <w:r>
        <w:rPr>
          <w:rFonts w:eastAsia="Times New Roman"/>
        </w:rPr>
        <w:lastRenderedPageBreak/>
        <w:t>Thus the observed labour response is not shown to be unique to private equity. The ownership changes visible in these records simply lack a comparably clear average movement in the two reported labour outcomes.</w:t>
      </w:r>
    </w:p>
    <w:p w:rsidR="00FF4DCD" w:rsidRPr="00FF4DCD" w:rsidRDefault="00FF4DCD" w:rsidP="00EB6AAB">
      <w:pPr>
        <w:pStyle w:val="3"/>
      </w:pPr>
      <w:r w:rsidRPr="00FF4DCD">
        <w:t>G.4 Post-deal cash changes and hiring: a descriptive comparison</w:t>
      </w:r>
    </w:p>
    <w:p w:rsidR="00FF4DCD" w:rsidRPr="00FF4DCD" w:rsidRDefault="00FF4DCD" w:rsidP="00EB6AAB">
      <w:pPr>
        <w:pStyle w:val="aff3"/>
        <w:wordWrap/>
      </w:pPr>
      <w:r>
        <w:rPr>
          <w:rFonts w:eastAsia="Times New Roman"/>
        </w:rPr>
        <w:t>Because cash is measured after the event, the comparison is descriptive, not a mechanism test.</w:t>
      </w:r>
    </w:p>
    <w:p w:rsidR="00FF4DCD" w:rsidRPr="00FF4DCD" w:rsidRDefault="00FF4DCD" w:rsidP="00EB6AAB">
      <w:pPr>
        <w:pStyle w:val="3"/>
      </w:pPr>
      <w:r w:rsidRPr="00FF4DCD">
        <w:t>Table G4. Post-deal cash changes and the no-entry response</w:t>
      </w:r>
    </w:p>
    <w:p w:rsidR="00FF4DCD" w:rsidRPr="00FF4DCD" w:rsidRDefault="00FF4DCD" w:rsidP="00EB6AAB">
      <w:pPr>
        <w:pStyle w:val="aff3"/>
        <w:wordWrap/>
      </w:pPr>
      <w:r w:rsidRPr="00FF4DCD">
        <w:rPr>
          <w:b/>
          <w:bCs/>
        </w:rPr>
        <w:t>Panel A. Cash relative to assets</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681"/>
        <w:gridCol w:w="2948"/>
        <w:gridCol w:w="1984"/>
        <w:gridCol w:w="624"/>
      </w:tblGrid>
      <w:tr w:rsidR="00FF4DCD" w:rsidRPr="00FF4DCD" w:rsidTr="00B474F8">
        <w:trPr>
          <w:cantSplit/>
          <w:tblHeader/>
        </w:trPr>
        <w:tc>
          <w:tcPr>
            <w:tcW w:w="0" w:type="auto"/>
            <w:vAlign w:val="center"/>
          </w:tcPr>
          <w:p w:rsidR="00FF4DCD" w:rsidRPr="00B474F8" w:rsidRDefault="00FF4DCD" w:rsidP="00EB6AAB">
            <w:pPr>
              <w:wordWrap/>
              <w:jc w:val="left"/>
              <w:rPr>
                <w:b/>
              </w:rPr>
            </w:pPr>
            <w:r w:rsidRPr="00B474F8">
              <w:rPr>
                <w:b/>
                <w:sz w:val="20"/>
              </w:rPr>
              <w:t>Horizon</w:t>
            </w:r>
          </w:p>
        </w:tc>
        <w:tc>
          <w:tcPr>
            <w:tcW w:w="2948" w:type="dxa"/>
            <w:vAlign w:val="center"/>
          </w:tcPr>
          <w:p w:rsidR="00FF4DCD" w:rsidRPr="00B474F8" w:rsidRDefault="00FF4DCD" w:rsidP="00B474F8">
            <w:pPr>
              <w:wordWrap/>
              <w:jc w:val="center"/>
              <w:rPr>
                <w:b/>
              </w:rPr>
            </w:pPr>
            <w:r w:rsidRPr="00B474F8">
              <w:rPr>
                <w:b/>
                <w:sz w:val="20"/>
              </w:rPr>
              <w:t>Treated-minus-control change</w:t>
            </w:r>
          </w:p>
        </w:tc>
        <w:tc>
          <w:tcPr>
            <w:tcW w:w="1984" w:type="dxa"/>
            <w:vAlign w:val="center"/>
          </w:tcPr>
          <w:p w:rsidR="00FF4DCD" w:rsidRPr="00B474F8" w:rsidRDefault="00FF4DCD" w:rsidP="00B474F8">
            <w:pPr>
              <w:wordWrap/>
              <w:jc w:val="center"/>
              <w:rPr>
                <w:b/>
              </w:rPr>
            </w:pPr>
            <w:r w:rsidRPr="00B474F8">
              <w:rPr>
                <w:b/>
                <w:sz w:val="20"/>
              </w:rPr>
              <w:t>95% CI</w:t>
            </w:r>
          </w:p>
        </w:tc>
        <w:tc>
          <w:tcPr>
            <w:tcW w:w="624" w:type="dxa"/>
            <w:vAlign w:val="center"/>
          </w:tcPr>
          <w:p w:rsidR="00FF4DCD" w:rsidRPr="00B474F8" w:rsidRDefault="00FF4DCD" w:rsidP="00B474F8">
            <w:pPr>
              <w:wordWrap/>
              <w:jc w:val="center"/>
              <w:rPr>
                <w:b/>
              </w:rPr>
            </w:pPr>
            <w:r w:rsidRPr="00B474F8">
              <w:rPr>
                <w:b/>
                <w:sz w:val="20"/>
              </w:rPr>
              <w:t>N</w:t>
            </w:r>
          </w:p>
        </w:tc>
      </w:tr>
      <w:tr w:rsidR="00FF4DCD" w:rsidRPr="00FF4DCD" w:rsidTr="00B474F8">
        <w:trPr>
          <w:cantSplit/>
        </w:trPr>
        <w:tc>
          <w:tcPr>
            <w:tcW w:w="0" w:type="auto"/>
          </w:tcPr>
          <w:p w:rsidR="00FF4DCD" w:rsidRPr="00FF4DCD" w:rsidRDefault="00FF4DCD" w:rsidP="00EB6AAB">
            <w:pPr>
              <w:wordWrap/>
              <w:jc w:val="left"/>
            </w:pPr>
            <w:r>
              <w:t>Transaction year</w:t>
            </w:r>
          </w:p>
        </w:tc>
        <w:tc>
          <w:tcPr>
            <w:tcW w:w="2948" w:type="dxa"/>
            <w:vAlign w:val="center"/>
          </w:tcPr>
          <w:p w:rsidR="00FF4DCD" w:rsidRPr="00FF4DCD" w:rsidRDefault="00FF4DCD" w:rsidP="00B474F8">
            <w:pPr>
              <w:wordWrap/>
              <w:jc w:val="center"/>
            </w:pPr>
            <w:r>
              <w:t>0.0327</w:t>
            </w:r>
          </w:p>
        </w:tc>
        <w:tc>
          <w:tcPr>
            <w:tcW w:w="1984" w:type="dxa"/>
            <w:vAlign w:val="center"/>
          </w:tcPr>
          <w:p w:rsidR="00FF4DCD" w:rsidRPr="00FF4DCD" w:rsidRDefault="00FF4DCD" w:rsidP="00B474F8">
            <w:pPr>
              <w:wordWrap/>
              <w:jc w:val="center"/>
            </w:pPr>
            <w:r>
              <w:t>[0.0104, 0.0562]</w:t>
            </w:r>
          </w:p>
        </w:tc>
        <w:tc>
          <w:tcPr>
            <w:tcW w:w="624" w:type="dxa"/>
            <w:vAlign w:val="center"/>
          </w:tcPr>
          <w:p w:rsidR="00FF4DCD" w:rsidRPr="00FF4DCD" w:rsidRDefault="00FF4DCD" w:rsidP="00B474F8">
            <w:pPr>
              <w:wordWrap/>
              <w:jc w:val="center"/>
            </w:pPr>
            <w:r>
              <w:t>194</w:t>
            </w:r>
          </w:p>
        </w:tc>
      </w:tr>
      <w:tr w:rsidR="00FF4DCD" w:rsidRPr="00FF4DCD" w:rsidTr="00B474F8">
        <w:trPr>
          <w:cantSplit/>
        </w:trPr>
        <w:tc>
          <w:tcPr>
            <w:tcW w:w="0" w:type="auto"/>
          </w:tcPr>
          <w:p w:rsidR="00FF4DCD" w:rsidRPr="00FF4DCD" w:rsidRDefault="00FF4DCD" w:rsidP="00EB6AAB">
            <w:pPr>
              <w:wordWrap/>
              <w:jc w:val="left"/>
            </w:pPr>
            <w:r>
              <w:t>+1 year</w:t>
            </w:r>
          </w:p>
        </w:tc>
        <w:tc>
          <w:tcPr>
            <w:tcW w:w="2948" w:type="dxa"/>
            <w:vAlign w:val="center"/>
          </w:tcPr>
          <w:p w:rsidR="00FF4DCD" w:rsidRPr="00FF4DCD" w:rsidRDefault="00FF4DCD" w:rsidP="00B474F8">
            <w:pPr>
              <w:wordWrap/>
              <w:jc w:val="center"/>
            </w:pPr>
            <w:r>
              <w:t>0.0215</w:t>
            </w:r>
          </w:p>
        </w:tc>
        <w:tc>
          <w:tcPr>
            <w:tcW w:w="1984" w:type="dxa"/>
            <w:vAlign w:val="center"/>
          </w:tcPr>
          <w:p w:rsidR="00FF4DCD" w:rsidRPr="00FF4DCD" w:rsidRDefault="00FF4DCD" w:rsidP="00B474F8">
            <w:pPr>
              <w:wordWrap/>
              <w:jc w:val="center"/>
            </w:pPr>
            <w:r>
              <w:t>[−0.0024, 0.0483]</w:t>
            </w:r>
          </w:p>
        </w:tc>
        <w:tc>
          <w:tcPr>
            <w:tcW w:w="624" w:type="dxa"/>
            <w:vAlign w:val="center"/>
          </w:tcPr>
          <w:p w:rsidR="00FF4DCD" w:rsidRPr="00FF4DCD" w:rsidRDefault="00FF4DCD" w:rsidP="00B474F8">
            <w:pPr>
              <w:wordWrap/>
              <w:jc w:val="center"/>
            </w:pPr>
            <w:r>
              <w:t>154</w:t>
            </w:r>
          </w:p>
        </w:tc>
      </w:tr>
      <w:tr w:rsidR="00FF4DCD" w:rsidRPr="00FF4DCD" w:rsidTr="00B474F8">
        <w:trPr>
          <w:cantSplit/>
        </w:trPr>
        <w:tc>
          <w:tcPr>
            <w:tcW w:w="0" w:type="auto"/>
          </w:tcPr>
          <w:p w:rsidR="00FF4DCD" w:rsidRPr="00FF4DCD" w:rsidRDefault="00FF4DCD" w:rsidP="00EB6AAB">
            <w:pPr>
              <w:wordWrap/>
              <w:jc w:val="left"/>
            </w:pPr>
            <w:r>
              <w:t>+2 years</w:t>
            </w:r>
          </w:p>
        </w:tc>
        <w:tc>
          <w:tcPr>
            <w:tcW w:w="2948" w:type="dxa"/>
            <w:vAlign w:val="center"/>
          </w:tcPr>
          <w:p w:rsidR="00FF4DCD" w:rsidRPr="00FF4DCD" w:rsidRDefault="00FF4DCD" w:rsidP="00B474F8">
            <w:pPr>
              <w:wordWrap/>
              <w:jc w:val="center"/>
            </w:pPr>
            <w:r>
              <w:t>0.0179</w:t>
            </w:r>
          </w:p>
        </w:tc>
        <w:tc>
          <w:tcPr>
            <w:tcW w:w="1984" w:type="dxa"/>
            <w:vAlign w:val="center"/>
          </w:tcPr>
          <w:p w:rsidR="00FF4DCD" w:rsidRPr="00FF4DCD" w:rsidRDefault="00FF4DCD" w:rsidP="00B474F8">
            <w:pPr>
              <w:wordWrap/>
              <w:jc w:val="center"/>
            </w:pPr>
            <w:r>
              <w:t>[−0.0108, 0.0494]</w:t>
            </w:r>
          </w:p>
        </w:tc>
        <w:tc>
          <w:tcPr>
            <w:tcW w:w="624" w:type="dxa"/>
            <w:vAlign w:val="center"/>
          </w:tcPr>
          <w:p w:rsidR="00FF4DCD" w:rsidRPr="00FF4DCD" w:rsidRDefault="00FF4DCD" w:rsidP="00B474F8">
            <w:pPr>
              <w:wordWrap/>
              <w:jc w:val="center"/>
            </w:pPr>
            <w:r>
              <w:t>122</w:t>
            </w:r>
          </w:p>
        </w:tc>
      </w:tr>
    </w:tbl>
    <w:p w:rsidR="00FF4DCD" w:rsidRPr="00FF4DCD" w:rsidRDefault="00FF4DCD" w:rsidP="00EB6AAB">
      <w:pPr>
        <w:pStyle w:val="aff3"/>
        <w:wordWrap/>
      </w:pPr>
      <w:r w:rsidRPr="00FF4DCD">
        <w:rPr>
          <w:b/>
          <w:bCs/>
        </w:rPr>
        <w:t>Panel B. No-entry-share change by realised post-deal cash change</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2623"/>
        <w:gridCol w:w="1077"/>
        <w:gridCol w:w="2041"/>
        <w:gridCol w:w="567"/>
      </w:tblGrid>
      <w:tr w:rsidR="00FF4DCD" w:rsidRPr="00B474F8" w:rsidTr="00B474F8">
        <w:trPr>
          <w:cantSplit/>
          <w:tblHeader/>
        </w:trPr>
        <w:tc>
          <w:tcPr>
            <w:tcW w:w="0" w:type="auto"/>
            <w:vAlign w:val="center"/>
          </w:tcPr>
          <w:p w:rsidR="00FF4DCD" w:rsidRPr="00B474F8" w:rsidRDefault="00FF4DCD" w:rsidP="00EB6AAB">
            <w:pPr>
              <w:wordWrap/>
              <w:rPr>
                <w:b/>
              </w:rPr>
            </w:pPr>
            <w:r w:rsidRPr="00B474F8">
              <w:rPr>
                <w:b/>
                <w:sz w:val="20"/>
              </w:rPr>
              <w:t>Group</w:t>
            </w:r>
          </w:p>
        </w:tc>
        <w:tc>
          <w:tcPr>
            <w:tcW w:w="1077" w:type="dxa"/>
            <w:vAlign w:val="center"/>
          </w:tcPr>
          <w:p w:rsidR="00FF4DCD" w:rsidRPr="00B474F8" w:rsidRDefault="00FF4DCD" w:rsidP="00B474F8">
            <w:pPr>
              <w:wordWrap/>
              <w:jc w:val="center"/>
              <w:rPr>
                <w:b/>
              </w:rPr>
            </w:pPr>
            <w:r w:rsidRPr="00B474F8">
              <w:rPr>
                <w:b/>
                <w:sz w:val="20"/>
              </w:rPr>
              <w:t>Estimate</w:t>
            </w:r>
          </w:p>
        </w:tc>
        <w:tc>
          <w:tcPr>
            <w:tcW w:w="2041" w:type="dxa"/>
            <w:vAlign w:val="center"/>
          </w:tcPr>
          <w:p w:rsidR="00FF4DCD" w:rsidRPr="00B474F8" w:rsidRDefault="00FF4DCD" w:rsidP="00B474F8">
            <w:pPr>
              <w:wordWrap/>
              <w:jc w:val="center"/>
              <w:rPr>
                <w:b/>
              </w:rPr>
            </w:pPr>
            <w:r w:rsidRPr="00B474F8">
              <w:rPr>
                <w:b/>
                <w:sz w:val="20"/>
              </w:rPr>
              <w:t>95% CI</w:t>
            </w:r>
          </w:p>
        </w:tc>
        <w:tc>
          <w:tcPr>
            <w:tcW w:w="567" w:type="dxa"/>
            <w:vAlign w:val="center"/>
          </w:tcPr>
          <w:p w:rsidR="00FF4DCD" w:rsidRPr="00B474F8" w:rsidRDefault="00FF4DCD" w:rsidP="00B474F8">
            <w:pPr>
              <w:wordWrap/>
              <w:jc w:val="center"/>
              <w:rPr>
                <w:b/>
              </w:rPr>
            </w:pPr>
            <w:r w:rsidRPr="00B474F8">
              <w:rPr>
                <w:b/>
                <w:sz w:val="20"/>
              </w:rPr>
              <w:t>N</w:t>
            </w:r>
          </w:p>
        </w:tc>
      </w:tr>
      <w:tr w:rsidR="00FF4DCD" w:rsidRPr="00FF4DCD" w:rsidTr="00B474F8">
        <w:trPr>
          <w:cantSplit/>
        </w:trPr>
        <w:tc>
          <w:tcPr>
            <w:tcW w:w="0" w:type="auto"/>
          </w:tcPr>
          <w:p w:rsidR="00FF4DCD" w:rsidRPr="00FF4DCD" w:rsidRDefault="00FF4DCD" w:rsidP="00EB6AAB">
            <w:pPr>
              <w:wordWrap/>
            </w:pPr>
            <w:r w:rsidRPr="00FF4DCD">
              <w:t>Bottom cash-change tercile</w:t>
            </w:r>
          </w:p>
        </w:tc>
        <w:tc>
          <w:tcPr>
            <w:tcW w:w="1077" w:type="dxa"/>
            <w:vAlign w:val="center"/>
          </w:tcPr>
          <w:p w:rsidR="00FF4DCD" w:rsidRPr="00FF4DCD" w:rsidRDefault="00FF4DCD" w:rsidP="00B474F8">
            <w:pPr>
              <w:wordWrap/>
              <w:jc w:val="center"/>
            </w:pPr>
            <w:r w:rsidRPr="00FF4DCD">
              <w:t>−0.0631</w:t>
            </w:r>
          </w:p>
        </w:tc>
        <w:tc>
          <w:tcPr>
            <w:tcW w:w="2041" w:type="dxa"/>
            <w:vAlign w:val="center"/>
          </w:tcPr>
          <w:p w:rsidR="00FF4DCD" w:rsidRPr="00FF4DCD" w:rsidRDefault="00FF4DCD" w:rsidP="00B474F8">
            <w:pPr>
              <w:wordWrap/>
              <w:jc w:val="center"/>
            </w:pPr>
            <w:r w:rsidRPr="00FF4DCD">
              <w:t>[−0.1038, −0.0194]</w:t>
            </w:r>
          </w:p>
        </w:tc>
        <w:tc>
          <w:tcPr>
            <w:tcW w:w="567" w:type="dxa"/>
            <w:vAlign w:val="center"/>
          </w:tcPr>
          <w:p w:rsidR="00FF4DCD" w:rsidRPr="00FF4DCD" w:rsidRDefault="00FF4DCD" w:rsidP="00B474F8">
            <w:pPr>
              <w:wordWrap/>
              <w:jc w:val="center"/>
            </w:pPr>
            <w:r w:rsidRPr="00FF4DCD">
              <w:t>61</w:t>
            </w:r>
          </w:p>
        </w:tc>
      </w:tr>
      <w:tr w:rsidR="00FF4DCD" w:rsidRPr="00FF4DCD" w:rsidTr="00B474F8">
        <w:trPr>
          <w:cantSplit/>
        </w:trPr>
        <w:tc>
          <w:tcPr>
            <w:tcW w:w="0" w:type="auto"/>
          </w:tcPr>
          <w:p w:rsidR="00FF4DCD" w:rsidRPr="00FF4DCD" w:rsidRDefault="00FF4DCD" w:rsidP="00EB6AAB">
            <w:pPr>
              <w:wordWrap/>
            </w:pPr>
            <w:r w:rsidRPr="00FF4DCD">
              <w:t>Top cash-change tercile</w:t>
            </w:r>
          </w:p>
        </w:tc>
        <w:tc>
          <w:tcPr>
            <w:tcW w:w="1077" w:type="dxa"/>
            <w:vAlign w:val="center"/>
          </w:tcPr>
          <w:p w:rsidR="00FF4DCD" w:rsidRPr="00FF4DCD" w:rsidRDefault="00FF4DCD" w:rsidP="00B474F8">
            <w:pPr>
              <w:wordWrap/>
              <w:jc w:val="center"/>
            </w:pPr>
            <w:r w:rsidRPr="00FF4DCD">
              <w:t>−0.0553</w:t>
            </w:r>
          </w:p>
        </w:tc>
        <w:tc>
          <w:tcPr>
            <w:tcW w:w="2041" w:type="dxa"/>
            <w:vAlign w:val="center"/>
          </w:tcPr>
          <w:p w:rsidR="00FF4DCD" w:rsidRPr="00FF4DCD" w:rsidRDefault="00FF4DCD" w:rsidP="00B474F8">
            <w:pPr>
              <w:wordWrap/>
              <w:jc w:val="center"/>
            </w:pPr>
            <w:r w:rsidRPr="00FF4DCD">
              <w:t>[−0.1019, −0.0092]</w:t>
            </w:r>
          </w:p>
        </w:tc>
        <w:tc>
          <w:tcPr>
            <w:tcW w:w="567" w:type="dxa"/>
            <w:vAlign w:val="center"/>
          </w:tcPr>
          <w:p w:rsidR="00FF4DCD" w:rsidRPr="00FF4DCD" w:rsidRDefault="00FF4DCD" w:rsidP="00B474F8">
            <w:pPr>
              <w:wordWrap/>
              <w:jc w:val="center"/>
            </w:pPr>
            <w:r w:rsidRPr="00FF4DCD">
              <w:t>60</w:t>
            </w:r>
          </w:p>
        </w:tc>
      </w:tr>
      <w:tr w:rsidR="00FF4DCD" w:rsidRPr="00FF4DCD" w:rsidTr="00B474F8">
        <w:trPr>
          <w:cantSplit/>
        </w:trPr>
        <w:tc>
          <w:tcPr>
            <w:tcW w:w="0" w:type="auto"/>
          </w:tcPr>
          <w:p w:rsidR="00FF4DCD" w:rsidRPr="00FF4DCD" w:rsidRDefault="00FF4DCD" w:rsidP="00EB6AAB">
            <w:pPr>
              <w:wordWrap/>
            </w:pPr>
            <w:r w:rsidRPr="00FF4DCD">
              <w:t>Top − bottom</w:t>
            </w:r>
          </w:p>
        </w:tc>
        <w:tc>
          <w:tcPr>
            <w:tcW w:w="1077" w:type="dxa"/>
            <w:vAlign w:val="center"/>
          </w:tcPr>
          <w:p w:rsidR="00FF4DCD" w:rsidRPr="00FF4DCD" w:rsidRDefault="00FF4DCD" w:rsidP="00B474F8">
            <w:pPr>
              <w:wordWrap/>
              <w:jc w:val="center"/>
            </w:pPr>
            <w:r w:rsidRPr="00FF4DCD">
              <w:t>0.0079</w:t>
            </w:r>
          </w:p>
        </w:tc>
        <w:tc>
          <w:tcPr>
            <w:tcW w:w="2041" w:type="dxa"/>
            <w:vAlign w:val="center"/>
          </w:tcPr>
          <w:p w:rsidR="00FF4DCD" w:rsidRPr="00FF4DCD" w:rsidRDefault="00FF4DCD" w:rsidP="00B474F8">
            <w:pPr>
              <w:wordWrap/>
              <w:jc w:val="center"/>
            </w:pPr>
            <w:r w:rsidRPr="00FF4DCD">
              <w:t>[−0.0551, 0.0671]</w:t>
            </w:r>
          </w:p>
        </w:tc>
        <w:tc>
          <w:tcPr>
            <w:tcW w:w="567" w:type="dxa"/>
            <w:vAlign w:val="center"/>
          </w:tcPr>
          <w:p w:rsidR="00FF4DCD" w:rsidRPr="00FF4DCD" w:rsidRDefault="00FF4DCD" w:rsidP="00B474F8">
            <w:pPr>
              <w:wordWrap/>
              <w:jc w:val="center"/>
            </w:pPr>
            <w:r w:rsidRPr="00FF4DCD">
              <w:t>—</w:t>
            </w:r>
          </w:p>
        </w:tc>
      </w:tr>
    </w:tbl>
    <w:p w:rsidR="00FF4DCD" w:rsidRPr="00286BD6"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Panel A reports treated-minus-control changes in cash relative to assets. Panel B defines realised cash change as the treated-minus-control change in cash relative to assets between the fiscal year preceding the deal and the deal year. Tercile cutoffs are calculated among treated firms with the required audited statements. Because this grouping variable is realised after private equity investment, Panel B conditions on a post-treatment variable and is not used to identify a financing mechanism.</w:t>
      </w:r>
    </w:p>
    <w:p w:rsidR="00FF4DCD" w:rsidRPr="00FF4DCD" w:rsidRDefault="00FF4DCD" w:rsidP="00EB6AAB">
      <w:pPr>
        <w:pStyle w:val="aff3"/>
        <w:wordWrap/>
      </w:pPr>
      <w:r>
        <w:rPr>
          <w:rFonts w:eastAsia="Times New Roman"/>
        </w:rPr>
        <w:t>Cash relative to assets rises by 0.0327 [0.0104, 0.0562] in the transaction year across 194 events. The estimates are 0.0215 [−0.0024, 0.0483] one year later and 0.0179 [−0.0108, 0.0494] after two years.</w:t>
      </w:r>
      <w:r>
        <w:t xml:space="preserve"> </w:t>
      </w:r>
      <w:r>
        <w:rPr>
          <w:rFonts w:eastAsia="Times New Roman"/>
        </w:rPr>
        <w:t>The no-entry share falls by 0.0631 [−0.1038, −0.0194] in the bottom cash-change tercile and by 0.0553 [−0.1019, −0.0092] in the top tercile. The difference is 0.0079 [−0.0551, 0.0671].</w:t>
      </w:r>
    </w:p>
    <w:p w:rsidR="00FF4DCD" w:rsidRPr="00FF4DCD" w:rsidRDefault="00FF4DCD" w:rsidP="00EB6AAB">
      <w:pPr>
        <w:pStyle w:val="aff3"/>
        <w:wordWrap/>
      </w:pPr>
      <w:r>
        <w:rPr>
          <w:rFonts w:eastAsia="Times New Roman"/>
        </w:rPr>
        <w:t xml:space="preserve">Similar tercile estimates do not show that financial slack is irrelevant. Cash can respond to the transaction, and conditioning on its realised change can select on treatment-affected outcomes or determinants. The comparison cannot determine whether financial conditions cause, follow, or merely covary with </w:t>
      </w:r>
      <w:r>
        <w:rPr>
          <w:rFonts w:eastAsia="Times New Roman"/>
        </w:rPr>
        <w:lastRenderedPageBreak/>
        <w:t>the inflow response.</w:t>
      </w:r>
      <w:r>
        <w:t xml:space="preserve"> </w:t>
      </w:r>
      <w:r>
        <w:rPr>
          <w:rFonts w:eastAsia="Times New Roman"/>
        </w:rPr>
        <w:t>Appendix B.5 instead uses pre-investment financial characteristics. The timing differs, but neither exercise identifies a financing mechanism.</w:t>
      </w:r>
    </w:p>
    <w:p w:rsidR="00286BD6" w:rsidRDefault="00286BD6" w:rsidP="00EB6AAB">
      <w:pPr>
        <w:wordWrap/>
        <w:jc w:val="left"/>
        <w:rPr>
          <w:b/>
          <w:sz w:val="26"/>
        </w:rPr>
      </w:pPr>
    </w:p>
    <w:p w:rsidR="00FF4DCD" w:rsidRPr="00FF4DCD" w:rsidRDefault="00FF4DCD" w:rsidP="00EB6AAB">
      <w:pPr>
        <w:pStyle w:val="3"/>
      </w:pPr>
      <w:r w:rsidRPr="00FF4DCD">
        <w:t>Appendix H. Conditional monthly positive-entry hazard</w:t>
      </w:r>
    </w:p>
    <w:p w:rsidR="00FF4DCD" w:rsidRPr="00FF4DCD" w:rsidRDefault="00FF4DCD" w:rsidP="00EB6AAB">
      <w:pPr>
        <w:pStyle w:val="aff3"/>
        <w:wordWrap/>
      </w:pPr>
      <w:r>
        <w:rPr>
          <w:rFonts w:eastAsia="Times New Roman"/>
        </w:rPr>
        <w:t>The fixed-window analysis aggregates worker inflows over twelve months. Here we instead model, month by month, whether a firm records any NPS worker entry.</w:t>
      </w:r>
      <w:r>
        <w:t xml:space="preserve"> </w:t>
      </w:r>
      <w:r>
        <w:rPr>
          <w:rFonts w:eastAsia="Times New Roman"/>
        </w:rPr>
        <w:t>The hazard conditions on time since the previous positive-entry month, which evolves with post-investment entries and may itself be affected by treatment. It therefore describes conditional monthly incidence, not the causal average response or the event-level state gradient.</w:t>
      </w:r>
    </w:p>
    <w:p w:rsidR="00FF4DCD" w:rsidRPr="00FF4DCD" w:rsidRDefault="00FF4DCD" w:rsidP="00EB6AAB">
      <w:pPr>
        <w:pStyle w:val="3"/>
      </w:pPr>
      <w:r w:rsidRPr="00FF4DCD">
        <w:t>H.1 Post-investment positive-entry hazard</w:t>
      </w:r>
    </w:p>
    <w:p w:rsidR="00FF4DCD" w:rsidRPr="00FF4DCD" w:rsidRDefault="00FF4DCD" w:rsidP="00EB6AAB">
      <w:pPr>
        <w:pStyle w:val="aff3"/>
        <w:wordWrap/>
      </w:pPr>
      <w:r>
        <w:rPr>
          <w:rFonts w:eastAsia="Times New Roman"/>
        </w:rPr>
        <w:t>The sample contains 48,853 firm-months from 379 matched events. We estimate a grouped-binomial complementary log-log model with event and duration fixed effects and event-clustered standard errors.</w:t>
      </w:r>
      <w:r>
        <w:t xml:space="preserve"> </w:t>
      </w:r>
      <w:r>
        <w:rPr>
          <w:rFonts w:eastAsia="Times New Roman"/>
        </w:rPr>
        <w:t>Duration counts consecutive no-entry months immediately before the current month and is grouped as 1, 2, 3, 4–5, 6–11, and at least 12, capped at 24. An entry resets the next month's count to one. After the panel begins or an observation gap occurs, six consecutive observed months are required. We exclude the transaction month and use months −12 to −1 and +1 to +12.</w:t>
      </w:r>
    </w:p>
    <w:p w:rsidR="00FF4DCD" w:rsidRPr="00286BD6" w:rsidRDefault="00FF4DCD" w:rsidP="00EB6AAB">
      <w:pPr>
        <w:pStyle w:val="aff3"/>
        <w:wordWrap/>
        <w:rPr>
          <w:b/>
        </w:rPr>
      </w:pPr>
      <w:r w:rsidRPr="00286BD6">
        <w:rPr>
          <w:b/>
        </w:rPr>
        <w:t>Table H1. Conditional monthly positive-entry hazard</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5384"/>
        <w:gridCol w:w="1559"/>
        <w:gridCol w:w="2078"/>
      </w:tblGrid>
      <w:tr w:rsidR="00FF4DCD" w:rsidRPr="00FF4DCD" w:rsidTr="00B474F8">
        <w:trPr>
          <w:cantSplit/>
          <w:tblHeader/>
        </w:trPr>
        <w:tc>
          <w:tcPr>
            <w:tcW w:w="5384" w:type="dxa"/>
            <w:vAlign w:val="center"/>
          </w:tcPr>
          <w:p w:rsidR="00FF4DCD" w:rsidRPr="00B474F8" w:rsidRDefault="00FF4DCD" w:rsidP="00EB6AAB">
            <w:pPr>
              <w:wordWrap/>
              <w:jc w:val="left"/>
              <w:rPr>
                <w:b/>
              </w:rPr>
            </w:pPr>
            <w:r w:rsidRPr="00B474F8">
              <w:rPr>
                <w:b/>
              </w:rPr>
              <w:t>Specification</w:t>
            </w:r>
          </w:p>
        </w:tc>
        <w:tc>
          <w:tcPr>
            <w:tcW w:w="1559" w:type="dxa"/>
            <w:vAlign w:val="center"/>
          </w:tcPr>
          <w:p w:rsidR="00FF4DCD" w:rsidRPr="00B474F8" w:rsidRDefault="00FF4DCD" w:rsidP="00B474F8">
            <w:pPr>
              <w:wordWrap/>
              <w:jc w:val="center"/>
              <w:rPr>
                <w:b/>
              </w:rPr>
            </w:pPr>
            <w:r w:rsidRPr="00B474F8">
              <w:rPr>
                <w:b/>
              </w:rPr>
              <w:t>Hazard ratio</w:t>
            </w:r>
          </w:p>
        </w:tc>
        <w:tc>
          <w:tcPr>
            <w:tcW w:w="2078" w:type="dxa"/>
            <w:vAlign w:val="center"/>
          </w:tcPr>
          <w:p w:rsidR="00FF4DCD" w:rsidRPr="00B474F8" w:rsidRDefault="00FF4DCD" w:rsidP="00B474F8">
            <w:pPr>
              <w:wordWrap/>
              <w:jc w:val="center"/>
              <w:rPr>
                <w:b/>
              </w:rPr>
            </w:pPr>
            <w:r w:rsidRPr="00B474F8">
              <w:rPr>
                <w:b/>
              </w:rPr>
              <w:t>95% CI</w:t>
            </w:r>
          </w:p>
        </w:tc>
      </w:tr>
      <w:tr w:rsidR="00FF4DCD" w:rsidRPr="00FF4DCD" w:rsidTr="00B474F8">
        <w:trPr>
          <w:cantSplit/>
        </w:trPr>
        <w:tc>
          <w:tcPr>
            <w:tcW w:w="5384" w:type="dxa"/>
          </w:tcPr>
          <w:p w:rsidR="00FF4DCD" w:rsidRPr="00FF4DCD" w:rsidRDefault="00FF4DCD" w:rsidP="00EB6AAB">
            <w:pPr>
              <w:wordWrap/>
              <w:jc w:val="left"/>
            </w:pPr>
            <w:r>
              <w:t>Post-investment positive worker entry, treated relative to matched controls</w:t>
            </w:r>
          </w:p>
        </w:tc>
        <w:tc>
          <w:tcPr>
            <w:tcW w:w="1559" w:type="dxa"/>
            <w:vAlign w:val="center"/>
          </w:tcPr>
          <w:p w:rsidR="00FF4DCD" w:rsidRPr="00FF4DCD" w:rsidRDefault="00FF4DCD" w:rsidP="00B474F8">
            <w:pPr>
              <w:wordWrap/>
              <w:jc w:val="center"/>
            </w:pPr>
            <w:r>
              <w:t>1.1593</w:t>
            </w:r>
          </w:p>
        </w:tc>
        <w:tc>
          <w:tcPr>
            <w:tcW w:w="2078" w:type="dxa"/>
            <w:vAlign w:val="center"/>
          </w:tcPr>
          <w:p w:rsidR="00FF4DCD" w:rsidRPr="00FF4DCD" w:rsidRDefault="00FF4DCD" w:rsidP="00B474F8">
            <w:pPr>
              <w:wordWrap/>
              <w:jc w:val="center"/>
            </w:pPr>
            <w:r>
              <w:t>[1.0834, 1.2409]</w:t>
            </w:r>
          </w:p>
        </w:tc>
      </w:tr>
    </w:tbl>
    <w:p w:rsidR="00FF4DCD" w:rsidRPr="00286BD6"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complementary log-log model includes event fixed effects and fixed effects for duration categories 1, 2, 3, 4–5, 6–11, and ≥12 months, with standard errors clustered by event. The sample contains 379 matched events and 48,853 firm-month observations. Because duration evolves with post-investment worker entries, the hazard ratio is a conditional descriptive estimand rather than a direct analogue of the fixed-window hiring-rate response.</w:t>
      </w:r>
    </w:p>
    <w:p w:rsidR="00FF4DCD" w:rsidRPr="00FF4DCD" w:rsidRDefault="00FF4DCD" w:rsidP="00EB6AAB">
      <w:pPr>
        <w:pStyle w:val="aff3"/>
        <w:wordWrap/>
      </w:pPr>
      <w:r>
        <w:rPr>
          <w:rFonts w:eastAsia="Times New Roman"/>
        </w:rPr>
        <w:t>The treated-post hazard ratio is 1.1593 [1.0834, 1.2409], or 15.9 percent higher conditional incidence of a positive-entry month. The hazard discards the number of entries within such a month and conditions on evolving duration, so it is not a second estimate of the twelve-month hiring-rate effect.</w:t>
      </w:r>
      <w:r>
        <w:t xml:space="preserve"> </w:t>
      </w:r>
      <w:r>
        <w:rPr>
          <w:rFonts w:eastAsia="Times New Roman"/>
        </w:rPr>
        <w:t>The estimate shows that positive-entry months become more common after investment; it does not measure the magnitude of the fixed-window worker-inflow response.</w:t>
      </w:r>
    </w:p>
    <w:p w:rsidR="00FF4DCD" w:rsidRPr="00FF4DCD" w:rsidRDefault="00FF4DCD" w:rsidP="00EB6AAB">
      <w:pPr>
        <w:pStyle w:val="3"/>
      </w:pPr>
      <w:r w:rsidRPr="00FF4DCD">
        <w:lastRenderedPageBreak/>
        <w:t>H.2 Pre-deal hiring state and the monthly positive-entry hazard</w:t>
      </w:r>
    </w:p>
    <w:p w:rsidR="00FF4DCD" w:rsidRPr="00FF4DCD" w:rsidRDefault="00FF4DCD" w:rsidP="00EB6AAB">
      <w:pPr>
        <w:pStyle w:val="aff3"/>
        <w:wordWrap/>
      </w:pPr>
      <w:r>
        <w:rPr>
          <w:rFonts w:eastAsia="Times New Roman"/>
        </w:rPr>
        <w:t>The state interaction in the hazard model draws on different variation from the primary event-level gradient. The primary estimator relates a twelve-month treated-minus-control response to the continuous target state; the hazard estimates conditional monthly incidence with event and duration fixed effects.</w:t>
      </w:r>
      <w:r>
        <w:t xml:space="preserve"> The continuous state used in this analysis is the treated target’s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m:rPr>
                    <m:nor/>
                  </m:rPr>
                  <m:t>state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state</m:t>
                </m:r>
              </m:sup>
            </m:sSubSup>
          </m:e>
        </m:d>
      </m:oMath>
      <w:r>
        <w:t>, measured over months −24 through −13. It enters without rescaling and is assigned to every firm-month in the corresponding matched event; a matched control therefore carries the treated target’s state rather than its own state value.</w:t>
      </w:r>
    </w:p>
    <w:p w:rsidR="00FF4DCD" w:rsidRPr="00286BD6" w:rsidRDefault="00FF4DCD" w:rsidP="00EB6AAB">
      <w:pPr>
        <w:pStyle w:val="aff3"/>
        <w:wordWrap/>
        <w:rPr>
          <w:b/>
        </w:rPr>
      </w:pPr>
      <w:r w:rsidRPr="00286BD6">
        <w:rPr>
          <w:b/>
        </w:rPr>
        <w:t>Table H2. Pre-deal hiring-state interaction in the monthly positive-entry hazard</w:t>
      </w:r>
    </w:p>
    <w:tbl>
      <w:tblPr>
        <w:tblW w:w="531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545"/>
        <w:gridCol w:w="3118"/>
        <w:gridCol w:w="1930"/>
      </w:tblGrid>
      <w:tr w:rsidR="00FF4DCD" w:rsidRPr="00FF4DCD" w:rsidTr="00B474F8">
        <w:trPr>
          <w:cantSplit/>
          <w:tblHeader/>
        </w:trPr>
        <w:tc>
          <w:tcPr>
            <w:tcW w:w="4545" w:type="dxa"/>
            <w:vAlign w:val="center"/>
          </w:tcPr>
          <w:p w:rsidR="00FF4DCD" w:rsidRPr="00B474F8" w:rsidRDefault="00FF4DCD" w:rsidP="00EB6AAB">
            <w:pPr>
              <w:wordWrap/>
              <w:jc w:val="left"/>
              <w:rPr>
                <w:b/>
              </w:rPr>
            </w:pPr>
            <w:r w:rsidRPr="00B474F8">
              <w:rPr>
                <w:b/>
              </w:rPr>
              <w:t>Matching design</w:t>
            </w:r>
          </w:p>
        </w:tc>
        <w:tc>
          <w:tcPr>
            <w:tcW w:w="3118" w:type="dxa"/>
            <w:vAlign w:val="center"/>
          </w:tcPr>
          <w:p w:rsidR="00FF4DCD" w:rsidRPr="00B474F8" w:rsidRDefault="00FF4DCD" w:rsidP="00B474F8">
            <w:pPr>
              <w:wordWrap/>
              <w:jc w:val="center"/>
              <w:rPr>
                <w:b/>
              </w:rPr>
            </w:pPr>
            <w:r w:rsidRPr="00B474F8">
              <w:rPr>
                <w:b/>
              </w:rPr>
              <w:t>State interaction, hazard ratio</w:t>
            </w:r>
          </w:p>
        </w:tc>
        <w:tc>
          <w:tcPr>
            <w:tcW w:w="1930" w:type="dxa"/>
            <w:vAlign w:val="center"/>
          </w:tcPr>
          <w:p w:rsidR="00FF4DCD" w:rsidRPr="00B474F8" w:rsidRDefault="00FF4DCD" w:rsidP="00B474F8">
            <w:pPr>
              <w:wordWrap/>
              <w:jc w:val="center"/>
              <w:rPr>
                <w:b/>
              </w:rPr>
            </w:pPr>
            <w:r w:rsidRPr="00B474F8">
              <w:rPr>
                <w:b/>
              </w:rPr>
              <w:t>95% CI</w:t>
            </w:r>
          </w:p>
        </w:tc>
      </w:tr>
      <w:tr w:rsidR="00FF4DCD" w:rsidRPr="00FF4DCD" w:rsidTr="00B474F8">
        <w:trPr>
          <w:cantSplit/>
        </w:trPr>
        <w:tc>
          <w:tcPr>
            <w:tcW w:w="4545" w:type="dxa"/>
          </w:tcPr>
          <w:p w:rsidR="00FF4DCD" w:rsidRPr="00FF4DCD" w:rsidRDefault="00FF4DCD" w:rsidP="00EB6AAB">
            <w:pPr>
              <w:wordWrap/>
              <w:jc w:val="left"/>
            </w:pPr>
            <w:r>
              <w:t>Conventional matching, state not exact-matched</w:t>
            </w:r>
          </w:p>
        </w:tc>
        <w:tc>
          <w:tcPr>
            <w:tcW w:w="3118" w:type="dxa"/>
            <w:vAlign w:val="center"/>
          </w:tcPr>
          <w:p w:rsidR="00FF4DCD" w:rsidRPr="00FF4DCD" w:rsidRDefault="00FF4DCD" w:rsidP="00B474F8">
            <w:pPr>
              <w:wordWrap/>
              <w:jc w:val="center"/>
            </w:pPr>
            <w:r>
              <w:t>1.204</w:t>
            </w:r>
          </w:p>
        </w:tc>
        <w:tc>
          <w:tcPr>
            <w:tcW w:w="1930" w:type="dxa"/>
            <w:vAlign w:val="center"/>
          </w:tcPr>
          <w:p w:rsidR="00FF4DCD" w:rsidRPr="00FF4DCD" w:rsidRDefault="00FF4DCD" w:rsidP="00B474F8">
            <w:pPr>
              <w:wordWrap/>
              <w:jc w:val="center"/>
            </w:pPr>
            <w:r>
              <w:t>[1.0205, 1.4205]</w:t>
            </w:r>
          </w:p>
        </w:tc>
      </w:tr>
      <w:tr w:rsidR="00FF4DCD" w:rsidRPr="00FF4DCD" w:rsidTr="00B474F8">
        <w:trPr>
          <w:cantSplit/>
        </w:trPr>
        <w:tc>
          <w:tcPr>
            <w:tcW w:w="4545" w:type="dxa"/>
          </w:tcPr>
          <w:p w:rsidR="00FF4DCD" w:rsidRPr="00FF4DCD" w:rsidRDefault="00FF4DCD" w:rsidP="00EB6AAB">
            <w:pPr>
              <w:wordWrap/>
              <w:jc w:val="left"/>
            </w:pPr>
            <w:r>
              <w:t>State-balanced matching, continuous state</w:t>
            </w:r>
          </w:p>
        </w:tc>
        <w:tc>
          <w:tcPr>
            <w:tcW w:w="3118" w:type="dxa"/>
            <w:vAlign w:val="center"/>
          </w:tcPr>
          <w:p w:rsidR="00FF4DCD" w:rsidRPr="00FF4DCD" w:rsidRDefault="00FF4DCD" w:rsidP="00B474F8">
            <w:pPr>
              <w:wordWrap/>
              <w:jc w:val="center"/>
            </w:pPr>
            <w:r>
              <w:t>1.5074</w:t>
            </w:r>
          </w:p>
        </w:tc>
        <w:tc>
          <w:tcPr>
            <w:tcW w:w="1930" w:type="dxa"/>
            <w:vAlign w:val="center"/>
          </w:tcPr>
          <w:p w:rsidR="00FF4DCD" w:rsidRPr="00FF4DCD" w:rsidRDefault="00FF4DCD" w:rsidP="00B474F8">
            <w:pPr>
              <w:wordWrap/>
              <w:jc w:val="center"/>
            </w:pPr>
            <w:r>
              <w:t>[0.8710, 2.6087]</w:t>
            </w:r>
          </w:p>
        </w:tc>
      </w:tr>
      <w:tr w:rsidR="00FF4DCD" w:rsidRPr="00FF4DCD" w:rsidTr="00B474F8">
        <w:trPr>
          <w:cantSplit/>
        </w:trPr>
        <w:tc>
          <w:tcPr>
            <w:tcW w:w="4545" w:type="dxa"/>
          </w:tcPr>
          <w:p w:rsidR="00FF4DCD" w:rsidRPr="00FF4DCD" w:rsidRDefault="00FF4DCD" w:rsidP="00EB6AAB">
            <w:pPr>
              <w:wordWrap/>
              <w:jc w:val="left"/>
            </w:pPr>
            <w:r>
              <w:t>State-balanced matching, state tercile</w:t>
            </w:r>
          </w:p>
        </w:tc>
        <w:tc>
          <w:tcPr>
            <w:tcW w:w="3118" w:type="dxa"/>
            <w:vAlign w:val="center"/>
          </w:tcPr>
          <w:p w:rsidR="00FF4DCD" w:rsidRPr="00FF4DCD" w:rsidRDefault="00FF4DCD" w:rsidP="00B474F8">
            <w:pPr>
              <w:wordWrap/>
              <w:jc w:val="center"/>
            </w:pPr>
            <w:r>
              <w:t>—</w:t>
            </w:r>
          </w:p>
        </w:tc>
        <w:tc>
          <w:tcPr>
            <w:tcW w:w="1930" w:type="dxa"/>
            <w:vAlign w:val="center"/>
          </w:tcPr>
          <w:p w:rsidR="00FF4DCD" w:rsidRPr="00FF4DCD" w:rsidRDefault="00FF4DCD" w:rsidP="00B474F8">
            <w:pPr>
              <w:wordWrap/>
              <w:jc w:val="center"/>
            </w:pPr>
            <w:r>
              <w:t>—</w:t>
            </w:r>
          </w:p>
        </w:tc>
      </w:tr>
    </w:tbl>
    <w:p w:rsidR="00FF4DCD" w:rsidRPr="00286BD6" w:rsidRDefault="00FF4DCD" w:rsidP="00EB6AAB">
      <w:pPr>
        <w:pStyle w:val="aff3"/>
        <w:wordWrap/>
        <w:spacing w:before="0"/>
        <w:rPr>
          <w:color w:val="7F7F7F" w:themeColor="text1" w:themeTint="80"/>
          <w:sz w:val="20"/>
        </w:rPr>
      </w:pPr>
      <w:r>
        <w:rPr>
          <w:i/>
          <w:color w:val="7F7F7F" w:themeColor="text1" w:themeTint="80"/>
          <w:sz w:val="20"/>
        </w:rPr>
        <w:t>Notes.</w:t>
      </w:r>
      <w:r>
        <w:rPr>
          <w:color w:val="7F7F7F" w:themeColor="text1" w:themeTint="80"/>
          <w:sz w:val="20"/>
        </w:rPr>
        <w:t xml:space="preserve"> The conventional specification uses 308 events, 3,919 grouped cells, and 41,303 firm-month observations. The state-balanced continuous specification uses 308 events, 1,199 grouped cells, and 38,652 firm-month observations. Both models contain event fixed effects and duration-category fixed effects, with standard errors clustered by event. The continuous state is the treated target’s unrescaled −log(1 + worker-entry rate) over months −24 through −13 and is assigned to every firm-month in the corresponding matched event. The state-tercile interaction is not separately estimable in the state-balanced event-fixed-effect model because the tercile indicator defining the exact matching cell is constant within event and therefore collinear with the event fixed effects.</w:t>
      </w:r>
    </w:p>
    <w:p w:rsidR="00FF4DCD" w:rsidRPr="00FF4DCD" w:rsidRDefault="00FF4DCD" w:rsidP="00EB6AAB">
      <w:pPr>
        <w:pStyle w:val="aff3"/>
        <w:wordWrap/>
      </w:pPr>
      <w:r>
        <w:rPr>
          <w:rFonts w:eastAsia="Times New Roman"/>
        </w:rPr>
        <w:t>The hazard interaction and the event-level gradient are different parameters. The latter first balances controls on the target state and constructs a fixed-window response; the former conditions monthly incidence on duration and event fixed effects.</w:t>
      </w:r>
      <w:r>
        <w:t xml:space="preserve"> </w:t>
      </w:r>
      <w:r>
        <w:rPr>
          <w:rFonts w:eastAsia="Times New Roman"/>
        </w:rPr>
        <w:t>The conventional-matching interaction is positive and more precise. Under state-balanced matching, the point estimate remains above one but is imprecise; it neither replicates nor falsifies the primary gradient.</w:t>
      </w:r>
      <w:r>
        <w:t xml:space="preserve"> </w:t>
      </w:r>
      <w:r>
        <w:rPr>
          <w:rFonts w:eastAsia="Times New Roman"/>
        </w:rPr>
        <w:t>State-dependent adjustment is identified by the fixed-window matched gradient, not this hazard model.</w:t>
      </w:r>
    </w:p>
    <w:sectPr w:rsidR="00FF4DCD" w:rsidRPr="00FF4DCD" w:rsidSect="00F2490B">
      <w:pgSz w:w="11907" w:h="16839" w:code="9"/>
      <w:pgMar w:top="1701" w:right="1440" w:bottom="1440" w:left="1440" w:header="851" w:footer="645" w:gutter="0"/>
      <w:cols w:space="425"/>
      <w:docGrid w:type="linesAndChars" w:linePitch="42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566" w:rsidRDefault="00E65566" w:rsidP="00915415">
      <w:r>
        <w:separator/>
      </w:r>
    </w:p>
    <w:p w:rsidR="00E65566" w:rsidRDefault="00E65566" w:rsidP="00915415"/>
    <w:p w:rsidR="00E65566" w:rsidRDefault="00E65566" w:rsidP="00915415"/>
  </w:endnote>
  <w:endnote w:type="continuationSeparator" w:id="0">
    <w:p w:rsidR="00E65566" w:rsidRDefault="00E65566" w:rsidP="00915415">
      <w:r>
        <w:continuationSeparator/>
      </w:r>
    </w:p>
    <w:p w:rsidR="00E65566" w:rsidRDefault="00E65566" w:rsidP="00915415"/>
    <w:p w:rsidR="00E65566" w:rsidRDefault="00E65566" w:rsidP="009154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Palatino">
    <w:panose1 w:val="00000000000000000000"/>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견명조">
    <w:panose1 w:val="02030600000101010101"/>
    <w:charset w:val="81"/>
    <w:family w:val="roman"/>
    <w:pitch w:val="variable"/>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휴먼고딕">
    <w:altName w:val="훈민일본어sJIS"/>
    <w:charset w:val="81"/>
    <w:family w:val="auto"/>
    <w:pitch w:val="variable"/>
    <w:sig w:usb0="800002A7" w:usb1="19D77CFB" w:usb2="00000010" w:usb3="00000000" w:csb0="00080000" w:csb1="00000000"/>
  </w:font>
  <w:font w:name="HCI Hollyhock">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202445"/>
      <w:docPartObj>
        <w:docPartGallery w:val="Page Numbers (Bottom of Page)"/>
        <w:docPartUnique/>
      </w:docPartObj>
    </w:sdtPr>
    <w:sdtContent>
      <w:p w:rsidR="00EB6AAB" w:rsidRDefault="00EB6AAB" w:rsidP="000C5E12">
        <w:pPr>
          <w:pStyle w:val="a9"/>
          <w:jc w:val="center"/>
        </w:pPr>
        <w:r>
          <w:fldChar w:fldCharType="begin"/>
        </w:r>
        <w:r>
          <w:instrText>PAGE   \* MERGEFORMAT</w:instrText>
        </w:r>
        <w:r>
          <w:fldChar w:fldCharType="separate"/>
        </w:r>
        <w:r w:rsidR="00B474F8" w:rsidRPr="00B474F8">
          <w:rPr>
            <w:noProof/>
            <w:lang w:val="ko-KR"/>
          </w:rPr>
          <w:t>2</w:t>
        </w:r>
        <w:r>
          <w:fldChar w:fldCharType="end"/>
        </w:r>
      </w:p>
    </w:sdtContent>
  </w:sdt>
  <w:p w:rsidR="00EB6AAB" w:rsidRDefault="00EB6AAB" w:rsidP="00915415">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566" w:rsidRDefault="00E65566" w:rsidP="00915415">
      <w:r>
        <w:separator/>
      </w:r>
    </w:p>
    <w:p w:rsidR="00E65566" w:rsidRDefault="00E65566" w:rsidP="00915415"/>
    <w:p w:rsidR="00E65566" w:rsidRDefault="00E65566" w:rsidP="00915415"/>
  </w:footnote>
  <w:footnote w:type="continuationSeparator" w:id="0">
    <w:p w:rsidR="00E65566" w:rsidRDefault="00E65566" w:rsidP="00915415">
      <w:r>
        <w:continuationSeparator/>
      </w:r>
    </w:p>
    <w:p w:rsidR="00E65566" w:rsidRDefault="00E65566" w:rsidP="00915415"/>
    <w:p w:rsidR="00E65566" w:rsidRDefault="00E65566" w:rsidP="0091541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6AAB" w:rsidRDefault="00EB6AA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B0CD1"/>
    <w:multiLevelType w:val="multilevel"/>
    <w:tmpl w:val="6A62A7A6"/>
    <w:lvl w:ilvl="0">
      <w:start w:val="1"/>
      <w:numFmt w:val="upperRoman"/>
      <w:pStyle w:val="11"/>
      <w:lvlText w:val="%1"/>
      <w:lvlJc w:val="center"/>
      <w:pPr>
        <w:tabs>
          <w:tab w:val="num" w:pos="555"/>
        </w:tabs>
        <w:ind w:left="555" w:hanging="267"/>
      </w:pPr>
      <w:rPr>
        <w:rFonts w:hint="eastAsia"/>
      </w:rPr>
    </w:lvl>
    <w:lvl w:ilvl="1">
      <w:start w:val="1"/>
      <w:numFmt w:val="decimal"/>
      <w:lvlText w:val="2.%2"/>
      <w:lvlJc w:val="left"/>
      <w:pPr>
        <w:tabs>
          <w:tab w:val="num" w:pos="555"/>
        </w:tabs>
        <w:ind w:left="555" w:hanging="555"/>
      </w:pPr>
      <w:rPr>
        <w:rFonts w:hint="eastAsia"/>
      </w:rPr>
    </w:lvl>
    <w:lvl w:ilvl="2">
      <w:start w:val="1"/>
      <w:numFmt w:val="decimal"/>
      <w:lvlRestart w:val="1"/>
      <w:lvlText w:val="2.%2.%3"/>
      <w:lvlJc w:val="left"/>
      <w:pPr>
        <w:tabs>
          <w:tab w:val="num" w:pos="555"/>
        </w:tabs>
        <w:ind w:left="555" w:hanging="555"/>
      </w:pPr>
      <w:rPr>
        <w:rFonts w:hint="eastAsia"/>
      </w:rPr>
    </w:lvl>
    <w:lvl w:ilvl="3">
      <w:start w:val="1"/>
      <w:numFmt w:val="decimal"/>
      <w:lvlText w:val="2.%2.%3.%4"/>
      <w:lvlJc w:val="left"/>
      <w:pPr>
        <w:tabs>
          <w:tab w:val="num" w:pos="555"/>
        </w:tabs>
        <w:ind w:left="555" w:hanging="555"/>
      </w:pPr>
      <w:rPr>
        <w:rFonts w:hint="eastAsia"/>
      </w:rPr>
    </w:lvl>
    <w:lvl w:ilvl="4">
      <w:start w:val="1"/>
      <w:numFmt w:val="decimal"/>
      <w:lvlText w:val="2.%2.%3.%4.%5"/>
      <w:lvlJc w:val="left"/>
      <w:pPr>
        <w:tabs>
          <w:tab w:val="num" w:pos="555"/>
        </w:tabs>
        <w:ind w:left="555" w:hanging="555"/>
      </w:pPr>
      <w:rPr>
        <w:rFonts w:hint="eastAsia"/>
      </w:rPr>
    </w:lvl>
    <w:lvl w:ilvl="5">
      <w:start w:val="1"/>
      <w:numFmt w:val="decimal"/>
      <w:lvlText w:val="1.%2.%3.%4.%5.%6"/>
      <w:lvlJc w:val="left"/>
      <w:pPr>
        <w:tabs>
          <w:tab w:val="num" w:pos="555"/>
        </w:tabs>
        <w:ind w:left="555" w:hanging="555"/>
      </w:pPr>
      <w:rPr>
        <w:rFonts w:hint="eastAsia"/>
      </w:rPr>
    </w:lvl>
    <w:lvl w:ilvl="6">
      <w:start w:val="1"/>
      <w:numFmt w:val="decimal"/>
      <w:lvlText w:val="%1.%2.%3.%4.%5.%6.%7"/>
      <w:lvlJc w:val="left"/>
      <w:pPr>
        <w:tabs>
          <w:tab w:val="num" w:pos="555"/>
        </w:tabs>
        <w:ind w:left="555" w:hanging="555"/>
      </w:pPr>
      <w:rPr>
        <w:rFonts w:hint="eastAsia"/>
      </w:rPr>
    </w:lvl>
    <w:lvl w:ilvl="7">
      <w:start w:val="1"/>
      <w:numFmt w:val="decimal"/>
      <w:lvlText w:val="%1.%2.%3.%4.%5.%6.%7.%8"/>
      <w:lvlJc w:val="left"/>
      <w:pPr>
        <w:tabs>
          <w:tab w:val="num" w:pos="555"/>
        </w:tabs>
        <w:ind w:left="555" w:hanging="555"/>
      </w:pPr>
      <w:rPr>
        <w:rFonts w:hint="eastAsia"/>
      </w:rPr>
    </w:lvl>
    <w:lvl w:ilvl="8">
      <w:start w:val="1"/>
      <w:numFmt w:val="decimal"/>
      <w:lvlText w:val="%1.%2.%3.%4.%5.%6.%7.%8.%9"/>
      <w:lvlJc w:val="left"/>
      <w:pPr>
        <w:tabs>
          <w:tab w:val="num" w:pos="555"/>
        </w:tabs>
        <w:ind w:left="555" w:hanging="555"/>
      </w:pPr>
      <w:rPr>
        <w:rFonts w:hint="eastAsia"/>
      </w:rPr>
    </w:lvl>
  </w:abstractNum>
  <w:abstractNum w:abstractNumId="1" w15:restartNumberingAfterBreak="0">
    <w:nsid w:val="26FE1FCF"/>
    <w:multiLevelType w:val="multilevel"/>
    <w:tmpl w:val="33826962"/>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2DC35B60"/>
    <w:multiLevelType w:val="hybridMultilevel"/>
    <w:tmpl w:val="793C4F18"/>
    <w:lvl w:ilvl="0" w:tplc="29483D98">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4" w15:restartNumberingAfterBreak="0">
    <w:nsid w:val="4F605694"/>
    <w:multiLevelType w:val="singleLevel"/>
    <w:tmpl w:val="27B489C0"/>
    <w:lvl w:ilvl="0">
      <w:start w:val="1"/>
      <w:numFmt w:val="decimal"/>
      <w:pStyle w:val="a"/>
      <w:lvlText w:val="[%1]"/>
      <w:lvlJc w:val="left"/>
      <w:pPr>
        <w:tabs>
          <w:tab w:val="num" w:pos="360"/>
        </w:tabs>
        <w:ind w:left="360" w:hanging="360"/>
      </w:pPr>
      <w:rPr>
        <w:rFonts w:hint="eastAsia"/>
      </w:rPr>
    </w:lvl>
  </w:abstractNum>
  <w:abstractNum w:abstractNumId="5"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abstractNumId w:val="0"/>
  </w:num>
  <w:num w:numId="2">
    <w:abstractNumId w:val="5"/>
  </w:num>
  <w:num w:numId="3">
    <w:abstractNumId w:val="4"/>
  </w:num>
  <w:num w:numId="4">
    <w:abstractNumId w:val="3"/>
  </w:num>
  <w:num w:numId="5">
    <w:abstractNumId w:val="1"/>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2"/>
  <w:autoHyphenation/>
  <w:hyphenationZone w:val="357"/>
  <w:drawingGridHorizontalSpacing w:val="100"/>
  <w:drawingGridVerticalSpacing w:val="211"/>
  <w:displayHorizontalDrawingGridEvery w:val="0"/>
  <w:displayVerticalDrawingGridEvery w:val="2"/>
  <w:doNotShadeFormData/>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26E"/>
    <w:rsid w:val="000001F4"/>
    <w:rsid w:val="000004E5"/>
    <w:rsid w:val="00000A73"/>
    <w:rsid w:val="00000B50"/>
    <w:rsid w:val="0000101D"/>
    <w:rsid w:val="00001760"/>
    <w:rsid w:val="000022F3"/>
    <w:rsid w:val="0000276A"/>
    <w:rsid w:val="00002C63"/>
    <w:rsid w:val="00002FF3"/>
    <w:rsid w:val="000031A6"/>
    <w:rsid w:val="000031E6"/>
    <w:rsid w:val="000032B1"/>
    <w:rsid w:val="00003362"/>
    <w:rsid w:val="00003E48"/>
    <w:rsid w:val="00003E86"/>
    <w:rsid w:val="00004169"/>
    <w:rsid w:val="00004A2E"/>
    <w:rsid w:val="00005647"/>
    <w:rsid w:val="00005679"/>
    <w:rsid w:val="000056DC"/>
    <w:rsid w:val="00005789"/>
    <w:rsid w:val="00005864"/>
    <w:rsid w:val="00005893"/>
    <w:rsid w:val="00005FD1"/>
    <w:rsid w:val="00006716"/>
    <w:rsid w:val="00006890"/>
    <w:rsid w:val="00006975"/>
    <w:rsid w:val="00006EC9"/>
    <w:rsid w:val="0000714E"/>
    <w:rsid w:val="00007586"/>
    <w:rsid w:val="00007B15"/>
    <w:rsid w:val="00007D0C"/>
    <w:rsid w:val="00007EAC"/>
    <w:rsid w:val="00010391"/>
    <w:rsid w:val="00010CBC"/>
    <w:rsid w:val="00010D42"/>
    <w:rsid w:val="00012661"/>
    <w:rsid w:val="00013B8E"/>
    <w:rsid w:val="00015007"/>
    <w:rsid w:val="000152A3"/>
    <w:rsid w:val="0001536E"/>
    <w:rsid w:val="00015FDF"/>
    <w:rsid w:val="00016107"/>
    <w:rsid w:val="0001622A"/>
    <w:rsid w:val="000167DA"/>
    <w:rsid w:val="00016970"/>
    <w:rsid w:val="00016ADC"/>
    <w:rsid w:val="00017827"/>
    <w:rsid w:val="000178FB"/>
    <w:rsid w:val="00017BDB"/>
    <w:rsid w:val="00017C5B"/>
    <w:rsid w:val="00017CB9"/>
    <w:rsid w:val="0002011E"/>
    <w:rsid w:val="000204FE"/>
    <w:rsid w:val="0002078F"/>
    <w:rsid w:val="00020F4E"/>
    <w:rsid w:val="00021908"/>
    <w:rsid w:val="00021C01"/>
    <w:rsid w:val="00022101"/>
    <w:rsid w:val="00022EA5"/>
    <w:rsid w:val="00023044"/>
    <w:rsid w:val="0002308F"/>
    <w:rsid w:val="0002323F"/>
    <w:rsid w:val="000237FE"/>
    <w:rsid w:val="00023D65"/>
    <w:rsid w:val="0002409B"/>
    <w:rsid w:val="00025051"/>
    <w:rsid w:val="00025648"/>
    <w:rsid w:val="00025CD6"/>
    <w:rsid w:val="00025CD9"/>
    <w:rsid w:val="00025F16"/>
    <w:rsid w:val="000268F5"/>
    <w:rsid w:val="00026B64"/>
    <w:rsid w:val="00026DB6"/>
    <w:rsid w:val="00026FB2"/>
    <w:rsid w:val="000271EF"/>
    <w:rsid w:val="00027243"/>
    <w:rsid w:val="0002760B"/>
    <w:rsid w:val="000278EF"/>
    <w:rsid w:val="00027B72"/>
    <w:rsid w:val="0003048D"/>
    <w:rsid w:val="00030686"/>
    <w:rsid w:val="000307A1"/>
    <w:rsid w:val="00030E5A"/>
    <w:rsid w:val="00031087"/>
    <w:rsid w:val="00031952"/>
    <w:rsid w:val="00031EA4"/>
    <w:rsid w:val="0003348F"/>
    <w:rsid w:val="0003366A"/>
    <w:rsid w:val="000338D4"/>
    <w:rsid w:val="0003397E"/>
    <w:rsid w:val="00033A45"/>
    <w:rsid w:val="00033AB0"/>
    <w:rsid w:val="00033E28"/>
    <w:rsid w:val="00034168"/>
    <w:rsid w:val="00034AA0"/>
    <w:rsid w:val="00034D9D"/>
    <w:rsid w:val="00034DFF"/>
    <w:rsid w:val="0003516A"/>
    <w:rsid w:val="000352FC"/>
    <w:rsid w:val="000353E7"/>
    <w:rsid w:val="000356D9"/>
    <w:rsid w:val="00035AA6"/>
    <w:rsid w:val="00035AAF"/>
    <w:rsid w:val="00035EA7"/>
    <w:rsid w:val="0003660E"/>
    <w:rsid w:val="00036799"/>
    <w:rsid w:val="000368AF"/>
    <w:rsid w:val="00036F9B"/>
    <w:rsid w:val="00036FE6"/>
    <w:rsid w:val="0003713C"/>
    <w:rsid w:val="0003744E"/>
    <w:rsid w:val="00037F33"/>
    <w:rsid w:val="00040682"/>
    <w:rsid w:val="00040C39"/>
    <w:rsid w:val="00041289"/>
    <w:rsid w:val="00041A9F"/>
    <w:rsid w:val="00041F9F"/>
    <w:rsid w:val="000422B8"/>
    <w:rsid w:val="000424DA"/>
    <w:rsid w:val="00042739"/>
    <w:rsid w:val="00042B4C"/>
    <w:rsid w:val="00043210"/>
    <w:rsid w:val="0004443E"/>
    <w:rsid w:val="000444EE"/>
    <w:rsid w:val="00044591"/>
    <w:rsid w:val="0004465F"/>
    <w:rsid w:val="00044D18"/>
    <w:rsid w:val="00045074"/>
    <w:rsid w:val="000455C1"/>
    <w:rsid w:val="000456A9"/>
    <w:rsid w:val="00045DF8"/>
    <w:rsid w:val="00045F0B"/>
    <w:rsid w:val="000462CA"/>
    <w:rsid w:val="00046419"/>
    <w:rsid w:val="000465E8"/>
    <w:rsid w:val="00046950"/>
    <w:rsid w:val="000471C3"/>
    <w:rsid w:val="0004745E"/>
    <w:rsid w:val="000477FF"/>
    <w:rsid w:val="000478E9"/>
    <w:rsid w:val="0005098B"/>
    <w:rsid w:val="00051151"/>
    <w:rsid w:val="0005281F"/>
    <w:rsid w:val="00052FA8"/>
    <w:rsid w:val="00052FBA"/>
    <w:rsid w:val="0005309F"/>
    <w:rsid w:val="00053402"/>
    <w:rsid w:val="000537DD"/>
    <w:rsid w:val="00053DD7"/>
    <w:rsid w:val="00053F51"/>
    <w:rsid w:val="00054634"/>
    <w:rsid w:val="00054648"/>
    <w:rsid w:val="000548D1"/>
    <w:rsid w:val="00054B3B"/>
    <w:rsid w:val="00056C9F"/>
    <w:rsid w:val="00056F0C"/>
    <w:rsid w:val="00057227"/>
    <w:rsid w:val="000573CB"/>
    <w:rsid w:val="000575A1"/>
    <w:rsid w:val="00057B78"/>
    <w:rsid w:val="000608AB"/>
    <w:rsid w:val="0006153F"/>
    <w:rsid w:val="00061879"/>
    <w:rsid w:val="00061912"/>
    <w:rsid w:val="00061A31"/>
    <w:rsid w:val="00061C85"/>
    <w:rsid w:val="00061F0E"/>
    <w:rsid w:val="000628C0"/>
    <w:rsid w:val="000629B8"/>
    <w:rsid w:val="00062A4B"/>
    <w:rsid w:val="00062AC6"/>
    <w:rsid w:val="00062C08"/>
    <w:rsid w:val="00063011"/>
    <w:rsid w:val="00063110"/>
    <w:rsid w:val="0006364B"/>
    <w:rsid w:val="00063741"/>
    <w:rsid w:val="00064057"/>
    <w:rsid w:val="0006456E"/>
    <w:rsid w:val="00064D3C"/>
    <w:rsid w:val="000650C8"/>
    <w:rsid w:val="0006516C"/>
    <w:rsid w:val="00065243"/>
    <w:rsid w:val="00065872"/>
    <w:rsid w:val="00065F3A"/>
    <w:rsid w:val="000660E6"/>
    <w:rsid w:val="00066A65"/>
    <w:rsid w:val="00066C23"/>
    <w:rsid w:val="00066E58"/>
    <w:rsid w:val="00066ED1"/>
    <w:rsid w:val="00066F85"/>
    <w:rsid w:val="00067A17"/>
    <w:rsid w:val="00067E18"/>
    <w:rsid w:val="000700C0"/>
    <w:rsid w:val="000711F4"/>
    <w:rsid w:val="000714E6"/>
    <w:rsid w:val="0007192C"/>
    <w:rsid w:val="00071AB6"/>
    <w:rsid w:val="00071C3C"/>
    <w:rsid w:val="00071DA8"/>
    <w:rsid w:val="000721FB"/>
    <w:rsid w:val="00072B35"/>
    <w:rsid w:val="00072EE5"/>
    <w:rsid w:val="00073624"/>
    <w:rsid w:val="0007374D"/>
    <w:rsid w:val="00075880"/>
    <w:rsid w:val="00075F1C"/>
    <w:rsid w:val="00076090"/>
    <w:rsid w:val="000769CF"/>
    <w:rsid w:val="00077431"/>
    <w:rsid w:val="00077EE3"/>
    <w:rsid w:val="00077FC4"/>
    <w:rsid w:val="000802A0"/>
    <w:rsid w:val="00081AFE"/>
    <w:rsid w:val="00081DAF"/>
    <w:rsid w:val="00082EA6"/>
    <w:rsid w:val="00082EC2"/>
    <w:rsid w:val="0008304B"/>
    <w:rsid w:val="00083156"/>
    <w:rsid w:val="00083C49"/>
    <w:rsid w:val="00083E35"/>
    <w:rsid w:val="00083EAB"/>
    <w:rsid w:val="00084038"/>
    <w:rsid w:val="0008409C"/>
    <w:rsid w:val="000845F1"/>
    <w:rsid w:val="00084911"/>
    <w:rsid w:val="00084B30"/>
    <w:rsid w:val="0008508A"/>
    <w:rsid w:val="0008553F"/>
    <w:rsid w:val="00085AF7"/>
    <w:rsid w:val="00086012"/>
    <w:rsid w:val="00086507"/>
    <w:rsid w:val="00086901"/>
    <w:rsid w:val="0008690E"/>
    <w:rsid w:val="000869C6"/>
    <w:rsid w:val="00086BCF"/>
    <w:rsid w:val="00087AFE"/>
    <w:rsid w:val="00087EB7"/>
    <w:rsid w:val="000901B4"/>
    <w:rsid w:val="0009034D"/>
    <w:rsid w:val="00090907"/>
    <w:rsid w:val="00090AE0"/>
    <w:rsid w:val="00090B44"/>
    <w:rsid w:val="00090BF9"/>
    <w:rsid w:val="00090FFB"/>
    <w:rsid w:val="000918B8"/>
    <w:rsid w:val="00091BBC"/>
    <w:rsid w:val="00091E88"/>
    <w:rsid w:val="000921C7"/>
    <w:rsid w:val="000922C4"/>
    <w:rsid w:val="00092398"/>
    <w:rsid w:val="00092CA0"/>
    <w:rsid w:val="0009343A"/>
    <w:rsid w:val="0009370A"/>
    <w:rsid w:val="000938B3"/>
    <w:rsid w:val="00093B25"/>
    <w:rsid w:val="000942A7"/>
    <w:rsid w:val="00094498"/>
    <w:rsid w:val="00094822"/>
    <w:rsid w:val="00094F11"/>
    <w:rsid w:val="00094FCA"/>
    <w:rsid w:val="000953AF"/>
    <w:rsid w:val="00095E4B"/>
    <w:rsid w:val="00096028"/>
    <w:rsid w:val="000963AA"/>
    <w:rsid w:val="000964B9"/>
    <w:rsid w:val="0009657C"/>
    <w:rsid w:val="000966D4"/>
    <w:rsid w:val="00096A25"/>
    <w:rsid w:val="00096A86"/>
    <w:rsid w:val="00096B40"/>
    <w:rsid w:val="00096D80"/>
    <w:rsid w:val="000972C4"/>
    <w:rsid w:val="00097857"/>
    <w:rsid w:val="00097A3B"/>
    <w:rsid w:val="00097C68"/>
    <w:rsid w:val="00097D54"/>
    <w:rsid w:val="000A0040"/>
    <w:rsid w:val="000A0635"/>
    <w:rsid w:val="000A0EBD"/>
    <w:rsid w:val="000A19B1"/>
    <w:rsid w:val="000A1B83"/>
    <w:rsid w:val="000A1D64"/>
    <w:rsid w:val="000A200F"/>
    <w:rsid w:val="000A2097"/>
    <w:rsid w:val="000A22FA"/>
    <w:rsid w:val="000A2EC3"/>
    <w:rsid w:val="000A3466"/>
    <w:rsid w:val="000A38C0"/>
    <w:rsid w:val="000A3D31"/>
    <w:rsid w:val="000A3D9B"/>
    <w:rsid w:val="000A3FAD"/>
    <w:rsid w:val="000A4246"/>
    <w:rsid w:val="000A4283"/>
    <w:rsid w:val="000A4648"/>
    <w:rsid w:val="000A48BF"/>
    <w:rsid w:val="000A494D"/>
    <w:rsid w:val="000A4975"/>
    <w:rsid w:val="000A49CE"/>
    <w:rsid w:val="000A4E09"/>
    <w:rsid w:val="000A5310"/>
    <w:rsid w:val="000A5778"/>
    <w:rsid w:val="000A5BE5"/>
    <w:rsid w:val="000A6D6A"/>
    <w:rsid w:val="000A772C"/>
    <w:rsid w:val="000A7A1E"/>
    <w:rsid w:val="000A7BCC"/>
    <w:rsid w:val="000A7F4F"/>
    <w:rsid w:val="000B0A11"/>
    <w:rsid w:val="000B0BA3"/>
    <w:rsid w:val="000B0BE4"/>
    <w:rsid w:val="000B0D18"/>
    <w:rsid w:val="000B1012"/>
    <w:rsid w:val="000B17A2"/>
    <w:rsid w:val="000B2504"/>
    <w:rsid w:val="000B2C60"/>
    <w:rsid w:val="000B2E94"/>
    <w:rsid w:val="000B3431"/>
    <w:rsid w:val="000B4369"/>
    <w:rsid w:val="000B48B1"/>
    <w:rsid w:val="000B61BB"/>
    <w:rsid w:val="000B6BA5"/>
    <w:rsid w:val="000B73BA"/>
    <w:rsid w:val="000B73FE"/>
    <w:rsid w:val="000B7715"/>
    <w:rsid w:val="000C00B6"/>
    <w:rsid w:val="000C01ED"/>
    <w:rsid w:val="000C05F7"/>
    <w:rsid w:val="000C144D"/>
    <w:rsid w:val="000C184B"/>
    <w:rsid w:val="000C1CD7"/>
    <w:rsid w:val="000C2751"/>
    <w:rsid w:val="000C2E76"/>
    <w:rsid w:val="000C30BD"/>
    <w:rsid w:val="000C3926"/>
    <w:rsid w:val="000C4113"/>
    <w:rsid w:val="000C41D8"/>
    <w:rsid w:val="000C44B4"/>
    <w:rsid w:val="000C4550"/>
    <w:rsid w:val="000C45E5"/>
    <w:rsid w:val="000C5103"/>
    <w:rsid w:val="000C51E1"/>
    <w:rsid w:val="000C5422"/>
    <w:rsid w:val="000C5E12"/>
    <w:rsid w:val="000C67C9"/>
    <w:rsid w:val="000C6A11"/>
    <w:rsid w:val="000C6BA5"/>
    <w:rsid w:val="000C6FA5"/>
    <w:rsid w:val="000C70C0"/>
    <w:rsid w:val="000C7160"/>
    <w:rsid w:val="000C71D7"/>
    <w:rsid w:val="000C7586"/>
    <w:rsid w:val="000C75BF"/>
    <w:rsid w:val="000C7637"/>
    <w:rsid w:val="000C7F54"/>
    <w:rsid w:val="000D07AF"/>
    <w:rsid w:val="000D0B6E"/>
    <w:rsid w:val="000D14EA"/>
    <w:rsid w:val="000D1B05"/>
    <w:rsid w:val="000D1FBD"/>
    <w:rsid w:val="000D200A"/>
    <w:rsid w:val="000D2BBF"/>
    <w:rsid w:val="000D2C52"/>
    <w:rsid w:val="000D2D29"/>
    <w:rsid w:val="000D3262"/>
    <w:rsid w:val="000D37C4"/>
    <w:rsid w:val="000D43A7"/>
    <w:rsid w:val="000D44EE"/>
    <w:rsid w:val="000D4A18"/>
    <w:rsid w:val="000D5387"/>
    <w:rsid w:val="000D6880"/>
    <w:rsid w:val="000D69F1"/>
    <w:rsid w:val="000D6A59"/>
    <w:rsid w:val="000D72ED"/>
    <w:rsid w:val="000D7791"/>
    <w:rsid w:val="000E036D"/>
    <w:rsid w:val="000E0C71"/>
    <w:rsid w:val="000E0C76"/>
    <w:rsid w:val="000E0CF0"/>
    <w:rsid w:val="000E0DFA"/>
    <w:rsid w:val="000E0E99"/>
    <w:rsid w:val="000E0F8B"/>
    <w:rsid w:val="000E192D"/>
    <w:rsid w:val="000E2801"/>
    <w:rsid w:val="000E2ABC"/>
    <w:rsid w:val="000E2CA6"/>
    <w:rsid w:val="000E3290"/>
    <w:rsid w:val="000E340C"/>
    <w:rsid w:val="000E3789"/>
    <w:rsid w:val="000E426F"/>
    <w:rsid w:val="000E4CA1"/>
    <w:rsid w:val="000E5012"/>
    <w:rsid w:val="000E532A"/>
    <w:rsid w:val="000E5D24"/>
    <w:rsid w:val="000E5DDB"/>
    <w:rsid w:val="000E64CD"/>
    <w:rsid w:val="000E6B72"/>
    <w:rsid w:val="000E6B9A"/>
    <w:rsid w:val="000E6B9C"/>
    <w:rsid w:val="000E701A"/>
    <w:rsid w:val="000E730D"/>
    <w:rsid w:val="000E79C5"/>
    <w:rsid w:val="000E7C34"/>
    <w:rsid w:val="000F02E6"/>
    <w:rsid w:val="000F0D72"/>
    <w:rsid w:val="000F0FB8"/>
    <w:rsid w:val="000F118B"/>
    <w:rsid w:val="000F19A8"/>
    <w:rsid w:val="000F2955"/>
    <w:rsid w:val="000F2DF8"/>
    <w:rsid w:val="000F319A"/>
    <w:rsid w:val="000F3815"/>
    <w:rsid w:val="000F3849"/>
    <w:rsid w:val="000F3DB6"/>
    <w:rsid w:val="000F43EF"/>
    <w:rsid w:val="000F5259"/>
    <w:rsid w:val="000F59AE"/>
    <w:rsid w:val="000F5D68"/>
    <w:rsid w:val="000F5EF9"/>
    <w:rsid w:val="000F63D4"/>
    <w:rsid w:val="000F6F2D"/>
    <w:rsid w:val="000F718F"/>
    <w:rsid w:val="000F72C0"/>
    <w:rsid w:val="000F7970"/>
    <w:rsid w:val="0010024D"/>
    <w:rsid w:val="00100D77"/>
    <w:rsid w:val="00101639"/>
    <w:rsid w:val="00101787"/>
    <w:rsid w:val="00101F86"/>
    <w:rsid w:val="001024C3"/>
    <w:rsid w:val="001032AD"/>
    <w:rsid w:val="00103366"/>
    <w:rsid w:val="0010375D"/>
    <w:rsid w:val="00103F94"/>
    <w:rsid w:val="00104E4B"/>
    <w:rsid w:val="00104ED2"/>
    <w:rsid w:val="00105246"/>
    <w:rsid w:val="0010550B"/>
    <w:rsid w:val="00105C3B"/>
    <w:rsid w:val="00106624"/>
    <w:rsid w:val="00106BD3"/>
    <w:rsid w:val="00106CAA"/>
    <w:rsid w:val="001070CD"/>
    <w:rsid w:val="0010773C"/>
    <w:rsid w:val="00107A4A"/>
    <w:rsid w:val="00107C26"/>
    <w:rsid w:val="00107E88"/>
    <w:rsid w:val="00107FBC"/>
    <w:rsid w:val="001100B1"/>
    <w:rsid w:val="001102C6"/>
    <w:rsid w:val="001111FC"/>
    <w:rsid w:val="00111321"/>
    <w:rsid w:val="00111C35"/>
    <w:rsid w:val="00112CA7"/>
    <w:rsid w:val="00112CF0"/>
    <w:rsid w:val="00112FD2"/>
    <w:rsid w:val="001133F9"/>
    <w:rsid w:val="001137F7"/>
    <w:rsid w:val="0011389E"/>
    <w:rsid w:val="00113E4F"/>
    <w:rsid w:val="001140AE"/>
    <w:rsid w:val="001145BB"/>
    <w:rsid w:val="001149AA"/>
    <w:rsid w:val="00114E03"/>
    <w:rsid w:val="00114FB8"/>
    <w:rsid w:val="00114FF9"/>
    <w:rsid w:val="001155FE"/>
    <w:rsid w:val="001161E4"/>
    <w:rsid w:val="00116298"/>
    <w:rsid w:val="001179EB"/>
    <w:rsid w:val="00117A47"/>
    <w:rsid w:val="00117BE3"/>
    <w:rsid w:val="00117E09"/>
    <w:rsid w:val="00117EED"/>
    <w:rsid w:val="00120327"/>
    <w:rsid w:val="0012081D"/>
    <w:rsid w:val="00120991"/>
    <w:rsid w:val="00122735"/>
    <w:rsid w:val="001235CA"/>
    <w:rsid w:val="001236E6"/>
    <w:rsid w:val="00123A39"/>
    <w:rsid w:val="00123BF9"/>
    <w:rsid w:val="00124404"/>
    <w:rsid w:val="001244A6"/>
    <w:rsid w:val="0012496E"/>
    <w:rsid w:val="00124C82"/>
    <w:rsid w:val="00124CB0"/>
    <w:rsid w:val="00124F0B"/>
    <w:rsid w:val="0012542D"/>
    <w:rsid w:val="001259E6"/>
    <w:rsid w:val="00125C88"/>
    <w:rsid w:val="00125F17"/>
    <w:rsid w:val="0012601B"/>
    <w:rsid w:val="00126A35"/>
    <w:rsid w:val="00126EAA"/>
    <w:rsid w:val="00127213"/>
    <w:rsid w:val="00127259"/>
    <w:rsid w:val="001275FD"/>
    <w:rsid w:val="0012771E"/>
    <w:rsid w:val="00127E6E"/>
    <w:rsid w:val="00127F12"/>
    <w:rsid w:val="00130293"/>
    <w:rsid w:val="00130621"/>
    <w:rsid w:val="0013066F"/>
    <w:rsid w:val="00130C60"/>
    <w:rsid w:val="0013131B"/>
    <w:rsid w:val="00131AD2"/>
    <w:rsid w:val="00132178"/>
    <w:rsid w:val="00132C9D"/>
    <w:rsid w:val="00133042"/>
    <w:rsid w:val="00134111"/>
    <w:rsid w:val="00134997"/>
    <w:rsid w:val="00134B5C"/>
    <w:rsid w:val="00134D94"/>
    <w:rsid w:val="00134DD7"/>
    <w:rsid w:val="00135A4E"/>
    <w:rsid w:val="00135AFA"/>
    <w:rsid w:val="00135F5D"/>
    <w:rsid w:val="0013666D"/>
    <w:rsid w:val="0013738D"/>
    <w:rsid w:val="00137584"/>
    <w:rsid w:val="0013768E"/>
    <w:rsid w:val="001377C9"/>
    <w:rsid w:val="00137D99"/>
    <w:rsid w:val="00137EAD"/>
    <w:rsid w:val="0014090E"/>
    <w:rsid w:val="00140CD1"/>
    <w:rsid w:val="00141DC0"/>
    <w:rsid w:val="00142C76"/>
    <w:rsid w:val="00142DA4"/>
    <w:rsid w:val="001434E6"/>
    <w:rsid w:val="00143A06"/>
    <w:rsid w:val="0014427A"/>
    <w:rsid w:val="00144514"/>
    <w:rsid w:val="00144BC3"/>
    <w:rsid w:val="00144C3B"/>
    <w:rsid w:val="00145114"/>
    <w:rsid w:val="00145825"/>
    <w:rsid w:val="00145885"/>
    <w:rsid w:val="00145945"/>
    <w:rsid w:val="00145EA2"/>
    <w:rsid w:val="00146288"/>
    <w:rsid w:val="00146972"/>
    <w:rsid w:val="00146EA3"/>
    <w:rsid w:val="001472DD"/>
    <w:rsid w:val="00147A74"/>
    <w:rsid w:val="00150558"/>
    <w:rsid w:val="001507A0"/>
    <w:rsid w:val="00150D02"/>
    <w:rsid w:val="00150D7E"/>
    <w:rsid w:val="00150E8A"/>
    <w:rsid w:val="00150F67"/>
    <w:rsid w:val="001514D5"/>
    <w:rsid w:val="00151B51"/>
    <w:rsid w:val="00151C33"/>
    <w:rsid w:val="0015226E"/>
    <w:rsid w:val="001523A9"/>
    <w:rsid w:val="0015310D"/>
    <w:rsid w:val="00153656"/>
    <w:rsid w:val="00153881"/>
    <w:rsid w:val="001539AE"/>
    <w:rsid w:val="00153A05"/>
    <w:rsid w:val="00153F3E"/>
    <w:rsid w:val="00154278"/>
    <w:rsid w:val="001547A7"/>
    <w:rsid w:val="00154CA0"/>
    <w:rsid w:val="00155D54"/>
    <w:rsid w:val="00155F33"/>
    <w:rsid w:val="00156AC3"/>
    <w:rsid w:val="001572A8"/>
    <w:rsid w:val="001605B8"/>
    <w:rsid w:val="00160C3A"/>
    <w:rsid w:val="001610B6"/>
    <w:rsid w:val="001616CF"/>
    <w:rsid w:val="0016239C"/>
    <w:rsid w:val="00162D7B"/>
    <w:rsid w:val="00162D85"/>
    <w:rsid w:val="0016303B"/>
    <w:rsid w:val="00163405"/>
    <w:rsid w:val="00163505"/>
    <w:rsid w:val="00163C60"/>
    <w:rsid w:val="001645F4"/>
    <w:rsid w:val="0016484C"/>
    <w:rsid w:val="001655E1"/>
    <w:rsid w:val="0016585E"/>
    <w:rsid w:val="00165F26"/>
    <w:rsid w:val="0016666C"/>
    <w:rsid w:val="00166B73"/>
    <w:rsid w:val="00166BB8"/>
    <w:rsid w:val="0016701F"/>
    <w:rsid w:val="00167572"/>
    <w:rsid w:val="00167B51"/>
    <w:rsid w:val="00167CE4"/>
    <w:rsid w:val="001700F6"/>
    <w:rsid w:val="001701A7"/>
    <w:rsid w:val="00170607"/>
    <w:rsid w:val="00171EAD"/>
    <w:rsid w:val="00172438"/>
    <w:rsid w:val="00172FAE"/>
    <w:rsid w:val="001737A9"/>
    <w:rsid w:val="0017484C"/>
    <w:rsid w:val="00174AAE"/>
    <w:rsid w:val="00174B63"/>
    <w:rsid w:val="00174C65"/>
    <w:rsid w:val="00174F92"/>
    <w:rsid w:val="00175025"/>
    <w:rsid w:val="001756BE"/>
    <w:rsid w:val="00175B5B"/>
    <w:rsid w:val="00175BEF"/>
    <w:rsid w:val="0017617C"/>
    <w:rsid w:val="0017645D"/>
    <w:rsid w:val="001764F2"/>
    <w:rsid w:val="00176640"/>
    <w:rsid w:val="00176A2B"/>
    <w:rsid w:val="00176ACC"/>
    <w:rsid w:val="00177B82"/>
    <w:rsid w:val="00177D87"/>
    <w:rsid w:val="0018035D"/>
    <w:rsid w:val="001807BD"/>
    <w:rsid w:val="00180DD3"/>
    <w:rsid w:val="00180F4C"/>
    <w:rsid w:val="00182AAE"/>
    <w:rsid w:val="00182C48"/>
    <w:rsid w:val="00182D2A"/>
    <w:rsid w:val="00183075"/>
    <w:rsid w:val="0018307C"/>
    <w:rsid w:val="0018439C"/>
    <w:rsid w:val="00184BB7"/>
    <w:rsid w:val="00185AC7"/>
    <w:rsid w:val="00186396"/>
    <w:rsid w:val="001868FC"/>
    <w:rsid w:val="00186BB3"/>
    <w:rsid w:val="0018702A"/>
    <w:rsid w:val="00187091"/>
    <w:rsid w:val="00187546"/>
    <w:rsid w:val="001876F6"/>
    <w:rsid w:val="0018783D"/>
    <w:rsid w:val="001901C8"/>
    <w:rsid w:val="00190566"/>
    <w:rsid w:val="00191205"/>
    <w:rsid w:val="001913E5"/>
    <w:rsid w:val="001919BB"/>
    <w:rsid w:val="001920B4"/>
    <w:rsid w:val="00192AA8"/>
    <w:rsid w:val="00193D21"/>
    <w:rsid w:val="00193E9E"/>
    <w:rsid w:val="00193E9F"/>
    <w:rsid w:val="00193FE1"/>
    <w:rsid w:val="00194273"/>
    <w:rsid w:val="001943AB"/>
    <w:rsid w:val="0019450A"/>
    <w:rsid w:val="00194B7A"/>
    <w:rsid w:val="00194F1B"/>
    <w:rsid w:val="00195710"/>
    <w:rsid w:val="00195DA5"/>
    <w:rsid w:val="00195F74"/>
    <w:rsid w:val="00195FD1"/>
    <w:rsid w:val="00196332"/>
    <w:rsid w:val="00196399"/>
    <w:rsid w:val="001965AA"/>
    <w:rsid w:val="00197762"/>
    <w:rsid w:val="00197840"/>
    <w:rsid w:val="00197DE6"/>
    <w:rsid w:val="00197E01"/>
    <w:rsid w:val="001A0048"/>
    <w:rsid w:val="001A02F6"/>
    <w:rsid w:val="001A04C5"/>
    <w:rsid w:val="001A06D1"/>
    <w:rsid w:val="001A0B76"/>
    <w:rsid w:val="001A0D87"/>
    <w:rsid w:val="001A16A8"/>
    <w:rsid w:val="001A18BE"/>
    <w:rsid w:val="001A1E4D"/>
    <w:rsid w:val="001A1E62"/>
    <w:rsid w:val="001A2320"/>
    <w:rsid w:val="001A2618"/>
    <w:rsid w:val="001A2818"/>
    <w:rsid w:val="001A30BB"/>
    <w:rsid w:val="001A3355"/>
    <w:rsid w:val="001A36EE"/>
    <w:rsid w:val="001A3911"/>
    <w:rsid w:val="001A3E37"/>
    <w:rsid w:val="001A400C"/>
    <w:rsid w:val="001A47E7"/>
    <w:rsid w:val="001A4CE8"/>
    <w:rsid w:val="001A55E4"/>
    <w:rsid w:val="001A564A"/>
    <w:rsid w:val="001A621B"/>
    <w:rsid w:val="001A70A9"/>
    <w:rsid w:val="001A75D2"/>
    <w:rsid w:val="001A7B2B"/>
    <w:rsid w:val="001B02A9"/>
    <w:rsid w:val="001B0676"/>
    <w:rsid w:val="001B14ED"/>
    <w:rsid w:val="001B2189"/>
    <w:rsid w:val="001B2518"/>
    <w:rsid w:val="001B2601"/>
    <w:rsid w:val="001B2C0E"/>
    <w:rsid w:val="001B3040"/>
    <w:rsid w:val="001B36BA"/>
    <w:rsid w:val="001B3FC0"/>
    <w:rsid w:val="001B494B"/>
    <w:rsid w:val="001B4C63"/>
    <w:rsid w:val="001B50E3"/>
    <w:rsid w:val="001B512D"/>
    <w:rsid w:val="001B575E"/>
    <w:rsid w:val="001B58D1"/>
    <w:rsid w:val="001B5906"/>
    <w:rsid w:val="001B68CA"/>
    <w:rsid w:val="001B69C4"/>
    <w:rsid w:val="001B6C13"/>
    <w:rsid w:val="001B6C65"/>
    <w:rsid w:val="001B6CF3"/>
    <w:rsid w:val="001B745D"/>
    <w:rsid w:val="001B7539"/>
    <w:rsid w:val="001B75C9"/>
    <w:rsid w:val="001B778A"/>
    <w:rsid w:val="001C0270"/>
    <w:rsid w:val="001C03B1"/>
    <w:rsid w:val="001C0A7B"/>
    <w:rsid w:val="001C0BA5"/>
    <w:rsid w:val="001C11D4"/>
    <w:rsid w:val="001C1474"/>
    <w:rsid w:val="001C1A13"/>
    <w:rsid w:val="001C210D"/>
    <w:rsid w:val="001C2398"/>
    <w:rsid w:val="001C306C"/>
    <w:rsid w:val="001C373F"/>
    <w:rsid w:val="001C3761"/>
    <w:rsid w:val="001C3873"/>
    <w:rsid w:val="001C452E"/>
    <w:rsid w:val="001C4565"/>
    <w:rsid w:val="001C47AE"/>
    <w:rsid w:val="001C488D"/>
    <w:rsid w:val="001C4A64"/>
    <w:rsid w:val="001C4E16"/>
    <w:rsid w:val="001C4F96"/>
    <w:rsid w:val="001C528F"/>
    <w:rsid w:val="001C5702"/>
    <w:rsid w:val="001C5A8D"/>
    <w:rsid w:val="001C6F37"/>
    <w:rsid w:val="001C7991"/>
    <w:rsid w:val="001C7E84"/>
    <w:rsid w:val="001D02AF"/>
    <w:rsid w:val="001D0413"/>
    <w:rsid w:val="001D0745"/>
    <w:rsid w:val="001D0E2B"/>
    <w:rsid w:val="001D132B"/>
    <w:rsid w:val="001D1491"/>
    <w:rsid w:val="001D164C"/>
    <w:rsid w:val="001D16B3"/>
    <w:rsid w:val="001D192A"/>
    <w:rsid w:val="001D1B8C"/>
    <w:rsid w:val="001D2728"/>
    <w:rsid w:val="001D27D4"/>
    <w:rsid w:val="001D2A0F"/>
    <w:rsid w:val="001D2B31"/>
    <w:rsid w:val="001D2D33"/>
    <w:rsid w:val="001D3345"/>
    <w:rsid w:val="001D4156"/>
    <w:rsid w:val="001D42D0"/>
    <w:rsid w:val="001D4427"/>
    <w:rsid w:val="001D457E"/>
    <w:rsid w:val="001D464B"/>
    <w:rsid w:val="001D4960"/>
    <w:rsid w:val="001D5612"/>
    <w:rsid w:val="001D57B1"/>
    <w:rsid w:val="001D589B"/>
    <w:rsid w:val="001D5A9C"/>
    <w:rsid w:val="001D5C10"/>
    <w:rsid w:val="001D5ED3"/>
    <w:rsid w:val="001D5ED5"/>
    <w:rsid w:val="001D63C9"/>
    <w:rsid w:val="001D6628"/>
    <w:rsid w:val="001D670F"/>
    <w:rsid w:val="001D676D"/>
    <w:rsid w:val="001D6EC9"/>
    <w:rsid w:val="001D6F90"/>
    <w:rsid w:val="001D7792"/>
    <w:rsid w:val="001E0004"/>
    <w:rsid w:val="001E0A99"/>
    <w:rsid w:val="001E1249"/>
    <w:rsid w:val="001E18CB"/>
    <w:rsid w:val="001E1C4E"/>
    <w:rsid w:val="001E28FC"/>
    <w:rsid w:val="001E2952"/>
    <w:rsid w:val="001E2CA2"/>
    <w:rsid w:val="001E2E46"/>
    <w:rsid w:val="001E3730"/>
    <w:rsid w:val="001E39CD"/>
    <w:rsid w:val="001E3B67"/>
    <w:rsid w:val="001E40C5"/>
    <w:rsid w:val="001E4131"/>
    <w:rsid w:val="001E4353"/>
    <w:rsid w:val="001E4995"/>
    <w:rsid w:val="001E4BAD"/>
    <w:rsid w:val="001E526F"/>
    <w:rsid w:val="001E5486"/>
    <w:rsid w:val="001E54A5"/>
    <w:rsid w:val="001E5719"/>
    <w:rsid w:val="001E63B0"/>
    <w:rsid w:val="001E692B"/>
    <w:rsid w:val="001E6B71"/>
    <w:rsid w:val="001F081F"/>
    <w:rsid w:val="001F0A6E"/>
    <w:rsid w:val="001F25AA"/>
    <w:rsid w:val="001F2EB5"/>
    <w:rsid w:val="001F3067"/>
    <w:rsid w:val="001F36B4"/>
    <w:rsid w:val="001F3A71"/>
    <w:rsid w:val="001F3E51"/>
    <w:rsid w:val="001F438C"/>
    <w:rsid w:val="001F4B69"/>
    <w:rsid w:val="001F4BAF"/>
    <w:rsid w:val="001F5189"/>
    <w:rsid w:val="001F55C8"/>
    <w:rsid w:val="001F5C71"/>
    <w:rsid w:val="001F6045"/>
    <w:rsid w:val="001F6314"/>
    <w:rsid w:val="001F6681"/>
    <w:rsid w:val="001F66A8"/>
    <w:rsid w:val="001F6782"/>
    <w:rsid w:val="001F6A59"/>
    <w:rsid w:val="001F6EA9"/>
    <w:rsid w:val="001F709D"/>
    <w:rsid w:val="001F743C"/>
    <w:rsid w:val="001F7643"/>
    <w:rsid w:val="001F7B3A"/>
    <w:rsid w:val="001F7E41"/>
    <w:rsid w:val="001F7F2D"/>
    <w:rsid w:val="0020058F"/>
    <w:rsid w:val="0020085C"/>
    <w:rsid w:val="00201665"/>
    <w:rsid w:val="00201669"/>
    <w:rsid w:val="0020184C"/>
    <w:rsid w:val="00201B81"/>
    <w:rsid w:val="00201DB4"/>
    <w:rsid w:val="002023DB"/>
    <w:rsid w:val="00202752"/>
    <w:rsid w:val="002028E6"/>
    <w:rsid w:val="002028F1"/>
    <w:rsid w:val="00202C7D"/>
    <w:rsid w:val="00202F66"/>
    <w:rsid w:val="00203337"/>
    <w:rsid w:val="00203416"/>
    <w:rsid w:val="002039A2"/>
    <w:rsid w:val="00203C79"/>
    <w:rsid w:val="00203F6B"/>
    <w:rsid w:val="0020402E"/>
    <w:rsid w:val="00204196"/>
    <w:rsid w:val="00204261"/>
    <w:rsid w:val="0020426B"/>
    <w:rsid w:val="00204527"/>
    <w:rsid w:val="0020476B"/>
    <w:rsid w:val="00204AFC"/>
    <w:rsid w:val="00205A0D"/>
    <w:rsid w:val="00205B69"/>
    <w:rsid w:val="00205BDC"/>
    <w:rsid w:val="0020632F"/>
    <w:rsid w:val="002065D8"/>
    <w:rsid w:val="0020691F"/>
    <w:rsid w:val="00206948"/>
    <w:rsid w:val="00206DF1"/>
    <w:rsid w:val="002075FC"/>
    <w:rsid w:val="00207A07"/>
    <w:rsid w:val="00207E80"/>
    <w:rsid w:val="00210F75"/>
    <w:rsid w:val="0021131C"/>
    <w:rsid w:val="00211646"/>
    <w:rsid w:val="00211669"/>
    <w:rsid w:val="002119BA"/>
    <w:rsid w:val="00211C6B"/>
    <w:rsid w:val="0021234B"/>
    <w:rsid w:val="00212955"/>
    <w:rsid w:val="00212C17"/>
    <w:rsid w:val="00212C66"/>
    <w:rsid w:val="00213326"/>
    <w:rsid w:val="00214313"/>
    <w:rsid w:val="00214D18"/>
    <w:rsid w:val="00214FB5"/>
    <w:rsid w:val="00215294"/>
    <w:rsid w:val="0021548B"/>
    <w:rsid w:val="0021548E"/>
    <w:rsid w:val="00215516"/>
    <w:rsid w:val="00215EBA"/>
    <w:rsid w:val="002165B6"/>
    <w:rsid w:val="0021692D"/>
    <w:rsid w:val="002169EB"/>
    <w:rsid w:val="00216E07"/>
    <w:rsid w:val="00217202"/>
    <w:rsid w:val="002177EC"/>
    <w:rsid w:val="00217852"/>
    <w:rsid w:val="0022001F"/>
    <w:rsid w:val="00220278"/>
    <w:rsid w:val="00220817"/>
    <w:rsid w:val="002208A9"/>
    <w:rsid w:val="00220964"/>
    <w:rsid w:val="00220A1A"/>
    <w:rsid w:val="00220AE0"/>
    <w:rsid w:val="002214FE"/>
    <w:rsid w:val="00221793"/>
    <w:rsid w:val="00222111"/>
    <w:rsid w:val="0022244C"/>
    <w:rsid w:val="00223050"/>
    <w:rsid w:val="002230DE"/>
    <w:rsid w:val="00223294"/>
    <w:rsid w:val="00223478"/>
    <w:rsid w:val="002236F9"/>
    <w:rsid w:val="00223E86"/>
    <w:rsid w:val="00223F1F"/>
    <w:rsid w:val="0022447A"/>
    <w:rsid w:val="00224A6B"/>
    <w:rsid w:val="00224B50"/>
    <w:rsid w:val="00224E9B"/>
    <w:rsid w:val="00225607"/>
    <w:rsid w:val="00225BB1"/>
    <w:rsid w:val="002269FC"/>
    <w:rsid w:val="00226BE2"/>
    <w:rsid w:val="00226CA9"/>
    <w:rsid w:val="00226D5F"/>
    <w:rsid w:val="0022779D"/>
    <w:rsid w:val="002279AC"/>
    <w:rsid w:val="00227A9E"/>
    <w:rsid w:val="00227F96"/>
    <w:rsid w:val="00230230"/>
    <w:rsid w:val="0023030B"/>
    <w:rsid w:val="002303AC"/>
    <w:rsid w:val="00230A65"/>
    <w:rsid w:val="002312FF"/>
    <w:rsid w:val="00231970"/>
    <w:rsid w:val="002320F8"/>
    <w:rsid w:val="00232149"/>
    <w:rsid w:val="002321FD"/>
    <w:rsid w:val="00232A5B"/>
    <w:rsid w:val="0023379C"/>
    <w:rsid w:val="00233B89"/>
    <w:rsid w:val="00233D03"/>
    <w:rsid w:val="00233ED7"/>
    <w:rsid w:val="00234A9D"/>
    <w:rsid w:val="00234C5A"/>
    <w:rsid w:val="00234FC7"/>
    <w:rsid w:val="00235A6C"/>
    <w:rsid w:val="00235B34"/>
    <w:rsid w:val="00235BCC"/>
    <w:rsid w:val="00236189"/>
    <w:rsid w:val="002369C6"/>
    <w:rsid w:val="00236ED3"/>
    <w:rsid w:val="002375E3"/>
    <w:rsid w:val="00237729"/>
    <w:rsid w:val="00237AC8"/>
    <w:rsid w:val="002402F2"/>
    <w:rsid w:val="0024058F"/>
    <w:rsid w:val="0024097D"/>
    <w:rsid w:val="0024099E"/>
    <w:rsid w:val="00240D1C"/>
    <w:rsid w:val="00240E03"/>
    <w:rsid w:val="002423D1"/>
    <w:rsid w:val="00242A34"/>
    <w:rsid w:val="00242A5F"/>
    <w:rsid w:val="00242A9E"/>
    <w:rsid w:val="00242D36"/>
    <w:rsid w:val="00242F38"/>
    <w:rsid w:val="002432A7"/>
    <w:rsid w:val="002437E9"/>
    <w:rsid w:val="002438B9"/>
    <w:rsid w:val="00243AE3"/>
    <w:rsid w:val="00243E77"/>
    <w:rsid w:val="0024450F"/>
    <w:rsid w:val="00244CC2"/>
    <w:rsid w:val="00244DE3"/>
    <w:rsid w:val="00245A61"/>
    <w:rsid w:val="0024601F"/>
    <w:rsid w:val="002464FE"/>
    <w:rsid w:val="00246508"/>
    <w:rsid w:val="00246D88"/>
    <w:rsid w:val="0024731B"/>
    <w:rsid w:val="002473A0"/>
    <w:rsid w:val="0024755B"/>
    <w:rsid w:val="00247ACE"/>
    <w:rsid w:val="00247EB6"/>
    <w:rsid w:val="00250162"/>
    <w:rsid w:val="00250221"/>
    <w:rsid w:val="00250B9C"/>
    <w:rsid w:val="0025111D"/>
    <w:rsid w:val="002512AA"/>
    <w:rsid w:val="002518F0"/>
    <w:rsid w:val="00251C38"/>
    <w:rsid w:val="00251D20"/>
    <w:rsid w:val="0025245F"/>
    <w:rsid w:val="00252760"/>
    <w:rsid w:val="002529DF"/>
    <w:rsid w:val="002535C6"/>
    <w:rsid w:val="002536BF"/>
    <w:rsid w:val="00253739"/>
    <w:rsid w:val="00253E46"/>
    <w:rsid w:val="00254D41"/>
    <w:rsid w:val="00254EB7"/>
    <w:rsid w:val="00255038"/>
    <w:rsid w:val="002551AB"/>
    <w:rsid w:val="0025541B"/>
    <w:rsid w:val="00255F66"/>
    <w:rsid w:val="00255FA1"/>
    <w:rsid w:val="0025716C"/>
    <w:rsid w:val="0025728E"/>
    <w:rsid w:val="00257751"/>
    <w:rsid w:val="002577B3"/>
    <w:rsid w:val="00257EF4"/>
    <w:rsid w:val="0026063B"/>
    <w:rsid w:val="00260AE4"/>
    <w:rsid w:val="00260E49"/>
    <w:rsid w:val="00260EAB"/>
    <w:rsid w:val="00261525"/>
    <w:rsid w:val="00261D71"/>
    <w:rsid w:val="00262105"/>
    <w:rsid w:val="002621FC"/>
    <w:rsid w:val="002629C5"/>
    <w:rsid w:val="002630D8"/>
    <w:rsid w:val="002635DF"/>
    <w:rsid w:val="00263932"/>
    <w:rsid w:val="00263DD1"/>
    <w:rsid w:val="00263FE1"/>
    <w:rsid w:val="00265455"/>
    <w:rsid w:val="00265BB6"/>
    <w:rsid w:val="00265CFE"/>
    <w:rsid w:val="00265E67"/>
    <w:rsid w:val="00266B8B"/>
    <w:rsid w:val="00266C1F"/>
    <w:rsid w:val="0026723E"/>
    <w:rsid w:val="0027006D"/>
    <w:rsid w:val="002704F4"/>
    <w:rsid w:val="002707DC"/>
    <w:rsid w:val="00270927"/>
    <w:rsid w:val="00270B15"/>
    <w:rsid w:val="0027103B"/>
    <w:rsid w:val="002712FD"/>
    <w:rsid w:val="0027132B"/>
    <w:rsid w:val="002713C6"/>
    <w:rsid w:val="002716C6"/>
    <w:rsid w:val="0027235F"/>
    <w:rsid w:val="00272A24"/>
    <w:rsid w:val="00273596"/>
    <w:rsid w:val="002738B9"/>
    <w:rsid w:val="00273E16"/>
    <w:rsid w:val="00274539"/>
    <w:rsid w:val="00274607"/>
    <w:rsid w:val="00274B58"/>
    <w:rsid w:val="00274E98"/>
    <w:rsid w:val="0027583B"/>
    <w:rsid w:val="00275A17"/>
    <w:rsid w:val="00275EFA"/>
    <w:rsid w:val="002764F6"/>
    <w:rsid w:val="002772F1"/>
    <w:rsid w:val="00277608"/>
    <w:rsid w:val="00277896"/>
    <w:rsid w:val="00277ABF"/>
    <w:rsid w:val="00277B36"/>
    <w:rsid w:val="002800CC"/>
    <w:rsid w:val="00280674"/>
    <w:rsid w:val="0028082A"/>
    <w:rsid w:val="002816D3"/>
    <w:rsid w:val="00282DEC"/>
    <w:rsid w:val="00282E04"/>
    <w:rsid w:val="00282F55"/>
    <w:rsid w:val="00283120"/>
    <w:rsid w:val="0028318B"/>
    <w:rsid w:val="0028338F"/>
    <w:rsid w:val="002833CF"/>
    <w:rsid w:val="00283545"/>
    <w:rsid w:val="002838F3"/>
    <w:rsid w:val="00283998"/>
    <w:rsid w:val="00283BE8"/>
    <w:rsid w:val="00283EA7"/>
    <w:rsid w:val="0028406D"/>
    <w:rsid w:val="002846B6"/>
    <w:rsid w:val="00284DAF"/>
    <w:rsid w:val="00284F4D"/>
    <w:rsid w:val="00286092"/>
    <w:rsid w:val="00286131"/>
    <w:rsid w:val="00286915"/>
    <w:rsid w:val="00286BD6"/>
    <w:rsid w:val="00286F58"/>
    <w:rsid w:val="00287B6C"/>
    <w:rsid w:val="00287C5D"/>
    <w:rsid w:val="00287E0A"/>
    <w:rsid w:val="00287EC8"/>
    <w:rsid w:val="00290231"/>
    <w:rsid w:val="002908E4"/>
    <w:rsid w:val="002909F8"/>
    <w:rsid w:val="00290E7C"/>
    <w:rsid w:val="002918C9"/>
    <w:rsid w:val="002919EE"/>
    <w:rsid w:val="00291A67"/>
    <w:rsid w:val="00291B2F"/>
    <w:rsid w:val="00291B3B"/>
    <w:rsid w:val="00291B65"/>
    <w:rsid w:val="002922A8"/>
    <w:rsid w:val="00292D08"/>
    <w:rsid w:val="002930E7"/>
    <w:rsid w:val="0029336B"/>
    <w:rsid w:val="00293441"/>
    <w:rsid w:val="00293707"/>
    <w:rsid w:val="00293F3F"/>
    <w:rsid w:val="00294476"/>
    <w:rsid w:val="00294D26"/>
    <w:rsid w:val="00295186"/>
    <w:rsid w:val="00295377"/>
    <w:rsid w:val="00295AB2"/>
    <w:rsid w:val="00295AEF"/>
    <w:rsid w:val="002961B8"/>
    <w:rsid w:val="00296369"/>
    <w:rsid w:val="0029637E"/>
    <w:rsid w:val="002974B2"/>
    <w:rsid w:val="00297580"/>
    <w:rsid w:val="00297664"/>
    <w:rsid w:val="00297723"/>
    <w:rsid w:val="00297C5D"/>
    <w:rsid w:val="002A0379"/>
    <w:rsid w:val="002A0391"/>
    <w:rsid w:val="002A0566"/>
    <w:rsid w:val="002A0797"/>
    <w:rsid w:val="002A0CE7"/>
    <w:rsid w:val="002A1031"/>
    <w:rsid w:val="002A1CA2"/>
    <w:rsid w:val="002A1E69"/>
    <w:rsid w:val="002A1F65"/>
    <w:rsid w:val="002A20C5"/>
    <w:rsid w:val="002A225E"/>
    <w:rsid w:val="002A247D"/>
    <w:rsid w:val="002A2A5E"/>
    <w:rsid w:val="002A2DC3"/>
    <w:rsid w:val="002A3070"/>
    <w:rsid w:val="002A34D4"/>
    <w:rsid w:val="002A393F"/>
    <w:rsid w:val="002A3BA2"/>
    <w:rsid w:val="002A3E63"/>
    <w:rsid w:val="002A4738"/>
    <w:rsid w:val="002A479C"/>
    <w:rsid w:val="002A5111"/>
    <w:rsid w:val="002A530F"/>
    <w:rsid w:val="002A545C"/>
    <w:rsid w:val="002A5888"/>
    <w:rsid w:val="002A5FF6"/>
    <w:rsid w:val="002A641F"/>
    <w:rsid w:val="002A67A0"/>
    <w:rsid w:val="002A6A59"/>
    <w:rsid w:val="002A6C1E"/>
    <w:rsid w:val="002A756D"/>
    <w:rsid w:val="002A779C"/>
    <w:rsid w:val="002B00DC"/>
    <w:rsid w:val="002B00E7"/>
    <w:rsid w:val="002B0472"/>
    <w:rsid w:val="002B0A17"/>
    <w:rsid w:val="002B115B"/>
    <w:rsid w:val="002B1A9C"/>
    <w:rsid w:val="002B1D01"/>
    <w:rsid w:val="002B2E1F"/>
    <w:rsid w:val="002B33EC"/>
    <w:rsid w:val="002B363F"/>
    <w:rsid w:val="002B36E8"/>
    <w:rsid w:val="002B371A"/>
    <w:rsid w:val="002B37CB"/>
    <w:rsid w:val="002B3852"/>
    <w:rsid w:val="002B4728"/>
    <w:rsid w:val="002B4958"/>
    <w:rsid w:val="002B58B3"/>
    <w:rsid w:val="002B59B9"/>
    <w:rsid w:val="002B5A6E"/>
    <w:rsid w:val="002B707F"/>
    <w:rsid w:val="002B749B"/>
    <w:rsid w:val="002B7570"/>
    <w:rsid w:val="002B76EF"/>
    <w:rsid w:val="002B7727"/>
    <w:rsid w:val="002B7ACA"/>
    <w:rsid w:val="002B7C8F"/>
    <w:rsid w:val="002C0365"/>
    <w:rsid w:val="002C0A4D"/>
    <w:rsid w:val="002C0CF8"/>
    <w:rsid w:val="002C0DC0"/>
    <w:rsid w:val="002C12EE"/>
    <w:rsid w:val="002C193B"/>
    <w:rsid w:val="002C25F4"/>
    <w:rsid w:val="002C2961"/>
    <w:rsid w:val="002C30D6"/>
    <w:rsid w:val="002C36CE"/>
    <w:rsid w:val="002C389B"/>
    <w:rsid w:val="002C3A63"/>
    <w:rsid w:val="002C3BB7"/>
    <w:rsid w:val="002C4863"/>
    <w:rsid w:val="002C4A04"/>
    <w:rsid w:val="002C5221"/>
    <w:rsid w:val="002C54B9"/>
    <w:rsid w:val="002C57B1"/>
    <w:rsid w:val="002C58C5"/>
    <w:rsid w:val="002C616D"/>
    <w:rsid w:val="002C68BB"/>
    <w:rsid w:val="002C6D05"/>
    <w:rsid w:val="002C6D63"/>
    <w:rsid w:val="002C71C6"/>
    <w:rsid w:val="002C7E07"/>
    <w:rsid w:val="002C7E9B"/>
    <w:rsid w:val="002C7F17"/>
    <w:rsid w:val="002D09E4"/>
    <w:rsid w:val="002D0A26"/>
    <w:rsid w:val="002D15DF"/>
    <w:rsid w:val="002D16E3"/>
    <w:rsid w:val="002D199E"/>
    <w:rsid w:val="002D1C1D"/>
    <w:rsid w:val="002D231A"/>
    <w:rsid w:val="002D2D6B"/>
    <w:rsid w:val="002D3057"/>
    <w:rsid w:val="002D352B"/>
    <w:rsid w:val="002D3BB5"/>
    <w:rsid w:val="002D4E6E"/>
    <w:rsid w:val="002D54D5"/>
    <w:rsid w:val="002D592F"/>
    <w:rsid w:val="002D5A3A"/>
    <w:rsid w:val="002D5C70"/>
    <w:rsid w:val="002D5CE3"/>
    <w:rsid w:val="002D5E0E"/>
    <w:rsid w:val="002D6A4D"/>
    <w:rsid w:val="002D6D88"/>
    <w:rsid w:val="002D7307"/>
    <w:rsid w:val="002D739F"/>
    <w:rsid w:val="002D747F"/>
    <w:rsid w:val="002D75C6"/>
    <w:rsid w:val="002D7BF7"/>
    <w:rsid w:val="002E012F"/>
    <w:rsid w:val="002E026F"/>
    <w:rsid w:val="002E02FC"/>
    <w:rsid w:val="002E08E1"/>
    <w:rsid w:val="002E1508"/>
    <w:rsid w:val="002E1611"/>
    <w:rsid w:val="002E24F9"/>
    <w:rsid w:val="002E25EA"/>
    <w:rsid w:val="002E2822"/>
    <w:rsid w:val="002E2F3A"/>
    <w:rsid w:val="002E3062"/>
    <w:rsid w:val="002E3155"/>
    <w:rsid w:val="002E3A31"/>
    <w:rsid w:val="002E47BE"/>
    <w:rsid w:val="002E4844"/>
    <w:rsid w:val="002E4C73"/>
    <w:rsid w:val="002E4DD6"/>
    <w:rsid w:val="002E51D6"/>
    <w:rsid w:val="002E54FB"/>
    <w:rsid w:val="002E590D"/>
    <w:rsid w:val="002E5B65"/>
    <w:rsid w:val="002E66F5"/>
    <w:rsid w:val="002E6A88"/>
    <w:rsid w:val="002E718E"/>
    <w:rsid w:val="002E7258"/>
    <w:rsid w:val="002E7586"/>
    <w:rsid w:val="002E77E1"/>
    <w:rsid w:val="002E7A32"/>
    <w:rsid w:val="002E7E42"/>
    <w:rsid w:val="002F008C"/>
    <w:rsid w:val="002F0DEB"/>
    <w:rsid w:val="002F1332"/>
    <w:rsid w:val="002F1D76"/>
    <w:rsid w:val="002F1F2C"/>
    <w:rsid w:val="002F23F3"/>
    <w:rsid w:val="002F2AAE"/>
    <w:rsid w:val="002F31A3"/>
    <w:rsid w:val="002F4344"/>
    <w:rsid w:val="002F44A1"/>
    <w:rsid w:val="002F5D98"/>
    <w:rsid w:val="002F62F0"/>
    <w:rsid w:val="002F670F"/>
    <w:rsid w:val="002F6B3B"/>
    <w:rsid w:val="002F6B83"/>
    <w:rsid w:val="002F6D32"/>
    <w:rsid w:val="002F72AD"/>
    <w:rsid w:val="002F787C"/>
    <w:rsid w:val="002F7A08"/>
    <w:rsid w:val="002F7C66"/>
    <w:rsid w:val="003004DA"/>
    <w:rsid w:val="00301520"/>
    <w:rsid w:val="0030247A"/>
    <w:rsid w:val="003025C8"/>
    <w:rsid w:val="00302852"/>
    <w:rsid w:val="00302F16"/>
    <w:rsid w:val="003031DF"/>
    <w:rsid w:val="003031EE"/>
    <w:rsid w:val="003039C8"/>
    <w:rsid w:val="003039F9"/>
    <w:rsid w:val="0030445F"/>
    <w:rsid w:val="00304B82"/>
    <w:rsid w:val="0030568E"/>
    <w:rsid w:val="0030570E"/>
    <w:rsid w:val="00305B1D"/>
    <w:rsid w:val="003061AF"/>
    <w:rsid w:val="0030633A"/>
    <w:rsid w:val="00306B8C"/>
    <w:rsid w:val="00307E6D"/>
    <w:rsid w:val="00310C25"/>
    <w:rsid w:val="00310F82"/>
    <w:rsid w:val="00311446"/>
    <w:rsid w:val="003117D0"/>
    <w:rsid w:val="00311A77"/>
    <w:rsid w:val="003122DE"/>
    <w:rsid w:val="003123E0"/>
    <w:rsid w:val="00312753"/>
    <w:rsid w:val="00312AE8"/>
    <w:rsid w:val="003136E8"/>
    <w:rsid w:val="0031403A"/>
    <w:rsid w:val="003145A6"/>
    <w:rsid w:val="0031462C"/>
    <w:rsid w:val="00314E22"/>
    <w:rsid w:val="00315D15"/>
    <w:rsid w:val="00315D96"/>
    <w:rsid w:val="00315F96"/>
    <w:rsid w:val="00316375"/>
    <w:rsid w:val="00316417"/>
    <w:rsid w:val="003168FE"/>
    <w:rsid w:val="00316B57"/>
    <w:rsid w:val="00317033"/>
    <w:rsid w:val="0031707A"/>
    <w:rsid w:val="00317242"/>
    <w:rsid w:val="0031734E"/>
    <w:rsid w:val="0031755E"/>
    <w:rsid w:val="00317AD4"/>
    <w:rsid w:val="00317C12"/>
    <w:rsid w:val="00320509"/>
    <w:rsid w:val="00320800"/>
    <w:rsid w:val="0032170A"/>
    <w:rsid w:val="00321BA5"/>
    <w:rsid w:val="00321C68"/>
    <w:rsid w:val="0032243B"/>
    <w:rsid w:val="0032261E"/>
    <w:rsid w:val="0032324A"/>
    <w:rsid w:val="00323422"/>
    <w:rsid w:val="00323B40"/>
    <w:rsid w:val="00323BF0"/>
    <w:rsid w:val="00325077"/>
    <w:rsid w:val="00325E66"/>
    <w:rsid w:val="003261A1"/>
    <w:rsid w:val="003262C0"/>
    <w:rsid w:val="0032673D"/>
    <w:rsid w:val="00326773"/>
    <w:rsid w:val="00326A2E"/>
    <w:rsid w:val="00326A43"/>
    <w:rsid w:val="00326B2F"/>
    <w:rsid w:val="00326E5E"/>
    <w:rsid w:val="003270CA"/>
    <w:rsid w:val="003278B8"/>
    <w:rsid w:val="003278D8"/>
    <w:rsid w:val="00327B4B"/>
    <w:rsid w:val="00330045"/>
    <w:rsid w:val="00330201"/>
    <w:rsid w:val="00330DCB"/>
    <w:rsid w:val="00330EF1"/>
    <w:rsid w:val="00330EF3"/>
    <w:rsid w:val="00331359"/>
    <w:rsid w:val="00331652"/>
    <w:rsid w:val="003319D8"/>
    <w:rsid w:val="0033284A"/>
    <w:rsid w:val="00332899"/>
    <w:rsid w:val="003328A6"/>
    <w:rsid w:val="0033339F"/>
    <w:rsid w:val="00333449"/>
    <w:rsid w:val="0033427F"/>
    <w:rsid w:val="0033430D"/>
    <w:rsid w:val="00334853"/>
    <w:rsid w:val="00334DD4"/>
    <w:rsid w:val="00335511"/>
    <w:rsid w:val="00335637"/>
    <w:rsid w:val="0033590F"/>
    <w:rsid w:val="00335996"/>
    <w:rsid w:val="00335A0D"/>
    <w:rsid w:val="003361C5"/>
    <w:rsid w:val="003364C3"/>
    <w:rsid w:val="0033784F"/>
    <w:rsid w:val="0034057D"/>
    <w:rsid w:val="00340616"/>
    <w:rsid w:val="00341229"/>
    <w:rsid w:val="00341E79"/>
    <w:rsid w:val="00341F73"/>
    <w:rsid w:val="0034227E"/>
    <w:rsid w:val="0034242F"/>
    <w:rsid w:val="003429E2"/>
    <w:rsid w:val="00342BD8"/>
    <w:rsid w:val="00342F8A"/>
    <w:rsid w:val="00343186"/>
    <w:rsid w:val="00343780"/>
    <w:rsid w:val="00343C8C"/>
    <w:rsid w:val="00344675"/>
    <w:rsid w:val="00344745"/>
    <w:rsid w:val="003448D0"/>
    <w:rsid w:val="0034490D"/>
    <w:rsid w:val="00344FCB"/>
    <w:rsid w:val="00345177"/>
    <w:rsid w:val="00345669"/>
    <w:rsid w:val="0034579B"/>
    <w:rsid w:val="00345CE1"/>
    <w:rsid w:val="00345D39"/>
    <w:rsid w:val="003464FB"/>
    <w:rsid w:val="003467B4"/>
    <w:rsid w:val="00346A42"/>
    <w:rsid w:val="00346AE4"/>
    <w:rsid w:val="00346AFE"/>
    <w:rsid w:val="0034719F"/>
    <w:rsid w:val="003471A1"/>
    <w:rsid w:val="003471E1"/>
    <w:rsid w:val="0034762E"/>
    <w:rsid w:val="0034775A"/>
    <w:rsid w:val="00350176"/>
    <w:rsid w:val="00350731"/>
    <w:rsid w:val="003509BA"/>
    <w:rsid w:val="00350C97"/>
    <w:rsid w:val="00351175"/>
    <w:rsid w:val="003512B1"/>
    <w:rsid w:val="003515E3"/>
    <w:rsid w:val="0035164F"/>
    <w:rsid w:val="00351681"/>
    <w:rsid w:val="00351826"/>
    <w:rsid w:val="00351F08"/>
    <w:rsid w:val="00352013"/>
    <w:rsid w:val="00352384"/>
    <w:rsid w:val="0035242B"/>
    <w:rsid w:val="00353160"/>
    <w:rsid w:val="003534B0"/>
    <w:rsid w:val="00353C3B"/>
    <w:rsid w:val="003547BE"/>
    <w:rsid w:val="00355958"/>
    <w:rsid w:val="0035626E"/>
    <w:rsid w:val="003566FD"/>
    <w:rsid w:val="00356DEA"/>
    <w:rsid w:val="003575B5"/>
    <w:rsid w:val="00357A42"/>
    <w:rsid w:val="003605BA"/>
    <w:rsid w:val="00360BB6"/>
    <w:rsid w:val="00360EE2"/>
    <w:rsid w:val="0036143E"/>
    <w:rsid w:val="00361883"/>
    <w:rsid w:val="00361AC6"/>
    <w:rsid w:val="00361B2F"/>
    <w:rsid w:val="00361D51"/>
    <w:rsid w:val="00362A97"/>
    <w:rsid w:val="003631F6"/>
    <w:rsid w:val="00363D3E"/>
    <w:rsid w:val="00364144"/>
    <w:rsid w:val="00364A28"/>
    <w:rsid w:val="00364EBE"/>
    <w:rsid w:val="0036505E"/>
    <w:rsid w:val="003654CB"/>
    <w:rsid w:val="00365B4F"/>
    <w:rsid w:val="00365C64"/>
    <w:rsid w:val="00365F5F"/>
    <w:rsid w:val="00366594"/>
    <w:rsid w:val="00366AB0"/>
    <w:rsid w:val="00366B9A"/>
    <w:rsid w:val="003674DF"/>
    <w:rsid w:val="00367717"/>
    <w:rsid w:val="0036785F"/>
    <w:rsid w:val="00367A27"/>
    <w:rsid w:val="003705D7"/>
    <w:rsid w:val="00370CAC"/>
    <w:rsid w:val="00370D0E"/>
    <w:rsid w:val="003711E7"/>
    <w:rsid w:val="003712CE"/>
    <w:rsid w:val="00372013"/>
    <w:rsid w:val="00372134"/>
    <w:rsid w:val="0037242B"/>
    <w:rsid w:val="00372983"/>
    <w:rsid w:val="00372CFA"/>
    <w:rsid w:val="00372D87"/>
    <w:rsid w:val="00373422"/>
    <w:rsid w:val="0037343B"/>
    <w:rsid w:val="0037345F"/>
    <w:rsid w:val="0037351B"/>
    <w:rsid w:val="00373A52"/>
    <w:rsid w:val="00373EE2"/>
    <w:rsid w:val="00374C1C"/>
    <w:rsid w:val="00375070"/>
    <w:rsid w:val="0037517F"/>
    <w:rsid w:val="0037566C"/>
    <w:rsid w:val="0037589D"/>
    <w:rsid w:val="00375F10"/>
    <w:rsid w:val="00376663"/>
    <w:rsid w:val="00377499"/>
    <w:rsid w:val="00377B43"/>
    <w:rsid w:val="00380255"/>
    <w:rsid w:val="00380591"/>
    <w:rsid w:val="00380E0C"/>
    <w:rsid w:val="00380F1C"/>
    <w:rsid w:val="00380F3A"/>
    <w:rsid w:val="00381A87"/>
    <w:rsid w:val="00381B22"/>
    <w:rsid w:val="00381CC1"/>
    <w:rsid w:val="00382A5F"/>
    <w:rsid w:val="00382A9A"/>
    <w:rsid w:val="0038301C"/>
    <w:rsid w:val="00383919"/>
    <w:rsid w:val="00384138"/>
    <w:rsid w:val="00385B11"/>
    <w:rsid w:val="00386569"/>
    <w:rsid w:val="003867E8"/>
    <w:rsid w:val="00386C08"/>
    <w:rsid w:val="003872A1"/>
    <w:rsid w:val="00387636"/>
    <w:rsid w:val="00387E27"/>
    <w:rsid w:val="003902F2"/>
    <w:rsid w:val="0039046F"/>
    <w:rsid w:val="00390592"/>
    <w:rsid w:val="003906BA"/>
    <w:rsid w:val="00390E40"/>
    <w:rsid w:val="003921F2"/>
    <w:rsid w:val="00392708"/>
    <w:rsid w:val="00392F33"/>
    <w:rsid w:val="0039336F"/>
    <w:rsid w:val="003934DA"/>
    <w:rsid w:val="0039366F"/>
    <w:rsid w:val="00393691"/>
    <w:rsid w:val="00394197"/>
    <w:rsid w:val="00394402"/>
    <w:rsid w:val="00394AE9"/>
    <w:rsid w:val="00394B1C"/>
    <w:rsid w:val="00394F40"/>
    <w:rsid w:val="00395F6B"/>
    <w:rsid w:val="00396194"/>
    <w:rsid w:val="003969A0"/>
    <w:rsid w:val="00396A7D"/>
    <w:rsid w:val="00397AAB"/>
    <w:rsid w:val="00397D15"/>
    <w:rsid w:val="003A0179"/>
    <w:rsid w:val="003A0448"/>
    <w:rsid w:val="003A0F9E"/>
    <w:rsid w:val="003A13B5"/>
    <w:rsid w:val="003A1F7C"/>
    <w:rsid w:val="003A209F"/>
    <w:rsid w:val="003A2495"/>
    <w:rsid w:val="003A26E1"/>
    <w:rsid w:val="003A297C"/>
    <w:rsid w:val="003A29F5"/>
    <w:rsid w:val="003A30BC"/>
    <w:rsid w:val="003A3144"/>
    <w:rsid w:val="003A3855"/>
    <w:rsid w:val="003A3C2D"/>
    <w:rsid w:val="003A406D"/>
    <w:rsid w:val="003A4314"/>
    <w:rsid w:val="003A4E8D"/>
    <w:rsid w:val="003A5351"/>
    <w:rsid w:val="003A53E4"/>
    <w:rsid w:val="003A549C"/>
    <w:rsid w:val="003A569A"/>
    <w:rsid w:val="003A5A7B"/>
    <w:rsid w:val="003A5BBE"/>
    <w:rsid w:val="003A69F3"/>
    <w:rsid w:val="003A6C37"/>
    <w:rsid w:val="003A6DF7"/>
    <w:rsid w:val="003A72F0"/>
    <w:rsid w:val="003B0317"/>
    <w:rsid w:val="003B041B"/>
    <w:rsid w:val="003B05C8"/>
    <w:rsid w:val="003B08D7"/>
    <w:rsid w:val="003B0944"/>
    <w:rsid w:val="003B09E1"/>
    <w:rsid w:val="003B124A"/>
    <w:rsid w:val="003B1683"/>
    <w:rsid w:val="003B16FD"/>
    <w:rsid w:val="003B1A34"/>
    <w:rsid w:val="003B1BD3"/>
    <w:rsid w:val="003B1F33"/>
    <w:rsid w:val="003B2424"/>
    <w:rsid w:val="003B288D"/>
    <w:rsid w:val="003B3455"/>
    <w:rsid w:val="003B3AA8"/>
    <w:rsid w:val="003B3C4D"/>
    <w:rsid w:val="003B3E62"/>
    <w:rsid w:val="003B3E8B"/>
    <w:rsid w:val="003B3FCD"/>
    <w:rsid w:val="003B44C7"/>
    <w:rsid w:val="003B4769"/>
    <w:rsid w:val="003B497E"/>
    <w:rsid w:val="003B4F47"/>
    <w:rsid w:val="003B4F71"/>
    <w:rsid w:val="003B591E"/>
    <w:rsid w:val="003B5B0B"/>
    <w:rsid w:val="003B636E"/>
    <w:rsid w:val="003B63F3"/>
    <w:rsid w:val="003B6496"/>
    <w:rsid w:val="003B659C"/>
    <w:rsid w:val="003B65F6"/>
    <w:rsid w:val="003B67D4"/>
    <w:rsid w:val="003B699C"/>
    <w:rsid w:val="003B7192"/>
    <w:rsid w:val="003B71C2"/>
    <w:rsid w:val="003B7698"/>
    <w:rsid w:val="003B78CA"/>
    <w:rsid w:val="003B7D6F"/>
    <w:rsid w:val="003B7E22"/>
    <w:rsid w:val="003C0263"/>
    <w:rsid w:val="003C0337"/>
    <w:rsid w:val="003C0377"/>
    <w:rsid w:val="003C07EF"/>
    <w:rsid w:val="003C1866"/>
    <w:rsid w:val="003C2258"/>
    <w:rsid w:val="003C227E"/>
    <w:rsid w:val="003C2A11"/>
    <w:rsid w:val="003C2BB9"/>
    <w:rsid w:val="003C2FF2"/>
    <w:rsid w:val="003C3348"/>
    <w:rsid w:val="003C33E0"/>
    <w:rsid w:val="003C3855"/>
    <w:rsid w:val="003C38BF"/>
    <w:rsid w:val="003C38DA"/>
    <w:rsid w:val="003C3F81"/>
    <w:rsid w:val="003C3F95"/>
    <w:rsid w:val="003C40BD"/>
    <w:rsid w:val="003C41F2"/>
    <w:rsid w:val="003C489E"/>
    <w:rsid w:val="003C4A0C"/>
    <w:rsid w:val="003C4C55"/>
    <w:rsid w:val="003C4C8C"/>
    <w:rsid w:val="003C4C94"/>
    <w:rsid w:val="003C54B6"/>
    <w:rsid w:val="003C587A"/>
    <w:rsid w:val="003C5B8D"/>
    <w:rsid w:val="003C6835"/>
    <w:rsid w:val="003C68A6"/>
    <w:rsid w:val="003C6C13"/>
    <w:rsid w:val="003C6ED1"/>
    <w:rsid w:val="003C72C5"/>
    <w:rsid w:val="003C7393"/>
    <w:rsid w:val="003C752F"/>
    <w:rsid w:val="003D02E3"/>
    <w:rsid w:val="003D0DBC"/>
    <w:rsid w:val="003D0EB0"/>
    <w:rsid w:val="003D176F"/>
    <w:rsid w:val="003D21E5"/>
    <w:rsid w:val="003D2395"/>
    <w:rsid w:val="003D2DDC"/>
    <w:rsid w:val="003D300B"/>
    <w:rsid w:val="003D31E1"/>
    <w:rsid w:val="003D3260"/>
    <w:rsid w:val="003D3317"/>
    <w:rsid w:val="003D38F2"/>
    <w:rsid w:val="003D3946"/>
    <w:rsid w:val="003D3B5F"/>
    <w:rsid w:val="003D3C4A"/>
    <w:rsid w:val="003D3E62"/>
    <w:rsid w:val="003D4234"/>
    <w:rsid w:val="003D45A3"/>
    <w:rsid w:val="003D475A"/>
    <w:rsid w:val="003D4952"/>
    <w:rsid w:val="003D4D2A"/>
    <w:rsid w:val="003D4DB7"/>
    <w:rsid w:val="003D513C"/>
    <w:rsid w:val="003D54E6"/>
    <w:rsid w:val="003D5723"/>
    <w:rsid w:val="003D64C2"/>
    <w:rsid w:val="003D6E93"/>
    <w:rsid w:val="003D72E8"/>
    <w:rsid w:val="003D795F"/>
    <w:rsid w:val="003D7CB8"/>
    <w:rsid w:val="003D7CF3"/>
    <w:rsid w:val="003E0A60"/>
    <w:rsid w:val="003E1719"/>
    <w:rsid w:val="003E1891"/>
    <w:rsid w:val="003E1BC9"/>
    <w:rsid w:val="003E1DFC"/>
    <w:rsid w:val="003E254B"/>
    <w:rsid w:val="003E30F3"/>
    <w:rsid w:val="003E32EC"/>
    <w:rsid w:val="003E382E"/>
    <w:rsid w:val="003E39D1"/>
    <w:rsid w:val="003E464A"/>
    <w:rsid w:val="003E491F"/>
    <w:rsid w:val="003E4987"/>
    <w:rsid w:val="003E4A29"/>
    <w:rsid w:val="003E4A69"/>
    <w:rsid w:val="003E4D30"/>
    <w:rsid w:val="003E5524"/>
    <w:rsid w:val="003E5F10"/>
    <w:rsid w:val="003E6860"/>
    <w:rsid w:val="003E6A45"/>
    <w:rsid w:val="003E70A2"/>
    <w:rsid w:val="003E7195"/>
    <w:rsid w:val="003F05E9"/>
    <w:rsid w:val="003F084E"/>
    <w:rsid w:val="003F0971"/>
    <w:rsid w:val="003F0ECD"/>
    <w:rsid w:val="003F15B3"/>
    <w:rsid w:val="003F1614"/>
    <w:rsid w:val="003F17D5"/>
    <w:rsid w:val="003F241E"/>
    <w:rsid w:val="003F261A"/>
    <w:rsid w:val="003F468A"/>
    <w:rsid w:val="003F4E3C"/>
    <w:rsid w:val="003F5314"/>
    <w:rsid w:val="003F5560"/>
    <w:rsid w:val="003F5973"/>
    <w:rsid w:val="003F5B34"/>
    <w:rsid w:val="003F5C69"/>
    <w:rsid w:val="003F5D6B"/>
    <w:rsid w:val="003F5D74"/>
    <w:rsid w:val="003F5F3C"/>
    <w:rsid w:val="003F61C3"/>
    <w:rsid w:val="003F6395"/>
    <w:rsid w:val="003F64BA"/>
    <w:rsid w:val="003F657C"/>
    <w:rsid w:val="003F695C"/>
    <w:rsid w:val="003F6AE5"/>
    <w:rsid w:val="003F7CBF"/>
    <w:rsid w:val="003F7EAC"/>
    <w:rsid w:val="004001E7"/>
    <w:rsid w:val="00400303"/>
    <w:rsid w:val="00400529"/>
    <w:rsid w:val="00400C5B"/>
    <w:rsid w:val="00401647"/>
    <w:rsid w:val="00401CB4"/>
    <w:rsid w:val="00401D1C"/>
    <w:rsid w:val="00401F5C"/>
    <w:rsid w:val="00402B47"/>
    <w:rsid w:val="00402FB3"/>
    <w:rsid w:val="00403453"/>
    <w:rsid w:val="00404783"/>
    <w:rsid w:val="00405248"/>
    <w:rsid w:val="004056F7"/>
    <w:rsid w:val="0040584B"/>
    <w:rsid w:val="00405A01"/>
    <w:rsid w:val="0040625F"/>
    <w:rsid w:val="0040662F"/>
    <w:rsid w:val="00406B18"/>
    <w:rsid w:val="00406E31"/>
    <w:rsid w:val="00407A8C"/>
    <w:rsid w:val="00407B5B"/>
    <w:rsid w:val="00407EFA"/>
    <w:rsid w:val="004100C3"/>
    <w:rsid w:val="004102F6"/>
    <w:rsid w:val="00410BAA"/>
    <w:rsid w:val="0041135F"/>
    <w:rsid w:val="004118BB"/>
    <w:rsid w:val="00411B08"/>
    <w:rsid w:val="00411E7F"/>
    <w:rsid w:val="00412618"/>
    <w:rsid w:val="004128E5"/>
    <w:rsid w:val="004129C1"/>
    <w:rsid w:val="004136A2"/>
    <w:rsid w:val="00413B3F"/>
    <w:rsid w:val="004140F5"/>
    <w:rsid w:val="004143E3"/>
    <w:rsid w:val="004147DE"/>
    <w:rsid w:val="004149A8"/>
    <w:rsid w:val="00414DF5"/>
    <w:rsid w:val="004154D5"/>
    <w:rsid w:val="00415673"/>
    <w:rsid w:val="00416200"/>
    <w:rsid w:val="00417386"/>
    <w:rsid w:val="00417479"/>
    <w:rsid w:val="0041748E"/>
    <w:rsid w:val="00417695"/>
    <w:rsid w:val="00417AD2"/>
    <w:rsid w:val="00417C2D"/>
    <w:rsid w:val="00417E71"/>
    <w:rsid w:val="0042002B"/>
    <w:rsid w:val="00420354"/>
    <w:rsid w:val="00420360"/>
    <w:rsid w:val="004204B7"/>
    <w:rsid w:val="0042095C"/>
    <w:rsid w:val="00420A10"/>
    <w:rsid w:val="00420AF5"/>
    <w:rsid w:val="00421082"/>
    <w:rsid w:val="00421096"/>
    <w:rsid w:val="004210C4"/>
    <w:rsid w:val="00421458"/>
    <w:rsid w:val="0042282B"/>
    <w:rsid w:val="00422DA8"/>
    <w:rsid w:val="00422F71"/>
    <w:rsid w:val="00423519"/>
    <w:rsid w:val="0042379C"/>
    <w:rsid w:val="00423A22"/>
    <w:rsid w:val="00423EA9"/>
    <w:rsid w:val="00424411"/>
    <w:rsid w:val="00424975"/>
    <w:rsid w:val="00424A9A"/>
    <w:rsid w:val="004251C5"/>
    <w:rsid w:val="0042546D"/>
    <w:rsid w:val="00425680"/>
    <w:rsid w:val="004256D0"/>
    <w:rsid w:val="00425A22"/>
    <w:rsid w:val="00425A2D"/>
    <w:rsid w:val="00425C8E"/>
    <w:rsid w:val="00425F17"/>
    <w:rsid w:val="00425F5C"/>
    <w:rsid w:val="00425F69"/>
    <w:rsid w:val="00425FA7"/>
    <w:rsid w:val="00426033"/>
    <w:rsid w:val="0042617C"/>
    <w:rsid w:val="004263B3"/>
    <w:rsid w:val="0042642B"/>
    <w:rsid w:val="00426461"/>
    <w:rsid w:val="00426D59"/>
    <w:rsid w:val="004271A6"/>
    <w:rsid w:val="00427CD9"/>
    <w:rsid w:val="00427F70"/>
    <w:rsid w:val="00427FCC"/>
    <w:rsid w:val="0043034E"/>
    <w:rsid w:val="00430508"/>
    <w:rsid w:val="004306ED"/>
    <w:rsid w:val="0043098B"/>
    <w:rsid w:val="00432638"/>
    <w:rsid w:val="0043300D"/>
    <w:rsid w:val="00433187"/>
    <w:rsid w:val="0043344C"/>
    <w:rsid w:val="00433651"/>
    <w:rsid w:val="00434CA0"/>
    <w:rsid w:val="00435280"/>
    <w:rsid w:val="00435A04"/>
    <w:rsid w:val="00435DEF"/>
    <w:rsid w:val="00436D28"/>
    <w:rsid w:val="00436E26"/>
    <w:rsid w:val="00437FC3"/>
    <w:rsid w:val="00440CF2"/>
    <w:rsid w:val="004415A2"/>
    <w:rsid w:val="004415DF"/>
    <w:rsid w:val="00441861"/>
    <w:rsid w:val="00442537"/>
    <w:rsid w:val="0044282A"/>
    <w:rsid w:val="00442A9D"/>
    <w:rsid w:val="00443362"/>
    <w:rsid w:val="0044376A"/>
    <w:rsid w:val="00443775"/>
    <w:rsid w:val="00443FC8"/>
    <w:rsid w:val="00444228"/>
    <w:rsid w:val="004442DC"/>
    <w:rsid w:val="004443ED"/>
    <w:rsid w:val="0044453B"/>
    <w:rsid w:val="0044454A"/>
    <w:rsid w:val="00444FCA"/>
    <w:rsid w:val="00445A74"/>
    <w:rsid w:val="0044670A"/>
    <w:rsid w:val="0044708A"/>
    <w:rsid w:val="00447A74"/>
    <w:rsid w:val="0045003A"/>
    <w:rsid w:val="004500A7"/>
    <w:rsid w:val="004502FC"/>
    <w:rsid w:val="004504C0"/>
    <w:rsid w:val="004506B0"/>
    <w:rsid w:val="004511D4"/>
    <w:rsid w:val="00451420"/>
    <w:rsid w:val="004518D3"/>
    <w:rsid w:val="0045215E"/>
    <w:rsid w:val="0045265E"/>
    <w:rsid w:val="004529C2"/>
    <w:rsid w:val="004529E0"/>
    <w:rsid w:val="00452A2A"/>
    <w:rsid w:val="00452F5A"/>
    <w:rsid w:val="004532C2"/>
    <w:rsid w:val="00453308"/>
    <w:rsid w:val="00453776"/>
    <w:rsid w:val="00453E8E"/>
    <w:rsid w:val="00453FA2"/>
    <w:rsid w:val="004540DB"/>
    <w:rsid w:val="00454516"/>
    <w:rsid w:val="004546FF"/>
    <w:rsid w:val="004547CE"/>
    <w:rsid w:val="00454F7D"/>
    <w:rsid w:val="0045509C"/>
    <w:rsid w:val="004550BD"/>
    <w:rsid w:val="00455411"/>
    <w:rsid w:val="0045569C"/>
    <w:rsid w:val="004558E4"/>
    <w:rsid w:val="00455AFC"/>
    <w:rsid w:val="00455F65"/>
    <w:rsid w:val="004562B8"/>
    <w:rsid w:val="004565A0"/>
    <w:rsid w:val="004565DC"/>
    <w:rsid w:val="0045679E"/>
    <w:rsid w:val="00456B8E"/>
    <w:rsid w:val="00456C68"/>
    <w:rsid w:val="004576FB"/>
    <w:rsid w:val="00457FC3"/>
    <w:rsid w:val="00460621"/>
    <w:rsid w:val="00460A92"/>
    <w:rsid w:val="00460ADF"/>
    <w:rsid w:val="004611AF"/>
    <w:rsid w:val="00461936"/>
    <w:rsid w:val="00461CAD"/>
    <w:rsid w:val="00461DDE"/>
    <w:rsid w:val="00462440"/>
    <w:rsid w:val="0046251E"/>
    <w:rsid w:val="00462944"/>
    <w:rsid w:val="00462B15"/>
    <w:rsid w:val="0046337B"/>
    <w:rsid w:val="004634CB"/>
    <w:rsid w:val="0046403E"/>
    <w:rsid w:val="0046426E"/>
    <w:rsid w:val="00464CF3"/>
    <w:rsid w:val="00465282"/>
    <w:rsid w:val="00465F58"/>
    <w:rsid w:val="00466CEE"/>
    <w:rsid w:val="00467B05"/>
    <w:rsid w:val="00467E5B"/>
    <w:rsid w:val="00470857"/>
    <w:rsid w:val="0047094F"/>
    <w:rsid w:val="00470CAA"/>
    <w:rsid w:val="004710A5"/>
    <w:rsid w:val="00471135"/>
    <w:rsid w:val="00471666"/>
    <w:rsid w:val="00471C72"/>
    <w:rsid w:val="00471F82"/>
    <w:rsid w:val="00472B20"/>
    <w:rsid w:val="00472C92"/>
    <w:rsid w:val="00472DFB"/>
    <w:rsid w:val="00473220"/>
    <w:rsid w:val="00473CC3"/>
    <w:rsid w:val="00474071"/>
    <w:rsid w:val="00474B43"/>
    <w:rsid w:val="00474FF1"/>
    <w:rsid w:val="00475A61"/>
    <w:rsid w:val="00475E6E"/>
    <w:rsid w:val="00476124"/>
    <w:rsid w:val="004762AA"/>
    <w:rsid w:val="004769BC"/>
    <w:rsid w:val="004770FC"/>
    <w:rsid w:val="00477CCC"/>
    <w:rsid w:val="004804C7"/>
    <w:rsid w:val="004809AE"/>
    <w:rsid w:val="00480A3C"/>
    <w:rsid w:val="004817F5"/>
    <w:rsid w:val="00481928"/>
    <w:rsid w:val="004825C2"/>
    <w:rsid w:val="00482854"/>
    <w:rsid w:val="0048299D"/>
    <w:rsid w:val="00483256"/>
    <w:rsid w:val="00483D84"/>
    <w:rsid w:val="00483F29"/>
    <w:rsid w:val="00484260"/>
    <w:rsid w:val="004848ED"/>
    <w:rsid w:val="00484BBA"/>
    <w:rsid w:val="00484D23"/>
    <w:rsid w:val="00485161"/>
    <w:rsid w:val="0048533F"/>
    <w:rsid w:val="00485372"/>
    <w:rsid w:val="00485919"/>
    <w:rsid w:val="00485AC7"/>
    <w:rsid w:val="00485ACD"/>
    <w:rsid w:val="00485C2F"/>
    <w:rsid w:val="00485CF4"/>
    <w:rsid w:val="00487250"/>
    <w:rsid w:val="00487D12"/>
    <w:rsid w:val="00487D99"/>
    <w:rsid w:val="00490056"/>
    <w:rsid w:val="004908BA"/>
    <w:rsid w:val="00490CE0"/>
    <w:rsid w:val="00490E31"/>
    <w:rsid w:val="0049284B"/>
    <w:rsid w:val="00492D33"/>
    <w:rsid w:val="004930A0"/>
    <w:rsid w:val="004931F8"/>
    <w:rsid w:val="0049343F"/>
    <w:rsid w:val="0049344A"/>
    <w:rsid w:val="004938D2"/>
    <w:rsid w:val="004939D1"/>
    <w:rsid w:val="00493B5A"/>
    <w:rsid w:val="0049545E"/>
    <w:rsid w:val="0049553A"/>
    <w:rsid w:val="0049570D"/>
    <w:rsid w:val="00495716"/>
    <w:rsid w:val="0049586C"/>
    <w:rsid w:val="00496827"/>
    <w:rsid w:val="004968FE"/>
    <w:rsid w:val="00496AB3"/>
    <w:rsid w:val="00496C3F"/>
    <w:rsid w:val="004970BB"/>
    <w:rsid w:val="0049747A"/>
    <w:rsid w:val="004974F6"/>
    <w:rsid w:val="00497884"/>
    <w:rsid w:val="00497E6F"/>
    <w:rsid w:val="004A00A7"/>
    <w:rsid w:val="004A035B"/>
    <w:rsid w:val="004A09A4"/>
    <w:rsid w:val="004A0CEB"/>
    <w:rsid w:val="004A1559"/>
    <w:rsid w:val="004A18EF"/>
    <w:rsid w:val="004A1C7E"/>
    <w:rsid w:val="004A1F7D"/>
    <w:rsid w:val="004A22D3"/>
    <w:rsid w:val="004A2A9A"/>
    <w:rsid w:val="004A307E"/>
    <w:rsid w:val="004A3221"/>
    <w:rsid w:val="004A3A8C"/>
    <w:rsid w:val="004A3FE0"/>
    <w:rsid w:val="004A4564"/>
    <w:rsid w:val="004A4B29"/>
    <w:rsid w:val="004A4DB1"/>
    <w:rsid w:val="004A5B2F"/>
    <w:rsid w:val="004A6038"/>
    <w:rsid w:val="004A6A17"/>
    <w:rsid w:val="004A6CBD"/>
    <w:rsid w:val="004A6D8D"/>
    <w:rsid w:val="004A706B"/>
    <w:rsid w:val="004A774C"/>
    <w:rsid w:val="004A7845"/>
    <w:rsid w:val="004A7A14"/>
    <w:rsid w:val="004B1064"/>
    <w:rsid w:val="004B154D"/>
    <w:rsid w:val="004B1A85"/>
    <w:rsid w:val="004B20A7"/>
    <w:rsid w:val="004B22E9"/>
    <w:rsid w:val="004B25B5"/>
    <w:rsid w:val="004B2931"/>
    <w:rsid w:val="004B2A18"/>
    <w:rsid w:val="004B2D8C"/>
    <w:rsid w:val="004B2EC8"/>
    <w:rsid w:val="004B2F17"/>
    <w:rsid w:val="004B3D89"/>
    <w:rsid w:val="004B3F72"/>
    <w:rsid w:val="004B44B5"/>
    <w:rsid w:val="004B45B5"/>
    <w:rsid w:val="004B45DA"/>
    <w:rsid w:val="004B51B3"/>
    <w:rsid w:val="004B5459"/>
    <w:rsid w:val="004B54F4"/>
    <w:rsid w:val="004B59EE"/>
    <w:rsid w:val="004B5A24"/>
    <w:rsid w:val="004B5BAB"/>
    <w:rsid w:val="004B5C09"/>
    <w:rsid w:val="004B5C5D"/>
    <w:rsid w:val="004B5DBA"/>
    <w:rsid w:val="004B604B"/>
    <w:rsid w:val="004B6417"/>
    <w:rsid w:val="004B6ADB"/>
    <w:rsid w:val="004B6E70"/>
    <w:rsid w:val="004B7885"/>
    <w:rsid w:val="004B79D0"/>
    <w:rsid w:val="004C1493"/>
    <w:rsid w:val="004C15A9"/>
    <w:rsid w:val="004C2106"/>
    <w:rsid w:val="004C2581"/>
    <w:rsid w:val="004C2BB0"/>
    <w:rsid w:val="004C2CAF"/>
    <w:rsid w:val="004C304D"/>
    <w:rsid w:val="004C334B"/>
    <w:rsid w:val="004C4568"/>
    <w:rsid w:val="004C497B"/>
    <w:rsid w:val="004C5488"/>
    <w:rsid w:val="004C61D5"/>
    <w:rsid w:val="004C67E9"/>
    <w:rsid w:val="004C7221"/>
    <w:rsid w:val="004C744E"/>
    <w:rsid w:val="004C7644"/>
    <w:rsid w:val="004C77F5"/>
    <w:rsid w:val="004C7843"/>
    <w:rsid w:val="004C7F78"/>
    <w:rsid w:val="004D045B"/>
    <w:rsid w:val="004D0813"/>
    <w:rsid w:val="004D0E62"/>
    <w:rsid w:val="004D150B"/>
    <w:rsid w:val="004D1982"/>
    <w:rsid w:val="004D1A1C"/>
    <w:rsid w:val="004D1DFF"/>
    <w:rsid w:val="004D2820"/>
    <w:rsid w:val="004D2971"/>
    <w:rsid w:val="004D2CF6"/>
    <w:rsid w:val="004D331A"/>
    <w:rsid w:val="004D36C1"/>
    <w:rsid w:val="004D460C"/>
    <w:rsid w:val="004D4971"/>
    <w:rsid w:val="004D4F8C"/>
    <w:rsid w:val="004D547F"/>
    <w:rsid w:val="004D5565"/>
    <w:rsid w:val="004D5ED7"/>
    <w:rsid w:val="004D6354"/>
    <w:rsid w:val="004D64A8"/>
    <w:rsid w:val="004D6E46"/>
    <w:rsid w:val="004D7CA6"/>
    <w:rsid w:val="004D7DB8"/>
    <w:rsid w:val="004D7DF6"/>
    <w:rsid w:val="004E04F6"/>
    <w:rsid w:val="004E12AA"/>
    <w:rsid w:val="004E1A2C"/>
    <w:rsid w:val="004E2455"/>
    <w:rsid w:val="004E2769"/>
    <w:rsid w:val="004E2D9F"/>
    <w:rsid w:val="004E2EF9"/>
    <w:rsid w:val="004E326A"/>
    <w:rsid w:val="004E32C8"/>
    <w:rsid w:val="004E3479"/>
    <w:rsid w:val="004E3AF0"/>
    <w:rsid w:val="004E4153"/>
    <w:rsid w:val="004E4C56"/>
    <w:rsid w:val="004E4DD1"/>
    <w:rsid w:val="004E4FE3"/>
    <w:rsid w:val="004E554A"/>
    <w:rsid w:val="004E55DA"/>
    <w:rsid w:val="004E60CA"/>
    <w:rsid w:val="004E6A16"/>
    <w:rsid w:val="004E6D0E"/>
    <w:rsid w:val="004E6EE4"/>
    <w:rsid w:val="004E7B50"/>
    <w:rsid w:val="004E7D8F"/>
    <w:rsid w:val="004E7FC3"/>
    <w:rsid w:val="004F0332"/>
    <w:rsid w:val="004F04E0"/>
    <w:rsid w:val="004F0746"/>
    <w:rsid w:val="004F08BE"/>
    <w:rsid w:val="004F0A3E"/>
    <w:rsid w:val="004F0BE5"/>
    <w:rsid w:val="004F0BEE"/>
    <w:rsid w:val="004F1975"/>
    <w:rsid w:val="004F2616"/>
    <w:rsid w:val="004F33E3"/>
    <w:rsid w:val="004F3859"/>
    <w:rsid w:val="004F39F8"/>
    <w:rsid w:val="004F3BE4"/>
    <w:rsid w:val="004F3C9A"/>
    <w:rsid w:val="004F3D30"/>
    <w:rsid w:val="004F3F79"/>
    <w:rsid w:val="004F4011"/>
    <w:rsid w:val="004F4131"/>
    <w:rsid w:val="004F413A"/>
    <w:rsid w:val="004F46B4"/>
    <w:rsid w:val="004F4773"/>
    <w:rsid w:val="004F4842"/>
    <w:rsid w:val="004F5079"/>
    <w:rsid w:val="004F55DA"/>
    <w:rsid w:val="004F56AE"/>
    <w:rsid w:val="004F58F4"/>
    <w:rsid w:val="004F5C07"/>
    <w:rsid w:val="004F5E60"/>
    <w:rsid w:val="004F5F56"/>
    <w:rsid w:val="004F5FAD"/>
    <w:rsid w:val="004F610D"/>
    <w:rsid w:val="004F6686"/>
    <w:rsid w:val="004F6B19"/>
    <w:rsid w:val="004F6EDC"/>
    <w:rsid w:val="004F7317"/>
    <w:rsid w:val="004F74C8"/>
    <w:rsid w:val="004F7854"/>
    <w:rsid w:val="004F78F3"/>
    <w:rsid w:val="004F7E6C"/>
    <w:rsid w:val="00500CDF"/>
    <w:rsid w:val="00501643"/>
    <w:rsid w:val="00501B51"/>
    <w:rsid w:val="00501B5A"/>
    <w:rsid w:val="00501EFD"/>
    <w:rsid w:val="00502123"/>
    <w:rsid w:val="00502651"/>
    <w:rsid w:val="005026FA"/>
    <w:rsid w:val="00502AB7"/>
    <w:rsid w:val="00502E58"/>
    <w:rsid w:val="00502F7E"/>
    <w:rsid w:val="00503297"/>
    <w:rsid w:val="005033E2"/>
    <w:rsid w:val="00503764"/>
    <w:rsid w:val="00503801"/>
    <w:rsid w:val="00503DB2"/>
    <w:rsid w:val="005040FA"/>
    <w:rsid w:val="00504112"/>
    <w:rsid w:val="00504783"/>
    <w:rsid w:val="00505158"/>
    <w:rsid w:val="00505162"/>
    <w:rsid w:val="005055A0"/>
    <w:rsid w:val="00505B13"/>
    <w:rsid w:val="00505FED"/>
    <w:rsid w:val="005067B1"/>
    <w:rsid w:val="00506CC0"/>
    <w:rsid w:val="00506D01"/>
    <w:rsid w:val="00506F05"/>
    <w:rsid w:val="0050734F"/>
    <w:rsid w:val="00507394"/>
    <w:rsid w:val="005102BA"/>
    <w:rsid w:val="00510577"/>
    <w:rsid w:val="00510C77"/>
    <w:rsid w:val="00511278"/>
    <w:rsid w:val="0051141C"/>
    <w:rsid w:val="005118BF"/>
    <w:rsid w:val="0051197C"/>
    <w:rsid w:val="00511D4F"/>
    <w:rsid w:val="00511F92"/>
    <w:rsid w:val="00511FE5"/>
    <w:rsid w:val="00512B89"/>
    <w:rsid w:val="005135BC"/>
    <w:rsid w:val="005138DC"/>
    <w:rsid w:val="00513B62"/>
    <w:rsid w:val="005149A2"/>
    <w:rsid w:val="00515123"/>
    <w:rsid w:val="00515EE9"/>
    <w:rsid w:val="00515F22"/>
    <w:rsid w:val="00517193"/>
    <w:rsid w:val="00517510"/>
    <w:rsid w:val="00517BB3"/>
    <w:rsid w:val="00517BD7"/>
    <w:rsid w:val="00517EBD"/>
    <w:rsid w:val="005201FA"/>
    <w:rsid w:val="0052076D"/>
    <w:rsid w:val="00520F9C"/>
    <w:rsid w:val="0052137B"/>
    <w:rsid w:val="00521403"/>
    <w:rsid w:val="00521AD8"/>
    <w:rsid w:val="00522489"/>
    <w:rsid w:val="00522D70"/>
    <w:rsid w:val="005232D3"/>
    <w:rsid w:val="00523A88"/>
    <w:rsid w:val="00523FC7"/>
    <w:rsid w:val="00523FCE"/>
    <w:rsid w:val="005240D0"/>
    <w:rsid w:val="005243C4"/>
    <w:rsid w:val="00524410"/>
    <w:rsid w:val="0052487D"/>
    <w:rsid w:val="0052498D"/>
    <w:rsid w:val="00524C6D"/>
    <w:rsid w:val="00525173"/>
    <w:rsid w:val="005259D4"/>
    <w:rsid w:val="00525BC1"/>
    <w:rsid w:val="0052673B"/>
    <w:rsid w:val="00526797"/>
    <w:rsid w:val="00526DC9"/>
    <w:rsid w:val="00527157"/>
    <w:rsid w:val="00527546"/>
    <w:rsid w:val="005302AF"/>
    <w:rsid w:val="0053168D"/>
    <w:rsid w:val="005317C0"/>
    <w:rsid w:val="00531AFA"/>
    <w:rsid w:val="005321C2"/>
    <w:rsid w:val="00532317"/>
    <w:rsid w:val="00532E2A"/>
    <w:rsid w:val="00533720"/>
    <w:rsid w:val="005337AA"/>
    <w:rsid w:val="00533A7F"/>
    <w:rsid w:val="0053407F"/>
    <w:rsid w:val="00534864"/>
    <w:rsid w:val="00535270"/>
    <w:rsid w:val="0053596F"/>
    <w:rsid w:val="00535EA1"/>
    <w:rsid w:val="005368B3"/>
    <w:rsid w:val="00537162"/>
    <w:rsid w:val="0054001B"/>
    <w:rsid w:val="00540077"/>
    <w:rsid w:val="005403EE"/>
    <w:rsid w:val="00540F12"/>
    <w:rsid w:val="00540FA3"/>
    <w:rsid w:val="00541311"/>
    <w:rsid w:val="00541365"/>
    <w:rsid w:val="00541422"/>
    <w:rsid w:val="0054191F"/>
    <w:rsid w:val="005429CC"/>
    <w:rsid w:val="00542AB6"/>
    <w:rsid w:val="00542ABF"/>
    <w:rsid w:val="0054356A"/>
    <w:rsid w:val="0054424F"/>
    <w:rsid w:val="005449D2"/>
    <w:rsid w:val="00544B29"/>
    <w:rsid w:val="00545309"/>
    <w:rsid w:val="00545A37"/>
    <w:rsid w:val="00545C53"/>
    <w:rsid w:val="00546267"/>
    <w:rsid w:val="005466FF"/>
    <w:rsid w:val="00546A75"/>
    <w:rsid w:val="00546E55"/>
    <w:rsid w:val="0054747D"/>
    <w:rsid w:val="00547CF4"/>
    <w:rsid w:val="00547FD4"/>
    <w:rsid w:val="005500CC"/>
    <w:rsid w:val="0055025E"/>
    <w:rsid w:val="005507C4"/>
    <w:rsid w:val="00550F5A"/>
    <w:rsid w:val="00550FFE"/>
    <w:rsid w:val="005510BF"/>
    <w:rsid w:val="00551119"/>
    <w:rsid w:val="00551266"/>
    <w:rsid w:val="005517C3"/>
    <w:rsid w:val="0055184C"/>
    <w:rsid w:val="00551907"/>
    <w:rsid w:val="0055306B"/>
    <w:rsid w:val="005536B1"/>
    <w:rsid w:val="005536C4"/>
    <w:rsid w:val="005542EC"/>
    <w:rsid w:val="0055446A"/>
    <w:rsid w:val="00554AFA"/>
    <w:rsid w:val="005564C4"/>
    <w:rsid w:val="005569A2"/>
    <w:rsid w:val="00556BEE"/>
    <w:rsid w:val="00556E33"/>
    <w:rsid w:val="00556F15"/>
    <w:rsid w:val="005576B0"/>
    <w:rsid w:val="0055776B"/>
    <w:rsid w:val="005579F9"/>
    <w:rsid w:val="00557A3B"/>
    <w:rsid w:val="00557AAF"/>
    <w:rsid w:val="00557F66"/>
    <w:rsid w:val="00560651"/>
    <w:rsid w:val="0056074A"/>
    <w:rsid w:val="0056195E"/>
    <w:rsid w:val="005626BB"/>
    <w:rsid w:val="0056274A"/>
    <w:rsid w:val="0056310C"/>
    <w:rsid w:val="0056372F"/>
    <w:rsid w:val="005638F3"/>
    <w:rsid w:val="005639F2"/>
    <w:rsid w:val="00563AC4"/>
    <w:rsid w:val="00563F20"/>
    <w:rsid w:val="005646B3"/>
    <w:rsid w:val="00565195"/>
    <w:rsid w:val="0056535C"/>
    <w:rsid w:val="0056573F"/>
    <w:rsid w:val="005659DA"/>
    <w:rsid w:val="00565BF0"/>
    <w:rsid w:val="00565CBD"/>
    <w:rsid w:val="00566589"/>
    <w:rsid w:val="005665E3"/>
    <w:rsid w:val="00566B86"/>
    <w:rsid w:val="00566C21"/>
    <w:rsid w:val="00566C54"/>
    <w:rsid w:val="00567472"/>
    <w:rsid w:val="00567698"/>
    <w:rsid w:val="0056772C"/>
    <w:rsid w:val="00567EDB"/>
    <w:rsid w:val="0057064E"/>
    <w:rsid w:val="0057093D"/>
    <w:rsid w:val="00570A6F"/>
    <w:rsid w:val="00570B2C"/>
    <w:rsid w:val="00570D4E"/>
    <w:rsid w:val="0057152C"/>
    <w:rsid w:val="00572EDA"/>
    <w:rsid w:val="0057439B"/>
    <w:rsid w:val="00574E65"/>
    <w:rsid w:val="00575309"/>
    <w:rsid w:val="00575456"/>
    <w:rsid w:val="00576B0D"/>
    <w:rsid w:val="00576D48"/>
    <w:rsid w:val="005771F6"/>
    <w:rsid w:val="005775CE"/>
    <w:rsid w:val="0057771E"/>
    <w:rsid w:val="00580885"/>
    <w:rsid w:val="00580B56"/>
    <w:rsid w:val="00580BDF"/>
    <w:rsid w:val="00580CEE"/>
    <w:rsid w:val="0058109B"/>
    <w:rsid w:val="005816E2"/>
    <w:rsid w:val="00582471"/>
    <w:rsid w:val="005833FE"/>
    <w:rsid w:val="00583574"/>
    <w:rsid w:val="0058374E"/>
    <w:rsid w:val="00583CB3"/>
    <w:rsid w:val="0058447A"/>
    <w:rsid w:val="00584C3A"/>
    <w:rsid w:val="005850BB"/>
    <w:rsid w:val="0058510D"/>
    <w:rsid w:val="0058557B"/>
    <w:rsid w:val="005855BB"/>
    <w:rsid w:val="00585D06"/>
    <w:rsid w:val="00585D3E"/>
    <w:rsid w:val="00585E3C"/>
    <w:rsid w:val="0058617C"/>
    <w:rsid w:val="005868B8"/>
    <w:rsid w:val="00586D06"/>
    <w:rsid w:val="00586EC1"/>
    <w:rsid w:val="00587486"/>
    <w:rsid w:val="00587B9E"/>
    <w:rsid w:val="00587CF1"/>
    <w:rsid w:val="005901D4"/>
    <w:rsid w:val="005903F0"/>
    <w:rsid w:val="00590736"/>
    <w:rsid w:val="0059091A"/>
    <w:rsid w:val="00590942"/>
    <w:rsid w:val="005912C2"/>
    <w:rsid w:val="005914EA"/>
    <w:rsid w:val="0059198F"/>
    <w:rsid w:val="00591B65"/>
    <w:rsid w:val="00592145"/>
    <w:rsid w:val="005922F6"/>
    <w:rsid w:val="005929D5"/>
    <w:rsid w:val="00593099"/>
    <w:rsid w:val="0059407D"/>
    <w:rsid w:val="00594578"/>
    <w:rsid w:val="00594B3D"/>
    <w:rsid w:val="00594DA5"/>
    <w:rsid w:val="00595050"/>
    <w:rsid w:val="00595556"/>
    <w:rsid w:val="0059591F"/>
    <w:rsid w:val="005960D9"/>
    <w:rsid w:val="00596C92"/>
    <w:rsid w:val="00596DD0"/>
    <w:rsid w:val="00596E87"/>
    <w:rsid w:val="0059725E"/>
    <w:rsid w:val="005973BA"/>
    <w:rsid w:val="005979EC"/>
    <w:rsid w:val="00597D27"/>
    <w:rsid w:val="00597DC2"/>
    <w:rsid w:val="00597F29"/>
    <w:rsid w:val="005A0297"/>
    <w:rsid w:val="005A0CF5"/>
    <w:rsid w:val="005A11E9"/>
    <w:rsid w:val="005A1369"/>
    <w:rsid w:val="005A15F0"/>
    <w:rsid w:val="005A1863"/>
    <w:rsid w:val="005A2038"/>
    <w:rsid w:val="005A2524"/>
    <w:rsid w:val="005A274C"/>
    <w:rsid w:val="005A2E24"/>
    <w:rsid w:val="005A35EF"/>
    <w:rsid w:val="005A3B6A"/>
    <w:rsid w:val="005A3CED"/>
    <w:rsid w:val="005A40C8"/>
    <w:rsid w:val="005A50DD"/>
    <w:rsid w:val="005A5488"/>
    <w:rsid w:val="005A5B9A"/>
    <w:rsid w:val="005A67AD"/>
    <w:rsid w:val="005A6906"/>
    <w:rsid w:val="005A6D9A"/>
    <w:rsid w:val="005A7399"/>
    <w:rsid w:val="005A7681"/>
    <w:rsid w:val="005B0409"/>
    <w:rsid w:val="005B08BE"/>
    <w:rsid w:val="005B0AF6"/>
    <w:rsid w:val="005B1311"/>
    <w:rsid w:val="005B1E6F"/>
    <w:rsid w:val="005B1F08"/>
    <w:rsid w:val="005B203F"/>
    <w:rsid w:val="005B246F"/>
    <w:rsid w:val="005B2D2B"/>
    <w:rsid w:val="005B3EF0"/>
    <w:rsid w:val="005B43D6"/>
    <w:rsid w:val="005B4711"/>
    <w:rsid w:val="005B501F"/>
    <w:rsid w:val="005B52AA"/>
    <w:rsid w:val="005B5414"/>
    <w:rsid w:val="005B62A7"/>
    <w:rsid w:val="005B660A"/>
    <w:rsid w:val="005B6D29"/>
    <w:rsid w:val="005B73C1"/>
    <w:rsid w:val="005C011F"/>
    <w:rsid w:val="005C02BE"/>
    <w:rsid w:val="005C12CF"/>
    <w:rsid w:val="005C12D6"/>
    <w:rsid w:val="005C1716"/>
    <w:rsid w:val="005C1826"/>
    <w:rsid w:val="005C1978"/>
    <w:rsid w:val="005C19D5"/>
    <w:rsid w:val="005C1C09"/>
    <w:rsid w:val="005C1F14"/>
    <w:rsid w:val="005C205A"/>
    <w:rsid w:val="005C2FA3"/>
    <w:rsid w:val="005C3400"/>
    <w:rsid w:val="005C3527"/>
    <w:rsid w:val="005C35F2"/>
    <w:rsid w:val="005C3697"/>
    <w:rsid w:val="005C3756"/>
    <w:rsid w:val="005C3857"/>
    <w:rsid w:val="005C38AC"/>
    <w:rsid w:val="005C3987"/>
    <w:rsid w:val="005C3B0B"/>
    <w:rsid w:val="005C3ED4"/>
    <w:rsid w:val="005C4007"/>
    <w:rsid w:val="005C4961"/>
    <w:rsid w:val="005C549E"/>
    <w:rsid w:val="005C5A96"/>
    <w:rsid w:val="005C60B7"/>
    <w:rsid w:val="005C66BC"/>
    <w:rsid w:val="005C7424"/>
    <w:rsid w:val="005C7690"/>
    <w:rsid w:val="005C7E19"/>
    <w:rsid w:val="005D001D"/>
    <w:rsid w:val="005D004F"/>
    <w:rsid w:val="005D02A4"/>
    <w:rsid w:val="005D045D"/>
    <w:rsid w:val="005D09F8"/>
    <w:rsid w:val="005D0B7D"/>
    <w:rsid w:val="005D0CD4"/>
    <w:rsid w:val="005D0D8F"/>
    <w:rsid w:val="005D0E5A"/>
    <w:rsid w:val="005D0EAE"/>
    <w:rsid w:val="005D11B1"/>
    <w:rsid w:val="005D1CBE"/>
    <w:rsid w:val="005D276D"/>
    <w:rsid w:val="005D285D"/>
    <w:rsid w:val="005D2BC5"/>
    <w:rsid w:val="005D2D8B"/>
    <w:rsid w:val="005D31A8"/>
    <w:rsid w:val="005D3E06"/>
    <w:rsid w:val="005D4A50"/>
    <w:rsid w:val="005D4C05"/>
    <w:rsid w:val="005D583B"/>
    <w:rsid w:val="005D58C2"/>
    <w:rsid w:val="005D5A1D"/>
    <w:rsid w:val="005D6059"/>
    <w:rsid w:val="005D6152"/>
    <w:rsid w:val="005D6266"/>
    <w:rsid w:val="005D62F4"/>
    <w:rsid w:val="005D636C"/>
    <w:rsid w:val="005D64F5"/>
    <w:rsid w:val="005D66D2"/>
    <w:rsid w:val="005D689A"/>
    <w:rsid w:val="005D741E"/>
    <w:rsid w:val="005D751F"/>
    <w:rsid w:val="005D760B"/>
    <w:rsid w:val="005D7875"/>
    <w:rsid w:val="005D7F58"/>
    <w:rsid w:val="005E0C43"/>
    <w:rsid w:val="005E0E5B"/>
    <w:rsid w:val="005E0F7A"/>
    <w:rsid w:val="005E16AD"/>
    <w:rsid w:val="005E1B81"/>
    <w:rsid w:val="005E1DA9"/>
    <w:rsid w:val="005E22AE"/>
    <w:rsid w:val="005E22F1"/>
    <w:rsid w:val="005E28BC"/>
    <w:rsid w:val="005E2B59"/>
    <w:rsid w:val="005E31D2"/>
    <w:rsid w:val="005E32D4"/>
    <w:rsid w:val="005E37D3"/>
    <w:rsid w:val="005E3DED"/>
    <w:rsid w:val="005E40A3"/>
    <w:rsid w:val="005E447E"/>
    <w:rsid w:val="005E4AA7"/>
    <w:rsid w:val="005E4BDC"/>
    <w:rsid w:val="005E4FD2"/>
    <w:rsid w:val="005E5841"/>
    <w:rsid w:val="005E6B8C"/>
    <w:rsid w:val="005E6DF2"/>
    <w:rsid w:val="005F00F2"/>
    <w:rsid w:val="005F053E"/>
    <w:rsid w:val="005F0EE8"/>
    <w:rsid w:val="005F187E"/>
    <w:rsid w:val="005F1AC1"/>
    <w:rsid w:val="005F2C78"/>
    <w:rsid w:val="005F2DD3"/>
    <w:rsid w:val="005F36F7"/>
    <w:rsid w:val="005F3EF8"/>
    <w:rsid w:val="005F4351"/>
    <w:rsid w:val="005F4615"/>
    <w:rsid w:val="005F4BA6"/>
    <w:rsid w:val="005F4F7D"/>
    <w:rsid w:val="005F5699"/>
    <w:rsid w:val="005F5906"/>
    <w:rsid w:val="005F5CC5"/>
    <w:rsid w:val="005F6D64"/>
    <w:rsid w:val="005F6D80"/>
    <w:rsid w:val="005F7F2F"/>
    <w:rsid w:val="006002CE"/>
    <w:rsid w:val="006002F5"/>
    <w:rsid w:val="00600355"/>
    <w:rsid w:val="006005EA"/>
    <w:rsid w:val="006008EE"/>
    <w:rsid w:val="00600A24"/>
    <w:rsid w:val="00601947"/>
    <w:rsid w:val="00602808"/>
    <w:rsid w:val="00603191"/>
    <w:rsid w:val="00603329"/>
    <w:rsid w:val="00603389"/>
    <w:rsid w:val="0060360A"/>
    <w:rsid w:val="00603AF1"/>
    <w:rsid w:val="00604656"/>
    <w:rsid w:val="00604816"/>
    <w:rsid w:val="00604ADB"/>
    <w:rsid w:val="00605803"/>
    <w:rsid w:val="00605B8D"/>
    <w:rsid w:val="00605DEE"/>
    <w:rsid w:val="00605E6F"/>
    <w:rsid w:val="00606B03"/>
    <w:rsid w:val="00606EAC"/>
    <w:rsid w:val="00607731"/>
    <w:rsid w:val="006079F4"/>
    <w:rsid w:val="00610AD5"/>
    <w:rsid w:val="00610F9C"/>
    <w:rsid w:val="00612501"/>
    <w:rsid w:val="00612737"/>
    <w:rsid w:val="006128FB"/>
    <w:rsid w:val="00613C0F"/>
    <w:rsid w:val="00613CD2"/>
    <w:rsid w:val="00614104"/>
    <w:rsid w:val="0061431D"/>
    <w:rsid w:val="0061434A"/>
    <w:rsid w:val="006147C3"/>
    <w:rsid w:val="0061495F"/>
    <w:rsid w:val="006159C9"/>
    <w:rsid w:val="00616379"/>
    <w:rsid w:val="00616BFA"/>
    <w:rsid w:val="00617627"/>
    <w:rsid w:val="006176E4"/>
    <w:rsid w:val="00617857"/>
    <w:rsid w:val="00617C0A"/>
    <w:rsid w:val="00620906"/>
    <w:rsid w:val="00621152"/>
    <w:rsid w:val="00621610"/>
    <w:rsid w:val="00621859"/>
    <w:rsid w:val="00621E83"/>
    <w:rsid w:val="00622146"/>
    <w:rsid w:val="00622225"/>
    <w:rsid w:val="00622392"/>
    <w:rsid w:val="00622A43"/>
    <w:rsid w:val="00622A90"/>
    <w:rsid w:val="00622F5F"/>
    <w:rsid w:val="00623029"/>
    <w:rsid w:val="00623A61"/>
    <w:rsid w:val="006241C5"/>
    <w:rsid w:val="00624E41"/>
    <w:rsid w:val="0062543D"/>
    <w:rsid w:val="00625496"/>
    <w:rsid w:val="006262FF"/>
    <w:rsid w:val="0062677F"/>
    <w:rsid w:val="006267A2"/>
    <w:rsid w:val="006270F5"/>
    <w:rsid w:val="006271BA"/>
    <w:rsid w:val="00627A3F"/>
    <w:rsid w:val="00627F2C"/>
    <w:rsid w:val="006308F3"/>
    <w:rsid w:val="00630933"/>
    <w:rsid w:val="00630E5A"/>
    <w:rsid w:val="00630EA0"/>
    <w:rsid w:val="00630ED6"/>
    <w:rsid w:val="0063113B"/>
    <w:rsid w:val="006320FF"/>
    <w:rsid w:val="00632801"/>
    <w:rsid w:val="00632897"/>
    <w:rsid w:val="00632A33"/>
    <w:rsid w:val="00633637"/>
    <w:rsid w:val="00633ABF"/>
    <w:rsid w:val="006349D3"/>
    <w:rsid w:val="00634C09"/>
    <w:rsid w:val="006351F9"/>
    <w:rsid w:val="006351FE"/>
    <w:rsid w:val="006358C6"/>
    <w:rsid w:val="00635A39"/>
    <w:rsid w:val="006361C1"/>
    <w:rsid w:val="006364E1"/>
    <w:rsid w:val="006365C1"/>
    <w:rsid w:val="006368FB"/>
    <w:rsid w:val="006371B2"/>
    <w:rsid w:val="0064017E"/>
    <w:rsid w:val="00640CFD"/>
    <w:rsid w:val="00641204"/>
    <w:rsid w:val="00641268"/>
    <w:rsid w:val="00641B9F"/>
    <w:rsid w:val="00641ED8"/>
    <w:rsid w:val="00641F97"/>
    <w:rsid w:val="0064262B"/>
    <w:rsid w:val="006430A5"/>
    <w:rsid w:val="00644062"/>
    <w:rsid w:val="006442A9"/>
    <w:rsid w:val="0064433F"/>
    <w:rsid w:val="00644425"/>
    <w:rsid w:val="0064451D"/>
    <w:rsid w:val="006449EB"/>
    <w:rsid w:val="00644E5D"/>
    <w:rsid w:val="00644ECD"/>
    <w:rsid w:val="0064537C"/>
    <w:rsid w:val="006457B0"/>
    <w:rsid w:val="00645825"/>
    <w:rsid w:val="00645C0A"/>
    <w:rsid w:val="006462CE"/>
    <w:rsid w:val="0064687B"/>
    <w:rsid w:val="0064710D"/>
    <w:rsid w:val="00647163"/>
    <w:rsid w:val="00647ADE"/>
    <w:rsid w:val="00650512"/>
    <w:rsid w:val="00650812"/>
    <w:rsid w:val="00650D2A"/>
    <w:rsid w:val="006512EB"/>
    <w:rsid w:val="00651488"/>
    <w:rsid w:val="0065156D"/>
    <w:rsid w:val="00651878"/>
    <w:rsid w:val="006519BB"/>
    <w:rsid w:val="00651B26"/>
    <w:rsid w:val="00651EC7"/>
    <w:rsid w:val="00651EED"/>
    <w:rsid w:val="00652525"/>
    <w:rsid w:val="00653368"/>
    <w:rsid w:val="00653524"/>
    <w:rsid w:val="006547E6"/>
    <w:rsid w:val="00654DA9"/>
    <w:rsid w:val="0065527D"/>
    <w:rsid w:val="00655DAE"/>
    <w:rsid w:val="00655E97"/>
    <w:rsid w:val="00656588"/>
    <w:rsid w:val="0065665D"/>
    <w:rsid w:val="00656DF3"/>
    <w:rsid w:val="00657FAB"/>
    <w:rsid w:val="006602F9"/>
    <w:rsid w:val="006606D2"/>
    <w:rsid w:val="00660E17"/>
    <w:rsid w:val="00660FB1"/>
    <w:rsid w:val="0066120D"/>
    <w:rsid w:val="006614F8"/>
    <w:rsid w:val="00661591"/>
    <w:rsid w:val="00661D4B"/>
    <w:rsid w:val="0066262E"/>
    <w:rsid w:val="006626D0"/>
    <w:rsid w:val="006628D2"/>
    <w:rsid w:val="006634E5"/>
    <w:rsid w:val="00663553"/>
    <w:rsid w:val="00663855"/>
    <w:rsid w:val="00663876"/>
    <w:rsid w:val="00663D14"/>
    <w:rsid w:val="00663DC9"/>
    <w:rsid w:val="00663E99"/>
    <w:rsid w:val="00664B8F"/>
    <w:rsid w:val="00664BE3"/>
    <w:rsid w:val="006651AB"/>
    <w:rsid w:val="006651BE"/>
    <w:rsid w:val="00665611"/>
    <w:rsid w:val="0066599D"/>
    <w:rsid w:val="00667A2E"/>
    <w:rsid w:val="00667E8A"/>
    <w:rsid w:val="0067048E"/>
    <w:rsid w:val="00670534"/>
    <w:rsid w:val="00670849"/>
    <w:rsid w:val="00670D75"/>
    <w:rsid w:val="00670E68"/>
    <w:rsid w:val="006713ED"/>
    <w:rsid w:val="0067188E"/>
    <w:rsid w:val="00671960"/>
    <w:rsid w:val="00672154"/>
    <w:rsid w:val="00672243"/>
    <w:rsid w:val="0067234F"/>
    <w:rsid w:val="006723A3"/>
    <w:rsid w:val="00672A1E"/>
    <w:rsid w:val="00673406"/>
    <w:rsid w:val="00673FF8"/>
    <w:rsid w:val="0067420C"/>
    <w:rsid w:val="00674679"/>
    <w:rsid w:val="006746A5"/>
    <w:rsid w:val="00674AD9"/>
    <w:rsid w:val="00675588"/>
    <w:rsid w:val="006759E2"/>
    <w:rsid w:val="00675D11"/>
    <w:rsid w:val="00675E23"/>
    <w:rsid w:val="006765AC"/>
    <w:rsid w:val="00676871"/>
    <w:rsid w:val="0067707D"/>
    <w:rsid w:val="006774BC"/>
    <w:rsid w:val="006776B2"/>
    <w:rsid w:val="006776D2"/>
    <w:rsid w:val="00677781"/>
    <w:rsid w:val="00677D14"/>
    <w:rsid w:val="00677F13"/>
    <w:rsid w:val="0068023D"/>
    <w:rsid w:val="00680997"/>
    <w:rsid w:val="00680CE3"/>
    <w:rsid w:val="006811F7"/>
    <w:rsid w:val="00681279"/>
    <w:rsid w:val="0068128C"/>
    <w:rsid w:val="00682388"/>
    <w:rsid w:val="006825F4"/>
    <w:rsid w:val="006830B3"/>
    <w:rsid w:val="006832C8"/>
    <w:rsid w:val="00683310"/>
    <w:rsid w:val="006837CF"/>
    <w:rsid w:val="00683A6E"/>
    <w:rsid w:val="00683B32"/>
    <w:rsid w:val="006845EE"/>
    <w:rsid w:val="00684F9D"/>
    <w:rsid w:val="006851C9"/>
    <w:rsid w:val="00685A16"/>
    <w:rsid w:val="00685FB7"/>
    <w:rsid w:val="006863F4"/>
    <w:rsid w:val="00686749"/>
    <w:rsid w:val="00686A37"/>
    <w:rsid w:val="00686BB2"/>
    <w:rsid w:val="00686D6E"/>
    <w:rsid w:val="00686E54"/>
    <w:rsid w:val="006872C2"/>
    <w:rsid w:val="00687CF6"/>
    <w:rsid w:val="00690858"/>
    <w:rsid w:val="006908CD"/>
    <w:rsid w:val="00690F83"/>
    <w:rsid w:val="0069147B"/>
    <w:rsid w:val="006917B2"/>
    <w:rsid w:val="00691F53"/>
    <w:rsid w:val="00692196"/>
    <w:rsid w:val="00692756"/>
    <w:rsid w:val="00693676"/>
    <w:rsid w:val="006939F3"/>
    <w:rsid w:val="00693B6F"/>
    <w:rsid w:val="006941D0"/>
    <w:rsid w:val="006942C4"/>
    <w:rsid w:val="006943AC"/>
    <w:rsid w:val="00694507"/>
    <w:rsid w:val="00694DE1"/>
    <w:rsid w:val="0069580F"/>
    <w:rsid w:val="006958B3"/>
    <w:rsid w:val="00695915"/>
    <w:rsid w:val="00696487"/>
    <w:rsid w:val="006965E9"/>
    <w:rsid w:val="00697165"/>
    <w:rsid w:val="006974E4"/>
    <w:rsid w:val="00697CA4"/>
    <w:rsid w:val="00697CB8"/>
    <w:rsid w:val="00697FB8"/>
    <w:rsid w:val="006A1183"/>
    <w:rsid w:val="006A171F"/>
    <w:rsid w:val="006A2302"/>
    <w:rsid w:val="006A2CD1"/>
    <w:rsid w:val="006A2D61"/>
    <w:rsid w:val="006A3120"/>
    <w:rsid w:val="006A3296"/>
    <w:rsid w:val="006A3AB5"/>
    <w:rsid w:val="006A3E7E"/>
    <w:rsid w:val="006A3EC1"/>
    <w:rsid w:val="006A4404"/>
    <w:rsid w:val="006A4493"/>
    <w:rsid w:val="006A4585"/>
    <w:rsid w:val="006A4A38"/>
    <w:rsid w:val="006A4A9A"/>
    <w:rsid w:val="006A56B1"/>
    <w:rsid w:val="006A5C3D"/>
    <w:rsid w:val="006A675D"/>
    <w:rsid w:val="006A6BE4"/>
    <w:rsid w:val="006A7222"/>
    <w:rsid w:val="006A7305"/>
    <w:rsid w:val="006A7633"/>
    <w:rsid w:val="006A765C"/>
    <w:rsid w:val="006A7954"/>
    <w:rsid w:val="006B00C1"/>
    <w:rsid w:val="006B0AB5"/>
    <w:rsid w:val="006B1347"/>
    <w:rsid w:val="006B13B7"/>
    <w:rsid w:val="006B17BA"/>
    <w:rsid w:val="006B18CA"/>
    <w:rsid w:val="006B190C"/>
    <w:rsid w:val="006B209F"/>
    <w:rsid w:val="006B22E6"/>
    <w:rsid w:val="006B2709"/>
    <w:rsid w:val="006B276C"/>
    <w:rsid w:val="006B2AF6"/>
    <w:rsid w:val="006B2B2F"/>
    <w:rsid w:val="006B2BCF"/>
    <w:rsid w:val="006B33EA"/>
    <w:rsid w:val="006B41E0"/>
    <w:rsid w:val="006B5138"/>
    <w:rsid w:val="006B54F6"/>
    <w:rsid w:val="006B57C9"/>
    <w:rsid w:val="006B591D"/>
    <w:rsid w:val="006B59F8"/>
    <w:rsid w:val="006B5B77"/>
    <w:rsid w:val="006B62F4"/>
    <w:rsid w:val="006B63CB"/>
    <w:rsid w:val="006B7BAF"/>
    <w:rsid w:val="006B7D99"/>
    <w:rsid w:val="006B7EC0"/>
    <w:rsid w:val="006B7FDE"/>
    <w:rsid w:val="006B7FE5"/>
    <w:rsid w:val="006C0617"/>
    <w:rsid w:val="006C08EA"/>
    <w:rsid w:val="006C09FA"/>
    <w:rsid w:val="006C0B1B"/>
    <w:rsid w:val="006C0FF6"/>
    <w:rsid w:val="006C1329"/>
    <w:rsid w:val="006C13E2"/>
    <w:rsid w:val="006C1466"/>
    <w:rsid w:val="006C1950"/>
    <w:rsid w:val="006C1FC1"/>
    <w:rsid w:val="006C209A"/>
    <w:rsid w:val="006C239D"/>
    <w:rsid w:val="006C24C9"/>
    <w:rsid w:val="006C24E4"/>
    <w:rsid w:val="006C26DA"/>
    <w:rsid w:val="006C2A2B"/>
    <w:rsid w:val="006C2B8F"/>
    <w:rsid w:val="006C3169"/>
    <w:rsid w:val="006C3973"/>
    <w:rsid w:val="006C3BDC"/>
    <w:rsid w:val="006C44D9"/>
    <w:rsid w:val="006C48E7"/>
    <w:rsid w:val="006C528D"/>
    <w:rsid w:val="006C5AD1"/>
    <w:rsid w:val="006C5E1C"/>
    <w:rsid w:val="006C5F45"/>
    <w:rsid w:val="006C615B"/>
    <w:rsid w:val="006C625A"/>
    <w:rsid w:val="006C6272"/>
    <w:rsid w:val="006C629B"/>
    <w:rsid w:val="006C672D"/>
    <w:rsid w:val="006C6954"/>
    <w:rsid w:val="006C6E99"/>
    <w:rsid w:val="006C7312"/>
    <w:rsid w:val="006C7669"/>
    <w:rsid w:val="006C79C0"/>
    <w:rsid w:val="006C7CBF"/>
    <w:rsid w:val="006D04D6"/>
    <w:rsid w:val="006D0CC2"/>
    <w:rsid w:val="006D11D6"/>
    <w:rsid w:val="006D12B9"/>
    <w:rsid w:val="006D17A3"/>
    <w:rsid w:val="006D1996"/>
    <w:rsid w:val="006D2294"/>
    <w:rsid w:val="006D25F7"/>
    <w:rsid w:val="006D3191"/>
    <w:rsid w:val="006D330F"/>
    <w:rsid w:val="006D4823"/>
    <w:rsid w:val="006D4855"/>
    <w:rsid w:val="006D5927"/>
    <w:rsid w:val="006D59C0"/>
    <w:rsid w:val="006D5FD1"/>
    <w:rsid w:val="006D64F2"/>
    <w:rsid w:val="006D6CBF"/>
    <w:rsid w:val="006D6CC0"/>
    <w:rsid w:val="006D7554"/>
    <w:rsid w:val="006D7B8C"/>
    <w:rsid w:val="006E03AE"/>
    <w:rsid w:val="006E048B"/>
    <w:rsid w:val="006E0762"/>
    <w:rsid w:val="006E0F79"/>
    <w:rsid w:val="006E0FA6"/>
    <w:rsid w:val="006E1087"/>
    <w:rsid w:val="006E1320"/>
    <w:rsid w:val="006E1718"/>
    <w:rsid w:val="006E17FB"/>
    <w:rsid w:val="006E1E76"/>
    <w:rsid w:val="006E32CD"/>
    <w:rsid w:val="006E35FA"/>
    <w:rsid w:val="006E3603"/>
    <w:rsid w:val="006E42FB"/>
    <w:rsid w:val="006E4981"/>
    <w:rsid w:val="006E501C"/>
    <w:rsid w:val="006E573E"/>
    <w:rsid w:val="006E5785"/>
    <w:rsid w:val="006E5C0E"/>
    <w:rsid w:val="006E5C61"/>
    <w:rsid w:val="006E64D4"/>
    <w:rsid w:val="006E69D5"/>
    <w:rsid w:val="006E6CE9"/>
    <w:rsid w:val="006E6E56"/>
    <w:rsid w:val="006E7331"/>
    <w:rsid w:val="006E7AEA"/>
    <w:rsid w:val="006E7BE8"/>
    <w:rsid w:val="006E7C99"/>
    <w:rsid w:val="006E7D75"/>
    <w:rsid w:val="006F08E1"/>
    <w:rsid w:val="006F0D2A"/>
    <w:rsid w:val="006F1855"/>
    <w:rsid w:val="006F1D16"/>
    <w:rsid w:val="006F2877"/>
    <w:rsid w:val="006F29C2"/>
    <w:rsid w:val="006F2C85"/>
    <w:rsid w:val="006F2DD5"/>
    <w:rsid w:val="006F301A"/>
    <w:rsid w:val="006F31BE"/>
    <w:rsid w:val="006F367B"/>
    <w:rsid w:val="006F3B62"/>
    <w:rsid w:val="006F3BA5"/>
    <w:rsid w:val="006F3CEB"/>
    <w:rsid w:val="006F3D39"/>
    <w:rsid w:val="006F44FA"/>
    <w:rsid w:val="006F46E9"/>
    <w:rsid w:val="006F48BF"/>
    <w:rsid w:val="006F5009"/>
    <w:rsid w:val="006F5369"/>
    <w:rsid w:val="006F5448"/>
    <w:rsid w:val="006F56DE"/>
    <w:rsid w:val="006F5847"/>
    <w:rsid w:val="006F58E8"/>
    <w:rsid w:val="006F5CD1"/>
    <w:rsid w:val="006F6212"/>
    <w:rsid w:val="006F6237"/>
    <w:rsid w:val="006F639A"/>
    <w:rsid w:val="006F6C74"/>
    <w:rsid w:val="006F6EC9"/>
    <w:rsid w:val="006F6F4B"/>
    <w:rsid w:val="006F6FB2"/>
    <w:rsid w:val="006F7067"/>
    <w:rsid w:val="006F728F"/>
    <w:rsid w:val="006F799E"/>
    <w:rsid w:val="0070032B"/>
    <w:rsid w:val="00700411"/>
    <w:rsid w:val="00700474"/>
    <w:rsid w:val="00700589"/>
    <w:rsid w:val="007017DF"/>
    <w:rsid w:val="00701D30"/>
    <w:rsid w:val="00701E08"/>
    <w:rsid w:val="00702175"/>
    <w:rsid w:val="007024CB"/>
    <w:rsid w:val="0070257B"/>
    <w:rsid w:val="00702812"/>
    <w:rsid w:val="00702AD1"/>
    <w:rsid w:val="00703190"/>
    <w:rsid w:val="00703322"/>
    <w:rsid w:val="007033E1"/>
    <w:rsid w:val="00703BCA"/>
    <w:rsid w:val="00703F8B"/>
    <w:rsid w:val="007040B0"/>
    <w:rsid w:val="00704234"/>
    <w:rsid w:val="00704C83"/>
    <w:rsid w:val="00704D3A"/>
    <w:rsid w:val="00705268"/>
    <w:rsid w:val="00705A13"/>
    <w:rsid w:val="00706198"/>
    <w:rsid w:val="007062DC"/>
    <w:rsid w:val="00706423"/>
    <w:rsid w:val="007065C7"/>
    <w:rsid w:val="00706827"/>
    <w:rsid w:val="00706A8A"/>
    <w:rsid w:val="007074D2"/>
    <w:rsid w:val="00710761"/>
    <w:rsid w:val="00710937"/>
    <w:rsid w:val="00710C35"/>
    <w:rsid w:val="00710D51"/>
    <w:rsid w:val="00711724"/>
    <w:rsid w:val="007118E4"/>
    <w:rsid w:val="0071196E"/>
    <w:rsid w:val="00711A79"/>
    <w:rsid w:val="00711E0E"/>
    <w:rsid w:val="00712721"/>
    <w:rsid w:val="00712BEC"/>
    <w:rsid w:val="00713036"/>
    <w:rsid w:val="007130F7"/>
    <w:rsid w:val="00714A81"/>
    <w:rsid w:val="007152FB"/>
    <w:rsid w:val="00715A8A"/>
    <w:rsid w:val="00716259"/>
    <w:rsid w:val="0071656D"/>
    <w:rsid w:val="0071665A"/>
    <w:rsid w:val="00716B73"/>
    <w:rsid w:val="00716BDD"/>
    <w:rsid w:val="00716CFD"/>
    <w:rsid w:val="00716F8F"/>
    <w:rsid w:val="00717CAC"/>
    <w:rsid w:val="007200F3"/>
    <w:rsid w:val="0072060A"/>
    <w:rsid w:val="0072063D"/>
    <w:rsid w:val="007206D0"/>
    <w:rsid w:val="00720BD2"/>
    <w:rsid w:val="00720C88"/>
    <w:rsid w:val="00721701"/>
    <w:rsid w:val="00721731"/>
    <w:rsid w:val="0072194D"/>
    <w:rsid w:val="00721B3F"/>
    <w:rsid w:val="00721E53"/>
    <w:rsid w:val="007220C6"/>
    <w:rsid w:val="007222CC"/>
    <w:rsid w:val="00722370"/>
    <w:rsid w:val="007236B7"/>
    <w:rsid w:val="00723B92"/>
    <w:rsid w:val="007240DF"/>
    <w:rsid w:val="007253CB"/>
    <w:rsid w:val="00725841"/>
    <w:rsid w:val="00725903"/>
    <w:rsid w:val="00725965"/>
    <w:rsid w:val="007260FE"/>
    <w:rsid w:val="00726840"/>
    <w:rsid w:val="00726D90"/>
    <w:rsid w:val="007274D6"/>
    <w:rsid w:val="007275A0"/>
    <w:rsid w:val="007278C5"/>
    <w:rsid w:val="007279DF"/>
    <w:rsid w:val="00727E0F"/>
    <w:rsid w:val="00727E2D"/>
    <w:rsid w:val="00727F06"/>
    <w:rsid w:val="0073008E"/>
    <w:rsid w:val="00730185"/>
    <w:rsid w:val="0073085D"/>
    <w:rsid w:val="00730C63"/>
    <w:rsid w:val="00730CF8"/>
    <w:rsid w:val="00730E27"/>
    <w:rsid w:val="00730F88"/>
    <w:rsid w:val="0073134F"/>
    <w:rsid w:val="00731B25"/>
    <w:rsid w:val="00731CA3"/>
    <w:rsid w:val="00732478"/>
    <w:rsid w:val="00732507"/>
    <w:rsid w:val="007327BA"/>
    <w:rsid w:val="00732DD1"/>
    <w:rsid w:val="00732EDD"/>
    <w:rsid w:val="00732F0A"/>
    <w:rsid w:val="00733549"/>
    <w:rsid w:val="007335BD"/>
    <w:rsid w:val="007337FB"/>
    <w:rsid w:val="0073392B"/>
    <w:rsid w:val="00733A28"/>
    <w:rsid w:val="00733E99"/>
    <w:rsid w:val="00734265"/>
    <w:rsid w:val="007346E8"/>
    <w:rsid w:val="00734AA2"/>
    <w:rsid w:val="00734ADD"/>
    <w:rsid w:val="00734C75"/>
    <w:rsid w:val="0073515A"/>
    <w:rsid w:val="00735826"/>
    <w:rsid w:val="0073594D"/>
    <w:rsid w:val="007359B7"/>
    <w:rsid w:val="00736DA7"/>
    <w:rsid w:val="00736EAE"/>
    <w:rsid w:val="00737267"/>
    <w:rsid w:val="00740034"/>
    <w:rsid w:val="007404B3"/>
    <w:rsid w:val="007407D7"/>
    <w:rsid w:val="00741646"/>
    <w:rsid w:val="0074182E"/>
    <w:rsid w:val="00741864"/>
    <w:rsid w:val="0074192B"/>
    <w:rsid w:val="0074195C"/>
    <w:rsid w:val="00741A36"/>
    <w:rsid w:val="00742211"/>
    <w:rsid w:val="007427C9"/>
    <w:rsid w:val="00742D53"/>
    <w:rsid w:val="0074303C"/>
    <w:rsid w:val="007432CC"/>
    <w:rsid w:val="007434F3"/>
    <w:rsid w:val="00743769"/>
    <w:rsid w:val="00743826"/>
    <w:rsid w:val="00744969"/>
    <w:rsid w:val="0074558B"/>
    <w:rsid w:val="007455F8"/>
    <w:rsid w:val="00746156"/>
    <w:rsid w:val="0074621E"/>
    <w:rsid w:val="0074652A"/>
    <w:rsid w:val="00746AC8"/>
    <w:rsid w:val="00746B24"/>
    <w:rsid w:val="00746F04"/>
    <w:rsid w:val="0074713C"/>
    <w:rsid w:val="0074762D"/>
    <w:rsid w:val="00747B0B"/>
    <w:rsid w:val="0075026F"/>
    <w:rsid w:val="00750386"/>
    <w:rsid w:val="00750A0E"/>
    <w:rsid w:val="00750EC6"/>
    <w:rsid w:val="0075125C"/>
    <w:rsid w:val="00751834"/>
    <w:rsid w:val="0075186C"/>
    <w:rsid w:val="00751B5A"/>
    <w:rsid w:val="00751D20"/>
    <w:rsid w:val="00753635"/>
    <w:rsid w:val="00753C5E"/>
    <w:rsid w:val="00753CC4"/>
    <w:rsid w:val="00753FE6"/>
    <w:rsid w:val="00754DD4"/>
    <w:rsid w:val="00754E73"/>
    <w:rsid w:val="00755324"/>
    <w:rsid w:val="007556FB"/>
    <w:rsid w:val="00755C02"/>
    <w:rsid w:val="00755EF3"/>
    <w:rsid w:val="00757399"/>
    <w:rsid w:val="00760017"/>
    <w:rsid w:val="0076079F"/>
    <w:rsid w:val="00760F0A"/>
    <w:rsid w:val="007610F6"/>
    <w:rsid w:val="0076117A"/>
    <w:rsid w:val="00761234"/>
    <w:rsid w:val="0076149A"/>
    <w:rsid w:val="00761CEB"/>
    <w:rsid w:val="00761F8E"/>
    <w:rsid w:val="0076236F"/>
    <w:rsid w:val="00762AEC"/>
    <w:rsid w:val="00763275"/>
    <w:rsid w:val="00764B47"/>
    <w:rsid w:val="0076625D"/>
    <w:rsid w:val="00766BE9"/>
    <w:rsid w:val="0076725C"/>
    <w:rsid w:val="007675CA"/>
    <w:rsid w:val="007703C0"/>
    <w:rsid w:val="00770677"/>
    <w:rsid w:val="007707CB"/>
    <w:rsid w:val="00770BF1"/>
    <w:rsid w:val="00771442"/>
    <w:rsid w:val="00771541"/>
    <w:rsid w:val="007716A2"/>
    <w:rsid w:val="00771845"/>
    <w:rsid w:val="00771A8C"/>
    <w:rsid w:val="00772960"/>
    <w:rsid w:val="00772985"/>
    <w:rsid w:val="00772AC7"/>
    <w:rsid w:val="00772DB3"/>
    <w:rsid w:val="007739E8"/>
    <w:rsid w:val="00774270"/>
    <w:rsid w:val="0077441B"/>
    <w:rsid w:val="007744C9"/>
    <w:rsid w:val="00775154"/>
    <w:rsid w:val="00775763"/>
    <w:rsid w:val="00775976"/>
    <w:rsid w:val="00775D29"/>
    <w:rsid w:val="007763F0"/>
    <w:rsid w:val="0077647E"/>
    <w:rsid w:val="007764B9"/>
    <w:rsid w:val="00776FED"/>
    <w:rsid w:val="00777044"/>
    <w:rsid w:val="00777436"/>
    <w:rsid w:val="007774D7"/>
    <w:rsid w:val="00777DDF"/>
    <w:rsid w:val="00781A2B"/>
    <w:rsid w:val="00781E0B"/>
    <w:rsid w:val="007824ED"/>
    <w:rsid w:val="00782B79"/>
    <w:rsid w:val="0078399F"/>
    <w:rsid w:val="007842D6"/>
    <w:rsid w:val="007844AA"/>
    <w:rsid w:val="00784B5D"/>
    <w:rsid w:val="00784C3E"/>
    <w:rsid w:val="007851EC"/>
    <w:rsid w:val="0078567E"/>
    <w:rsid w:val="00785884"/>
    <w:rsid w:val="00785C3A"/>
    <w:rsid w:val="00786545"/>
    <w:rsid w:val="00787001"/>
    <w:rsid w:val="0078724A"/>
    <w:rsid w:val="007874BB"/>
    <w:rsid w:val="00787988"/>
    <w:rsid w:val="00787C85"/>
    <w:rsid w:val="00787FCA"/>
    <w:rsid w:val="007900DD"/>
    <w:rsid w:val="00790936"/>
    <w:rsid w:val="00790B49"/>
    <w:rsid w:val="00790D8F"/>
    <w:rsid w:val="00791578"/>
    <w:rsid w:val="00791DE1"/>
    <w:rsid w:val="007932F8"/>
    <w:rsid w:val="00793834"/>
    <w:rsid w:val="00793E9E"/>
    <w:rsid w:val="007941D1"/>
    <w:rsid w:val="007944F6"/>
    <w:rsid w:val="00794577"/>
    <w:rsid w:val="007945C6"/>
    <w:rsid w:val="007947FE"/>
    <w:rsid w:val="007949FA"/>
    <w:rsid w:val="007958F1"/>
    <w:rsid w:val="0079696B"/>
    <w:rsid w:val="007970E8"/>
    <w:rsid w:val="00797EAA"/>
    <w:rsid w:val="007A1005"/>
    <w:rsid w:val="007A172E"/>
    <w:rsid w:val="007A1C66"/>
    <w:rsid w:val="007A1D83"/>
    <w:rsid w:val="007A1DE5"/>
    <w:rsid w:val="007A1ECF"/>
    <w:rsid w:val="007A2009"/>
    <w:rsid w:val="007A2230"/>
    <w:rsid w:val="007A267A"/>
    <w:rsid w:val="007A3993"/>
    <w:rsid w:val="007A3C29"/>
    <w:rsid w:val="007A3FDE"/>
    <w:rsid w:val="007A50C3"/>
    <w:rsid w:val="007A55C4"/>
    <w:rsid w:val="007A5A83"/>
    <w:rsid w:val="007A5C11"/>
    <w:rsid w:val="007A5C35"/>
    <w:rsid w:val="007A6187"/>
    <w:rsid w:val="007A66EE"/>
    <w:rsid w:val="007B040A"/>
    <w:rsid w:val="007B0C48"/>
    <w:rsid w:val="007B169C"/>
    <w:rsid w:val="007B284C"/>
    <w:rsid w:val="007B2BAC"/>
    <w:rsid w:val="007B2DE4"/>
    <w:rsid w:val="007B2F57"/>
    <w:rsid w:val="007B3B69"/>
    <w:rsid w:val="007B3C09"/>
    <w:rsid w:val="007B4C43"/>
    <w:rsid w:val="007B5D2D"/>
    <w:rsid w:val="007B5FD5"/>
    <w:rsid w:val="007B6E02"/>
    <w:rsid w:val="007B72E5"/>
    <w:rsid w:val="007B76DE"/>
    <w:rsid w:val="007B7966"/>
    <w:rsid w:val="007B79AB"/>
    <w:rsid w:val="007C0189"/>
    <w:rsid w:val="007C0464"/>
    <w:rsid w:val="007C04B1"/>
    <w:rsid w:val="007C059C"/>
    <w:rsid w:val="007C07B2"/>
    <w:rsid w:val="007C103F"/>
    <w:rsid w:val="007C17F5"/>
    <w:rsid w:val="007C1927"/>
    <w:rsid w:val="007C19D0"/>
    <w:rsid w:val="007C1A40"/>
    <w:rsid w:val="007C1F3E"/>
    <w:rsid w:val="007C1F45"/>
    <w:rsid w:val="007C238C"/>
    <w:rsid w:val="007C2699"/>
    <w:rsid w:val="007C2745"/>
    <w:rsid w:val="007C2966"/>
    <w:rsid w:val="007C3A41"/>
    <w:rsid w:val="007C42F5"/>
    <w:rsid w:val="007C48E2"/>
    <w:rsid w:val="007C49D1"/>
    <w:rsid w:val="007C4E14"/>
    <w:rsid w:val="007C4E83"/>
    <w:rsid w:val="007C504C"/>
    <w:rsid w:val="007C5316"/>
    <w:rsid w:val="007C6523"/>
    <w:rsid w:val="007C6CF5"/>
    <w:rsid w:val="007C6E46"/>
    <w:rsid w:val="007C7A31"/>
    <w:rsid w:val="007C7D36"/>
    <w:rsid w:val="007C7F58"/>
    <w:rsid w:val="007D0222"/>
    <w:rsid w:val="007D0287"/>
    <w:rsid w:val="007D06E1"/>
    <w:rsid w:val="007D0875"/>
    <w:rsid w:val="007D1824"/>
    <w:rsid w:val="007D1D04"/>
    <w:rsid w:val="007D3112"/>
    <w:rsid w:val="007D395D"/>
    <w:rsid w:val="007D3D21"/>
    <w:rsid w:val="007D4288"/>
    <w:rsid w:val="007D4395"/>
    <w:rsid w:val="007D488A"/>
    <w:rsid w:val="007D4954"/>
    <w:rsid w:val="007D4BA9"/>
    <w:rsid w:val="007D5850"/>
    <w:rsid w:val="007D5D12"/>
    <w:rsid w:val="007D5DBF"/>
    <w:rsid w:val="007D6A97"/>
    <w:rsid w:val="007D6B9C"/>
    <w:rsid w:val="007D6ECA"/>
    <w:rsid w:val="007D6F2F"/>
    <w:rsid w:val="007D7899"/>
    <w:rsid w:val="007D79B1"/>
    <w:rsid w:val="007D7C1B"/>
    <w:rsid w:val="007D7E0B"/>
    <w:rsid w:val="007D7F32"/>
    <w:rsid w:val="007D7FC7"/>
    <w:rsid w:val="007E02C4"/>
    <w:rsid w:val="007E04F5"/>
    <w:rsid w:val="007E0565"/>
    <w:rsid w:val="007E0706"/>
    <w:rsid w:val="007E0F93"/>
    <w:rsid w:val="007E1423"/>
    <w:rsid w:val="007E16E4"/>
    <w:rsid w:val="007E16FC"/>
    <w:rsid w:val="007E1934"/>
    <w:rsid w:val="007E243E"/>
    <w:rsid w:val="007E2727"/>
    <w:rsid w:val="007E359B"/>
    <w:rsid w:val="007E3941"/>
    <w:rsid w:val="007E3CDC"/>
    <w:rsid w:val="007E3D3E"/>
    <w:rsid w:val="007E3EC9"/>
    <w:rsid w:val="007E44DB"/>
    <w:rsid w:val="007E4B5F"/>
    <w:rsid w:val="007E5654"/>
    <w:rsid w:val="007E56E5"/>
    <w:rsid w:val="007E571C"/>
    <w:rsid w:val="007E5A0B"/>
    <w:rsid w:val="007E5E08"/>
    <w:rsid w:val="007E63B8"/>
    <w:rsid w:val="007E65D0"/>
    <w:rsid w:val="007E70A1"/>
    <w:rsid w:val="007F0046"/>
    <w:rsid w:val="007F0363"/>
    <w:rsid w:val="007F0510"/>
    <w:rsid w:val="007F0688"/>
    <w:rsid w:val="007F0835"/>
    <w:rsid w:val="007F084C"/>
    <w:rsid w:val="007F1A33"/>
    <w:rsid w:val="007F2A24"/>
    <w:rsid w:val="007F2AA6"/>
    <w:rsid w:val="007F2F56"/>
    <w:rsid w:val="007F2FE9"/>
    <w:rsid w:val="007F30AE"/>
    <w:rsid w:val="007F318C"/>
    <w:rsid w:val="007F3349"/>
    <w:rsid w:val="007F3387"/>
    <w:rsid w:val="007F379F"/>
    <w:rsid w:val="007F39AD"/>
    <w:rsid w:val="007F3C6D"/>
    <w:rsid w:val="007F4A7F"/>
    <w:rsid w:val="007F543F"/>
    <w:rsid w:val="007F54BA"/>
    <w:rsid w:val="007F54BB"/>
    <w:rsid w:val="007F5B0C"/>
    <w:rsid w:val="007F5B81"/>
    <w:rsid w:val="007F64E5"/>
    <w:rsid w:val="007F6C04"/>
    <w:rsid w:val="007F756B"/>
    <w:rsid w:val="007F75D4"/>
    <w:rsid w:val="007F7659"/>
    <w:rsid w:val="007F7D87"/>
    <w:rsid w:val="007F7E90"/>
    <w:rsid w:val="0080007A"/>
    <w:rsid w:val="0080045A"/>
    <w:rsid w:val="00800E50"/>
    <w:rsid w:val="0080194E"/>
    <w:rsid w:val="00801A4F"/>
    <w:rsid w:val="00801DDC"/>
    <w:rsid w:val="00802913"/>
    <w:rsid w:val="00802C5F"/>
    <w:rsid w:val="008032B0"/>
    <w:rsid w:val="008032DE"/>
    <w:rsid w:val="0080333E"/>
    <w:rsid w:val="008036E1"/>
    <w:rsid w:val="008036F6"/>
    <w:rsid w:val="00803B2C"/>
    <w:rsid w:val="0080414E"/>
    <w:rsid w:val="00804470"/>
    <w:rsid w:val="00804676"/>
    <w:rsid w:val="008046D3"/>
    <w:rsid w:val="008047D8"/>
    <w:rsid w:val="00804FA4"/>
    <w:rsid w:val="008052DF"/>
    <w:rsid w:val="00805D0A"/>
    <w:rsid w:val="0080633D"/>
    <w:rsid w:val="00806423"/>
    <w:rsid w:val="0080657D"/>
    <w:rsid w:val="00806903"/>
    <w:rsid w:val="008074AC"/>
    <w:rsid w:val="00807804"/>
    <w:rsid w:val="00807DA7"/>
    <w:rsid w:val="00807EE3"/>
    <w:rsid w:val="00810797"/>
    <w:rsid w:val="00810966"/>
    <w:rsid w:val="00810A98"/>
    <w:rsid w:val="00810D79"/>
    <w:rsid w:val="008116F9"/>
    <w:rsid w:val="00811833"/>
    <w:rsid w:val="00811CE2"/>
    <w:rsid w:val="0081215C"/>
    <w:rsid w:val="00812173"/>
    <w:rsid w:val="008124B9"/>
    <w:rsid w:val="00812564"/>
    <w:rsid w:val="00812749"/>
    <w:rsid w:val="0081293E"/>
    <w:rsid w:val="00812C30"/>
    <w:rsid w:val="00812D9A"/>
    <w:rsid w:val="00813419"/>
    <w:rsid w:val="00813A27"/>
    <w:rsid w:val="008151D8"/>
    <w:rsid w:val="00815357"/>
    <w:rsid w:val="0081549B"/>
    <w:rsid w:val="00815F5D"/>
    <w:rsid w:val="008166FF"/>
    <w:rsid w:val="00816A78"/>
    <w:rsid w:val="008174FB"/>
    <w:rsid w:val="00817A9E"/>
    <w:rsid w:val="00817DA8"/>
    <w:rsid w:val="008200ED"/>
    <w:rsid w:val="008203E0"/>
    <w:rsid w:val="0082055A"/>
    <w:rsid w:val="00820584"/>
    <w:rsid w:val="0082081E"/>
    <w:rsid w:val="00820877"/>
    <w:rsid w:val="00820A97"/>
    <w:rsid w:val="00820AE0"/>
    <w:rsid w:val="00820E60"/>
    <w:rsid w:val="00821387"/>
    <w:rsid w:val="008215B2"/>
    <w:rsid w:val="00821ED8"/>
    <w:rsid w:val="00822089"/>
    <w:rsid w:val="00822195"/>
    <w:rsid w:val="008225CD"/>
    <w:rsid w:val="008234AC"/>
    <w:rsid w:val="00823CBA"/>
    <w:rsid w:val="008241F6"/>
    <w:rsid w:val="00824274"/>
    <w:rsid w:val="00824436"/>
    <w:rsid w:val="0082446D"/>
    <w:rsid w:val="00824A4F"/>
    <w:rsid w:val="00824E73"/>
    <w:rsid w:val="00825040"/>
    <w:rsid w:val="008251AC"/>
    <w:rsid w:val="008253B6"/>
    <w:rsid w:val="008255B6"/>
    <w:rsid w:val="00825784"/>
    <w:rsid w:val="00825794"/>
    <w:rsid w:val="0082582B"/>
    <w:rsid w:val="00825A36"/>
    <w:rsid w:val="00825B27"/>
    <w:rsid w:val="00825C63"/>
    <w:rsid w:val="00825ED5"/>
    <w:rsid w:val="0082618C"/>
    <w:rsid w:val="00826FAB"/>
    <w:rsid w:val="008270AF"/>
    <w:rsid w:val="00830000"/>
    <w:rsid w:val="0083023B"/>
    <w:rsid w:val="008305DA"/>
    <w:rsid w:val="008308C7"/>
    <w:rsid w:val="00830E2B"/>
    <w:rsid w:val="0083143D"/>
    <w:rsid w:val="00831B29"/>
    <w:rsid w:val="00831F5A"/>
    <w:rsid w:val="00832185"/>
    <w:rsid w:val="00832283"/>
    <w:rsid w:val="008322A1"/>
    <w:rsid w:val="008327D3"/>
    <w:rsid w:val="00832846"/>
    <w:rsid w:val="00832DFE"/>
    <w:rsid w:val="00833063"/>
    <w:rsid w:val="008337AD"/>
    <w:rsid w:val="008337D4"/>
    <w:rsid w:val="00833849"/>
    <w:rsid w:val="00833F37"/>
    <w:rsid w:val="00833F47"/>
    <w:rsid w:val="008348DC"/>
    <w:rsid w:val="00834935"/>
    <w:rsid w:val="008350C8"/>
    <w:rsid w:val="008352CD"/>
    <w:rsid w:val="008354B0"/>
    <w:rsid w:val="00835C03"/>
    <w:rsid w:val="00835D1D"/>
    <w:rsid w:val="00836387"/>
    <w:rsid w:val="008367E0"/>
    <w:rsid w:val="0083699F"/>
    <w:rsid w:val="00836CE8"/>
    <w:rsid w:val="00837201"/>
    <w:rsid w:val="008372FC"/>
    <w:rsid w:val="0083754D"/>
    <w:rsid w:val="00837905"/>
    <w:rsid w:val="008400AE"/>
    <w:rsid w:val="008404AF"/>
    <w:rsid w:val="00840891"/>
    <w:rsid w:val="00840B02"/>
    <w:rsid w:val="00840EE3"/>
    <w:rsid w:val="0084198F"/>
    <w:rsid w:val="0084249E"/>
    <w:rsid w:val="008425DC"/>
    <w:rsid w:val="00842A8E"/>
    <w:rsid w:val="00842BD7"/>
    <w:rsid w:val="00842C63"/>
    <w:rsid w:val="00842FF9"/>
    <w:rsid w:val="008432B5"/>
    <w:rsid w:val="008434EB"/>
    <w:rsid w:val="0084383C"/>
    <w:rsid w:val="008438E8"/>
    <w:rsid w:val="00843AFF"/>
    <w:rsid w:val="008444FE"/>
    <w:rsid w:val="00844F44"/>
    <w:rsid w:val="00845376"/>
    <w:rsid w:val="00845FAD"/>
    <w:rsid w:val="008465EF"/>
    <w:rsid w:val="00846F1A"/>
    <w:rsid w:val="00847C8C"/>
    <w:rsid w:val="0085036F"/>
    <w:rsid w:val="00850E0B"/>
    <w:rsid w:val="008513A5"/>
    <w:rsid w:val="008514BB"/>
    <w:rsid w:val="00851D37"/>
    <w:rsid w:val="0085201C"/>
    <w:rsid w:val="008524D1"/>
    <w:rsid w:val="0085273F"/>
    <w:rsid w:val="00852791"/>
    <w:rsid w:val="0085281E"/>
    <w:rsid w:val="008529E6"/>
    <w:rsid w:val="00852AE6"/>
    <w:rsid w:val="00852E4A"/>
    <w:rsid w:val="00853EE7"/>
    <w:rsid w:val="0085411B"/>
    <w:rsid w:val="008554F6"/>
    <w:rsid w:val="00855F11"/>
    <w:rsid w:val="00855F33"/>
    <w:rsid w:val="00856582"/>
    <w:rsid w:val="00856C78"/>
    <w:rsid w:val="008571DA"/>
    <w:rsid w:val="0085729A"/>
    <w:rsid w:val="00857FE2"/>
    <w:rsid w:val="008603F8"/>
    <w:rsid w:val="00860680"/>
    <w:rsid w:val="00860FA6"/>
    <w:rsid w:val="008610A6"/>
    <w:rsid w:val="0086180F"/>
    <w:rsid w:val="00861C7C"/>
    <w:rsid w:val="008622F8"/>
    <w:rsid w:val="00862497"/>
    <w:rsid w:val="008625D8"/>
    <w:rsid w:val="00862E0F"/>
    <w:rsid w:val="00862E8D"/>
    <w:rsid w:val="00862F8C"/>
    <w:rsid w:val="0086372C"/>
    <w:rsid w:val="00863E54"/>
    <w:rsid w:val="00863ED3"/>
    <w:rsid w:val="008640DD"/>
    <w:rsid w:val="008643D2"/>
    <w:rsid w:val="008648F7"/>
    <w:rsid w:val="008649E5"/>
    <w:rsid w:val="00864EEA"/>
    <w:rsid w:val="008651B1"/>
    <w:rsid w:val="00865F90"/>
    <w:rsid w:val="008664E8"/>
    <w:rsid w:val="00866615"/>
    <w:rsid w:val="0086662D"/>
    <w:rsid w:val="00866CEA"/>
    <w:rsid w:val="008674DC"/>
    <w:rsid w:val="008679F5"/>
    <w:rsid w:val="008710AB"/>
    <w:rsid w:val="008712F0"/>
    <w:rsid w:val="008720AD"/>
    <w:rsid w:val="008729DC"/>
    <w:rsid w:val="00872A67"/>
    <w:rsid w:val="00872B6E"/>
    <w:rsid w:val="00872E96"/>
    <w:rsid w:val="0087318C"/>
    <w:rsid w:val="008749E9"/>
    <w:rsid w:val="00874C4D"/>
    <w:rsid w:val="00875241"/>
    <w:rsid w:val="008754DE"/>
    <w:rsid w:val="00876C96"/>
    <w:rsid w:val="00876DBD"/>
    <w:rsid w:val="008777B7"/>
    <w:rsid w:val="008800F0"/>
    <w:rsid w:val="008802CA"/>
    <w:rsid w:val="008809EF"/>
    <w:rsid w:val="0088155B"/>
    <w:rsid w:val="008816CD"/>
    <w:rsid w:val="00881CAC"/>
    <w:rsid w:val="0088279D"/>
    <w:rsid w:val="0088297C"/>
    <w:rsid w:val="00882A33"/>
    <w:rsid w:val="00883203"/>
    <w:rsid w:val="0088378F"/>
    <w:rsid w:val="00883B01"/>
    <w:rsid w:val="00883C8B"/>
    <w:rsid w:val="00883EB9"/>
    <w:rsid w:val="00884225"/>
    <w:rsid w:val="008846FD"/>
    <w:rsid w:val="008848F5"/>
    <w:rsid w:val="0088516E"/>
    <w:rsid w:val="008853EB"/>
    <w:rsid w:val="008860D8"/>
    <w:rsid w:val="008863DE"/>
    <w:rsid w:val="00887025"/>
    <w:rsid w:val="00887202"/>
    <w:rsid w:val="00887954"/>
    <w:rsid w:val="00887AF1"/>
    <w:rsid w:val="00890498"/>
    <w:rsid w:val="00890B7B"/>
    <w:rsid w:val="00890D56"/>
    <w:rsid w:val="008910D5"/>
    <w:rsid w:val="0089141E"/>
    <w:rsid w:val="00891679"/>
    <w:rsid w:val="00891721"/>
    <w:rsid w:val="00891B94"/>
    <w:rsid w:val="00891CD3"/>
    <w:rsid w:val="00891DC2"/>
    <w:rsid w:val="00891E7B"/>
    <w:rsid w:val="00891F62"/>
    <w:rsid w:val="00892213"/>
    <w:rsid w:val="00892941"/>
    <w:rsid w:val="00892F1A"/>
    <w:rsid w:val="00893F4F"/>
    <w:rsid w:val="00894106"/>
    <w:rsid w:val="00894166"/>
    <w:rsid w:val="008949A1"/>
    <w:rsid w:val="00894BA9"/>
    <w:rsid w:val="00894BCC"/>
    <w:rsid w:val="00895143"/>
    <w:rsid w:val="008954B9"/>
    <w:rsid w:val="008956D4"/>
    <w:rsid w:val="00895762"/>
    <w:rsid w:val="008959B2"/>
    <w:rsid w:val="00895B73"/>
    <w:rsid w:val="00895BC3"/>
    <w:rsid w:val="00895D14"/>
    <w:rsid w:val="008964D9"/>
    <w:rsid w:val="008971A1"/>
    <w:rsid w:val="00897245"/>
    <w:rsid w:val="00897770"/>
    <w:rsid w:val="00897B5A"/>
    <w:rsid w:val="008A0895"/>
    <w:rsid w:val="008A121F"/>
    <w:rsid w:val="008A18E5"/>
    <w:rsid w:val="008A1930"/>
    <w:rsid w:val="008A216B"/>
    <w:rsid w:val="008A23D4"/>
    <w:rsid w:val="008A30FE"/>
    <w:rsid w:val="008A360C"/>
    <w:rsid w:val="008A3E01"/>
    <w:rsid w:val="008A4099"/>
    <w:rsid w:val="008A44CF"/>
    <w:rsid w:val="008A49DA"/>
    <w:rsid w:val="008A5363"/>
    <w:rsid w:val="008A5616"/>
    <w:rsid w:val="008A5880"/>
    <w:rsid w:val="008A5AA1"/>
    <w:rsid w:val="008A616D"/>
    <w:rsid w:val="008A6F4D"/>
    <w:rsid w:val="008A734D"/>
    <w:rsid w:val="008A7471"/>
    <w:rsid w:val="008A76AD"/>
    <w:rsid w:val="008A7704"/>
    <w:rsid w:val="008A781A"/>
    <w:rsid w:val="008B0823"/>
    <w:rsid w:val="008B0930"/>
    <w:rsid w:val="008B1513"/>
    <w:rsid w:val="008B1A5D"/>
    <w:rsid w:val="008B2183"/>
    <w:rsid w:val="008B218D"/>
    <w:rsid w:val="008B277B"/>
    <w:rsid w:val="008B29BE"/>
    <w:rsid w:val="008B312A"/>
    <w:rsid w:val="008B38E9"/>
    <w:rsid w:val="008B436A"/>
    <w:rsid w:val="008B4799"/>
    <w:rsid w:val="008B49EE"/>
    <w:rsid w:val="008B4B86"/>
    <w:rsid w:val="008B5F1D"/>
    <w:rsid w:val="008B6391"/>
    <w:rsid w:val="008B6A96"/>
    <w:rsid w:val="008B71D6"/>
    <w:rsid w:val="008B7291"/>
    <w:rsid w:val="008B7878"/>
    <w:rsid w:val="008C0047"/>
    <w:rsid w:val="008C1248"/>
    <w:rsid w:val="008C1754"/>
    <w:rsid w:val="008C1E10"/>
    <w:rsid w:val="008C2066"/>
    <w:rsid w:val="008C20A0"/>
    <w:rsid w:val="008C2141"/>
    <w:rsid w:val="008C248F"/>
    <w:rsid w:val="008C2C47"/>
    <w:rsid w:val="008C2DF0"/>
    <w:rsid w:val="008C319E"/>
    <w:rsid w:val="008C3C8A"/>
    <w:rsid w:val="008C4612"/>
    <w:rsid w:val="008C4941"/>
    <w:rsid w:val="008C498F"/>
    <w:rsid w:val="008C519F"/>
    <w:rsid w:val="008C5508"/>
    <w:rsid w:val="008C563D"/>
    <w:rsid w:val="008C681D"/>
    <w:rsid w:val="008C7295"/>
    <w:rsid w:val="008D0C75"/>
    <w:rsid w:val="008D0EC9"/>
    <w:rsid w:val="008D0F6A"/>
    <w:rsid w:val="008D18CC"/>
    <w:rsid w:val="008D2BF9"/>
    <w:rsid w:val="008D2C62"/>
    <w:rsid w:val="008D30CF"/>
    <w:rsid w:val="008D3307"/>
    <w:rsid w:val="008D3F70"/>
    <w:rsid w:val="008D4378"/>
    <w:rsid w:val="008D44FD"/>
    <w:rsid w:val="008D4580"/>
    <w:rsid w:val="008D5138"/>
    <w:rsid w:val="008D51F6"/>
    <w:rsid w:val="008D54AB"/>
    <w:rsid w:val="008D622D"/>
    <w:rsid w:val="008D66E1"/>
    <w:rsid w:val="008D67D0"/>
    <w:rsid w:val="008D7998"/>
    <w:rsid w:val="008D7F0B"/>
    <w:rsid w:val="008E03DB"/>
    <w:rsid w:val="008E040E"/>
    <w:rsid w:val="008E077B"/>
    <w:rsid w:val="008E14E4"/>
    <w:rsid w:val="008E17AD"/>
    <w:rsid w:val="008E1871"/>
    <w:rsid w:val="008E1B2F"/>
    <w:rsid w:val="008E232C"/>
    <w:rsid w:val="008E274E"/>
    <w:rsid w:val="008E2C6A"/>
    <w:rsid w:val="008E3DA6"/>
    <w:rsid w:val="008E4211"/>
    <w:rsid w:val="008E4376"/>
    <w:rsid w:val="008E4711"/>
    <w:rsid w:val="008E4CCA"/>
    <w:rsid w:val="008E4E6B"/>
    <w:rsid w:val="008E501B"/>
    <w:rsid w:val="008E59CF"/>
    <w:rsid w:val="008E5FFC"/>
    <w:rsid w:val="008E61A5"/>
    <w:rsid w:val="008E6741"/>
    <w:rsid w:val="008E6B27"/>
    <w:rsid w:val="008E7033"/>
    <w:rsid w:val="008E76AC"/>
    <w:rsid w:val="008E789F"/>
    <w:rsid w:val="008E7CBF"/>
    <w:rsid w:val="008E7E00"/>
    <w:rsid w:val="008F09C9"/>
    <w:rsid w:val="008F14F2"/>
    <w:rsid w:val="008F17F6"/>
    <w:rsid w:val="008F1C15"/>
    <w:rsid w:val="008F1C48"/>
    <w:rsid w:val="008F1E06"/>
    <w:rsid w:val="008F3069"/>
    <w:rsid w:val="008F35A0"/>
    <w:rsid w:val="008F3848"/>
    <w:rsid w:val="008F3C22"/>
    <w:rsid w:val="008F551B"/>
    <w:rsid w:val="008F5D0E"/>
    <w:rsid w:val="008F666E"/>
    <w:rsid w:val="008F6CF9"/>
    <w:rsid w:val="008F6E62"/>
    <w:rsid w:val="008F7604"/>
    <w:rsid w:val="008F7608"/>
    <w:rsid w:val="008F778F"/>
    <w:rsid w:val="008F7D9C"/>
    <w:rsid w:val="0090004D"/>
    <w:rsid w:val="009004E3"/>
    <w:rsid w:val="00900A37"/>
    <w:rsid w:val="00900B19"/>
    <w:rsid w:val="00901036"/>
    <w:rsid w:val="00901208"/>
    <w:rsid w:val="009012F9"/>
    <w:rsid w:val="00901FF0"/>
    <w:rsid w:val="0090260D"/>
    <w:rsid w:val="00902A88"/>
    <w:rsid w:val="00902F51"/>
    <w:rsid w:val="00903441"/>
    <w:rsid w:val="00903E43"/>
    <w:rsid w:val="00904501"/>
    <w:rsid w:val="00904602"/>
    <w:rsid w:val="00904AB7"/>
    <w:rsid w:val="00905348"/>
    <w:rsid w:val="00905A4B"/>
    <w:rsid w:val="00905D5A"/>
    <w:rsid w:val="00905DAD"/>
    <w:rsid w:val="00905F98"/>
    <w:rsid w:val="00906113"/>
    <w:rsid w:val="009063EF"/>
    <w:rsid w:val="009068A5"/>
    <w:rsid w:val="00906A6C"/>
    <w:rsid w:val="00906B4F"/>
    <w:rsid w:val="00906BD8"/>
    <w:rsid w:val="00906DBB"/>
    <w:rsid w:val="00906F15"/>
    <w:rsid w:val="009075BA"/>
    <w:rsid w:val="0090763F"/>
    <w:rsid w:val="00907C3E"/>
    <w:rsid w:val="00907CD6"/>
    <w:rsid w:val="0091013D"/>
    <w:rsid w:val="009102BB"/>
    <w:rsid w:val="009107F1"/>
    <w:rsid w:val="00910B1E"/>
    <w:rsid w:val="00910E68"/>
    <w:rsid w:val="00911828"/>
    <w:rsid w:val="009118D5"/>
    <w:rsid w:val="00911B67"/>
    <w:rsid w:val="00912408"/>
    <w:rsid w:val="0091244B"/>
    <w:rsid w:val="00912582"/>
    <w:rsid w:val="009128B2"/>
    <w:rsid w:val="00912906"/>
    <w:rsid w:val="00913162"/>
    <w:rsid w:val="00913671"/>
    <w:rsid w:val="00913694"/>
    <w:rsid w:val="00913E99"/>
    <w:rsid w:val="00913EFF"/>
    <w:rsid w:val="00914390"/>
    <w:rsid w:val="0091539D"/>
    <w:rsid w:val="00915415"/>
    <w:rsid w:val="00915905"/>
    <w:rsid w:val="00916DD7"/>
    <w:rsid w:val="009170ED"/>
    <w:rsid w:val="009172B9"/>
    <w:rsid w:val="009173FF"/>
    <w:rsid w:val="00917BED"/>
    <w:rsid w:val="00917E37"/>
    <w:rsid w:val="00917FE3"/>
    <w:rsid w:val="00920210"/>
    <w:rsid w:val="00920929"/>
    <w:rsid w:val="00920E24"/>
    <w:rsid w:val="009211AC"/>
    <w:rsid w:val="00921829"/>
    <w:rsid w:val="0092194F"/>
    <w:rsid w:val="00921AC2"/>
    <w:rsid w:val="00923022"/>
    <w:rsid w:val="00923661"/>
    <w:rsid w:val="00923D01"/>
    <w:rsid w:val="009244DB"/>
    <w:rsid w:val="00925045"/>
    <w:rsid w:val="0092544F"/>
    <w:rsid w:val="009258F8"/>
    <w:rsid w:val="00925B67"/>
    <w:rsid w:val="0092604F"/>
    <w:rsid w:val="009265DE"/>
    <w:rsid w:val="00926C7D"/>
    <w:rsid w:val="00927094"/>
    <w:rsid w:val="00927AD4"/>
    <w:rsid w:val="00927B06"/>
    <w:rsid w:val="00927B82"/>
    <w:rsid w:val="00930856"/>
    <w:rsid w:val="009310C4"/>
    <w:rsid w:val="00931553"/>
    <w:rsid w:val="0093181B"/>
    <w:rsid w:val="00931C03"/>
    <w:rsid w:val="00932E62"/>
    <w:rsid w:val="00932ED5"/>
    <w:rsid w:val="00932F53"/>
    <w:rsid w:val="00933211"/>
    <w:rsid w:val="00933841"/>
    <w:rsid w:val="00933F27"/>
    <w:rsid w:val="00934021"/>
    <w:rsid w:val="009342DD"/>
    <w:rsid w:val="0093438F"/>
    <w:rsid w:val="009346E8"/>
    <w:rsid w:val="00934A2E"/>
    <w:rsid w:val="00935E60"/>
    <w:rsid w:val="00935F7F"/>
    <w:rsid w:val="0093615B"/>
    <w:rsid w:val="009363AC"/>
    <w:rsid w:val="00936B0C"/>
    <w:rsid w:val="009372D3"/>
    <w:rsid w:val="009372E3"/>
    <w:rsid w:val="00937BF8"/>
    <w:rsid w:val="00937E73"/>
    <w:rsid w:val="00937ECC"/>
    <w:rsid w:val="00940111"/>
    <w:rsid w:val="00940DA2"/>
    <w:rsid w:val="0094120F"/>
    <w:rsid w:val="00941285"/>
    <w:rsid w:val="009412F4"/>
    <w:rsid w:val="0094166E"/>
    <w:rsid w:val="00942382"/>
    <w:rsid w:val="0094261E"/>
    <w:rsid w:val="00942976"/>
    <w:rsid w:val="00942A58"/>
    <w:rsid w:val="00943B64"/>
    <w:rsid w:val="00943D15"/>
    <w:rsid w:val="009442F4"/>
    <w:rsid w:val="009448B5"/>
    <w:rsid w:val="00944F9B"/>
    <w:rsid w:val="00945389"/>
    <w:rsid w:val="00945B45"/>
    <w:rsid w:val="00945B58"/>
    <w:rsid w:val="0094651C"/>
    <w:rsid w:val="009465AC"/>
    <w:rsid w:val="0094667C"/>
    <w:rsid w:val="00946737"/>
    <w:rsid w:val="00946DAC"/>
    <w:rsid w:val="00946DFB"/>
    <w:rsid w:val="0094787E"/>
    <w:rsid w:val="00947DBA"/>
    <w:rsid w:val="00950ADD"/>
    <w:rsid w:val="00950CB5"/>
    <w:rsid w:val="009511D4"/>
    <w:rsid w:val="009511D8"/>
    <w:rsid w:val="00951457"/>
    <w:rsid w:val="00951672"/>
    <w:rsid w:val="00951694"/>
    <w:rsid w:val="00951AA0"/>
    <w:rsid w:val="00951BC2"/>
    <w:rsid w:val="00951CCF"/>
    <w:rsid w:val="00952628"/>
    <w:rsid w:val="00952B9E"/>
    <w:rsid w:val="00952D43"/>
    <w:rsid w:val="00952EE3"/>
    <w:rsid w:val="0095301D"/>
    <w:rsid w:val="009532FC"/>
    <w:rsid w:val="009537F6"/>
    <w:rsid w:val="0095391C"/>
    <w:rsid w:val="00954399"/>
    <w:rsid w:val="00954743"/>
    <w:rsid w:val="00954845"/>
    <w:rsid w:val="00954B56"/>
    <w:rsid w:val="0095586E"/>
    <w:rsid w:val="00955CBE"/>
    <w:rsid w:val="0095602D"/>
    <w:rsid w:val="0095689D"/>
    <w:rsid w:val="009571BE"/>
    <w:rsid w:val="00957414"/>
    <w:rsid w:val="009601C8"/>
    <w:rsid w:val="009601D2"/>
    <w:rsid w:val="009601FD"/>
    <w:rsid w:val="00960541"/>
    <w:rsid w:val="00960836"/>
    <w:rsid w:val="00960885"/>
    <w:rsid w:val="00960A1F"/>
    <w:rsid w:val="00960C66"/>
    <w:rsid w:val="00960E2C"/>
    <w:rsid w:val="009612DA"/>
    <w:rsid w:val="00961A1C"/>
    <w:rsid w:val="00961B81"/>
    <w:rsid w:val="009620A0"/>
    <w:rsid w:val="0096281F"/>
    <w:rsid w:val="00962879"/>
    <w:rsid w:val="00962A66"/>
    <w:rsid w:val="00962EEC"/>
    <w:rsid w:val="00963592"/>
    <w:rsid w:val="009635F6"/>
    <w:rsid w:val="00963952"/>
    <w:rsid w:val="00963BF3"/>
    <w:rsid w:val="009642F0"/>
    <w:rsid w:val="0096463E"/>
    <w:rsid w:val="0096486D"/>
    <w:rsid w:val="00964D0B"/>
    <w:rsid w:val="00965563"/>
    <w:rsid w:val="00965891"/>
    <w:rsid w:val="00965ADC"/>
    <w:rsid w:val="0096678A"/>
    <w:rsid w:val="00966877"/>
    <w:rsid w:val="00966B08"/>
    <w:rsid w:val="00966F1B"/>
    <w:rsid w:val="009673C6"/>
    <w:rsid w:val="009700C7"/>
    <w:rsid w:val="009700FB"/>
    <w:rsid w:val="0097013F"/>
    <w:rsid w:val="009709CC"/>
    <w:rsid w:val="00970C60"/>
    <w:rsid w:val="00971D3F"/>
    <w:rsid w:val="00973B56"/>
    <w:rsid w:val="009742FE"/>
    <w:rsid w:val="009749BB"/>
    <w:rsid w:val="00975196"/>
    <w:rsid w:val="00975343"/>
    <w:rsid w:val="00975E88"/>
    <w:rsid w:val="00975EFE"/>
    <w:rsid w:val="0097606C"/>
    <w:rsid w:val="009760B0"/>
    <w:rsid w:val="009762A2"/>
    <w:rsid w:val="009763BE"/>
    <w:rsid w:val="009768CC"/>
    <w:rsid w:val="00976979"/>
    <w:rsid w:val="00976A11"/>
    <w:rsid w:val="00977329"/>
    <w:rsid w:val="00977562"/>
    <w:rsid w:val="00977776"/>
    <w:rsid w:val="009778FF"/>
    <w:rsid w:val="009779C2"/>
    <w:rsid w:val="00977FB3"/>
    <w:rsid w:val="00980690"/>
    <w:rsid w:val="00980692"/>
    <w:rsid w:val="00980A65"/>
    <w:rsid w:val="00981322"/>
    <w:rsid w:val="00981598"/>
    <w:rsid w:val="00981EF2"/>
    <w:rsid w:val="009820FA"/>
    <w:rsid w:val="009827F9"/>
    <w:rsid w:val="00982E99"/>
    <w:rsid w:val="00982EDC"/>
    <w:rsid w:val="0098301C"/>
    <w:rsid w:val="009835B1"/>
    <w:rsid w:val="009837FA"/>
    <w:rsid w:val="00983E55"/>
    <w:rsid w:val="00984115"/>
    <w:rsid w:val="00984980"/>
    <w:rsid w:val="00985629"/>
    <w:rsid w:val="00985717"/>
    <w:rsid w:val="00985886"/>
    <w:rsid w:val="009859BC"/>
    <w:rsid w:val="00985C31"/>
    <w:rsid w:val="00985CB5"/>
    <w:rsid w:val="00985EFD"/>
    <w:rsid w:val="00986298"/>
    <w:rsid w:val="00986591"/>
    <w:rsid w:val="009869A0"/>
    <w:rsid w:val="00987D28"/>
    <w:rsid w:val="00987FB9"/>
    <w:rsid w:val="00990018"/>
    <w:rsid w:val="00990AEA"/>
    <w:rsid w:val="009910B7"/>
    <w:rsid w:val="00991329"/>
    <w:rsid w:val="00991717"/>
    <w:rsid w:val="00991A5C"/>
    <w:rsid w:val="00992268"/>
    <w:rsid w:val="00992778"/>
    <w:rsid w:val="009927CC"/>
    <w:rsid w:val="00992EBC"/>
    <w:rsid w:val="00993790"/>
    <w:rsid w:val="00993F52"/>
    <w:rsid w:val="0099438C"/>
    <w:rsid w:val="00995248"/>
    <w:rsid w:val="009953F2"/>
    <w:rsid w:val="00995771"/>
    <w:rsid w:val="0099581B"/>
    <w:rsid w:val="009958DB"/>
    <w:rsid w:val="00995A09"/>
    <w:rsid w:val="00995E52"/>
    <w:rsid w:val="00995FAF"/>
    <w:rsid w:val="0099601A"/>
    <w:rsid w:val="00996B74"/>
    <w:rsid w:val="009973FD"/>
    <w:rsid w:val="009A045F"/>
    <w:rsid w:val="009A0656"/>
    <w:rsid w:val="009A096D"/>
    <w:rsid w:val="009A0CE8"/>
    <w:rsid w:val="009A1831"/>
    <w:rsid w:val="009A1883"/>
    <w:rsid w:val="009A1E62"/>
    <w:rsid w:val="009A1EA7"/>
    <w:rsid w:val="009A2176"/>
    <w:rsid w:val="009A22D0"/>
    <w:rsid w:val="009A2546"/>
    <w:rsid w:val="009A277A"/>
    <w:rsid w:val="009A2846"/>
    <w:rsid w:val="009A3184"/>
    <w:rsid w:val="009A35A6"/>
    <w:rsid w:val="009A390C"/>
    <w:rsid w:val="009A3E40"/>
    <w:rsid w:val="009A4224"/>
    <w:rsid w:val="009A46F9"/>
    <w:rsid w:val="009A4CFC"/>
    <w:rsid w:val="009A56E5"/>
    <w:rsid w:val="009A66AE"/>
    <w:rsid w:val="009A68BF"/>
    <w:rsid w:val="009A6CE0"/>
    <w:rsid w:val="009A6DF8"/>
    <w:rsid w:val="009A7250"/>
    <w:rsid w:val="009A7AE4"/>
    <w:rsid w:val="009A7F33"/>
    <w:rsid w:val="009B0527"/>
    <w:rsid w:val="009B09F6"/>
    <w:rsid w:val="009B0BD6"/>
    <w:rsid w:val="009B0EA8"/>
    <w:rsid w:val="009B1388"/>
    <w:rsid w:val="009B190C"/>
    <w:rsid w:val="009B1A7D"/>
    <w:rsid w:val="009B1CE0"/>
    <w:rsid w:val="009B1F42"/>
    <w:rsid w:val="009B1FAF"/>
    <w:rsid w:val="009B2026"/>
    <w:rsid w:val="009B24B9"/>
    <w:rsid w:val="009B298B"/>
    <w:rsid w:val="009B2A2B"/>
    <w:rsid w:val="009B2E85"/>
    <w:rsid w:val="009B2F28"/>
    <w:rsid w:val="009B33B0"/>
    <w:rsid w:val="009B3EA2"/>
    <w:rsid w:val="009B41DA"/>
    <w:rsid w:val="009B44C7"/>
    <w:rsid w:val="009B4D1F"/>
    <w:rsid w:val="009B4EFA"/>
    <w:rsid w:val="009B5B0A"/>
    <w:rsid w:val="009B6265"/>
    <w:rsid w:val="009B62DB"/>
    <w:rsid w:val="009B66C2"/>
    <w:rsid w:val="009B6AB7"/>
    <w:rsid w:val="009B6FAD"/>
    <w:rsid w:val="009B7078"/>
    <w:rsid w:val="009B7332"/>
    <w:rsid w:val="009B752E"/>
    <w:rsid w:val="009B77DD"/>
    <w:rsid w:val="009B7956"/>
    <w:rsid w:val="009B7DC0"/>
    <w:rsid w:val="009C0532"/>
    <w:rsid w:val="009C07A0"/>
    <w:rsid w:val="009C08DE"/>
    <w:rsid w:val="009C0921"/>
    <w:rsid w:val="009C10EB"/>
    <w:rsid w:val="009C12EA"/>
    <w:rsid w:val="009C1A36"/>
    <w:rsid w:val="009C1D18"/>
    <w:rsid w:val="009C1D74"/>
    <w:rsid w:val="009C1F16"/>
    <w:rsid w:val="009C21A4"/>
    <w:rsid w:val="009C2513"/>
    <w:rsid w:val="009C2933"/>
    <w:rsid w:val="009C339C"/>
    <w:rsid w:val="009C38E5"/>
    <w:rsid w:val="009C3F49"/>
    <w:rsid w:val="009C418D"/>
    <w:rsid w:val="009C4351"/>
    <w:rsid w:val="009C4AB6"/>
    <w:rsid w:val="009C4AF9"/>
    <w:rsid w:val="009C5029"/>
    <w:rsid w:val="009C5764"/>
    <w:rsid w:val="009C5FF6"/>
    <w:rsid w:val="009C62E4"/>
    <w:rsid w:val="009C63DE"/>
    <w:rsid w:val="009C66D2"/>
    <w:rsid w:val="009C6963"/>
    <w:rsid w:val="009C6CBB"/>
    <w:rsid w:val="009D0A68"/>
    <w:rsid w:val="009D0E7A"/>
    <w:rsid w:val="009D10B9"/>
    <w:rsid w:val="009D161A"/>
    <w:rsid w:val="009D1653"/>
    <w:rsid w:val="009D18FD"/>
    <w:rsid w:val="009D23FF"/>
    <w:rsid w:val="009D28E4"/>
    <w:rsid w:val="009D2F8F"/>
    <w:rsid w:val="009D341A"/>
    <w:rsid w:val="009D3DA6"/>
    <w:rsid w:val="009D4061"/>
    <w:rsid w:val="009D4369"/>
    <w:rsid w:val="009D4476"/>
    <w:rsid w:val="009D4615"/>
    <w:rsid w:val="009D4675"/>
    <w:rsid w:val="009D4A9C"/>
    <w:rsid w:val="009D4B4C"/>
    <w:rsid w:val="009D526D"/>
    <w:rsid w:val="009D5E5A"/>
    <w:rsid w:val="009D6529"/>
    <w:rsid w:val="009D69DD"/>
    <w:rsid w:val="009D7BDF"/>
    <w:rsid w:val="009D7C3B"/>
    <w:rsid w:val="009E036A"/>
    <w:rsid w:val="009E0484"/>
    <w:rsid w:val="009E0595"/>
    <w:rsid w:val="009E0723"/>
    <w:rsid w:val="009E0998"/>
    <w:rsid w:val="009E0E01"/>
    <w:rsid w:val="009E3377"/>
    <w:rsid w:val="009E3A4A"/>
    <w:rsid w:val="009E4081"/>
    <w:rsid w:val="009E45B0"/>
    <w:rsid w:val="009E49AA"/>
    <w:rsid w:val="009E52D5"/>
    <w:rsid w:val="009E5C63"/>
    <w:rsid w:val="009E6013"/>
    <w:rsid w:val="009E60E1"/>
    <w:rsid w:val="009E6BD2"/>
    <w:rsid w:val="009E6C52"/>
    <w:rsid w:val="009E6E4D"/>
    <w:rsid w:val="009E7062"/>
    <w:rsid w:val="009E7251"/>
    <w:rsid w:val="009E735B"/>
    <w:rsid w:val="009E7654"/>
    <w:rsid w:val="009F081C"/>
    <w:rsid w:val="009F0938"/>
    <w:rsid w:val="009F0E7C"/>
    <w:rsid w:val="009F11DB"/>
    <w:rsid w:val="009F1518"/>
    <w:rsid w:val="009F1843"/>
    <w:rsid w:val="009F1A4D"/>
    <w:rsid w:val="009F1AA0"/>
    <w:rsid w:val="009F1C18"/>
    <w:rsid w:val="009F1C2F"/>
    <w:rsid w:val="009F1E4A"/>
    <w:rsid w:val="009F31BD"/>
    <w:rsid w:val="009F3205"/>
    <w:rsid w:val="009F34B0"/>
    <w:rsid w:val="009F35E8"/>
    <w:rsid w:val="009F36E7"/>
    <w:rsid w:val="009F3794"/>
    <w:rsid w:val="009F3DCF"/>
    <w:rsid w:val="009F4350"/>
    <w:rsid w:val="009F53DE"/>
    <w:rsid w:val="009F5616"/>
    <w:rsid w:val="009F5AD6"/>
    <w:rsid w:val="009F5FFF"/>
    <w:rsid w:val="009F6020"/>
    <w:rsid w:val="009F62F3"/>
    <w:rsid w:val="009F67B5"/>
    <w:rsid w:val="009F73C6"/>
    <w:rsid w:val="009F7D62"/>
    <w:rsid w:val="00A0064B"/>
    <w:rsid w:val="00A00808"/>
    <w:rsid w:val="00A00CE0"/>
    <w:rsid w:val="00A0103C"/>
    <w:rsid w:val="00A01630"/>
    <w:rsid w:val="00A017CE"/>
    <w:rsid w:val="00A01DD8"/>
    <w:rsid w:val="00A020C7"/>
    <w:rsid w:val="00A02241"/>
    <w:rsid w:val="00A029A5"/>
    <w:rsid w:val="00A02B9C"/>
    <w:rsid w:val="00A02BDB"/>
    <w:rsid w:val="00A02CC3"/>
    <w:rsid w:val="00A02D74"/>
    <w:rsid w:val="00A03C33"/>
    <w:rsid w:val="00A048DC"/>
    <w:rsid w:val="00A0497D"/>
    <w:rsid w:val="00A04C5C"/>
    <w:rsid w:val="00A05717"/>
    <w:rsid w:val="00A05B57"/>
    <w:rsid w:val="00A05C9B"/>
    <w:rsid w:val="00A062A1"/>
    <w:rsid w:val="00A06A68"/>
    <w:rsid w:val="00A06C7E"/>
    <w:rsid w:val="00A06F60"/>
    <w:rsid w:val="00A076AD"/>
    <w:rsid w:val="00A076EC"/>
    <w:rsid w:val="00A07AE4"/>
    <w:rsid w:val="00A07B22"/>
    <w:rsid w:val="00A10031"/>
    <w:rsid w:val="00A105C9"/>
    <w:rsid w:val="00A10F7A"/>
    <w:rsid w:val="00A11ABC"/>
    <w:rsid w:val="00A11C72"/>
    <w:rsid w:val="00A1227E"/>
    <w:rsid w:val="00A12737"/>
    <w:rsid w:val="00A12ACF"/>
    <w:rsid w:val="00A13100"/>
    <w:rsid w:val="00A13469"/>
    <w:rsid w:val="00A14D31"/>
    <w:rsid w:val="00A1542F"/>
    <w:rsid w:val="00A16351"/>
    <w:rsid w:val="00A17550"/>
    <w:rsid w:val="00A17951"/>
    <w:rsid w:val="00A200C8"/>
    <w:rsid w:val="00A20854"/>
    <w:rsid w:val="00A20E10"/>
    <w:rsid w:val="00A2118C"/>
    <w:rsid w:val="00A216BD"/>
    <w:rsid w:val="00A21AC4"/>
    <w:rsid w:val="00A21D44"/>
    <w:rsid w:val="00A2233F"/>
    <w:rsid w:val="00A2288D"/>
    <w:rsid w:val="00A22992"/>
    <w:rsid w:val="00A22B01"/>
    <w:rsid w:val="00A22BE7"/>
    <w:rsid w:val="00A22D5A"/>
    <w:rsid w:val="00A23592"/>
    <w:rsid w:val="00A23BB0"/>
    <w:rsid w:val="00A23F73"/>
    <w:rsid w:val="00A241EC"/>
    <w:rsid w:val="00A24547"/>
    <w:rsid w:val="00A253D3"/>
    <w:rsid w:val="00A25C3F"/>
    <w:rsid w:val="00A260BA"/>
    <w:rsid w:val="00A266AE"/>
    <w:rsid w:val="00A269E5"/>
    <w:rsid w:val="00A26C7D"/>
    <w:rsid w:val="00A27BE6"/>
    <w:rsid w:val="00A30077"/>
    <w:rsid w:val="00A30118"/>
    <w:rsid w:val="00A30462"/>
    <w:rsid w:val="00A306C0"/>
    <w:rsid w:val="00A30ACD"/>
    <w:rsid w:val="00A30E43"/>
    <w:rsid w:val="00A30F0D"/>
    <w:rsid w:val="00A30FDA"/>
    <w:rsid w:val="00A31534"/>
    <w:rsid w:val="00A31A14"/>
    <w:rsid w:val="00A31B74"/>
    <w:rsid w:val="00A32684"/>
    <w:rsid w:val="00A3285F"/>
    <w:rsid w:val="00A3289E"/>
    <w:rsid w:val="00A32CEB"/>
    <w:rsid w:val="00A32DE6"/>
    <w:rsid w:val="00A32E71"/>
    <w:rsid w:val="00A33414"/>
    <w:rsid w:val="00A33547"/>
    <w:rsid w:val="00A33DB5"/>
    <w:rsid w:val="00A3488F"/>
    <w:rsid w:val="00A357BC"/>
    <w:rsid w:val="00A3593A"/>
    <w:rsid w:val="00A35A18"/>
    <w:rsid w:val="00A35C55"/>
    <w:rsid w:val="00A35E2C"/>
    <w:rsid w:val="00A35E5A"/>
    <w:rsid w:val="00A35E86"/>
    <w:rsid w:val="00A36C1E"/>
    <w:rsid w:val="00A372A6"/>
    <w:rsid w:val="00A37745"/>
    <w:rsid w:val="00A3796B"/>
    <w:rsid w:val="00A3797E"/>
    <w:rsid w:val="00A37A32"/>
    <w:rsid w:val="00A37C40"/>
    <w:rsid w:val="00A37FA8"/>
    <w:rsid w:val="00A40406"/>
    <w:rsid w:val="00A406A2"/>
    <w:rsid w:val="00A41086"/>
    <w:rsid w:val="00A413CD"/>
    <w:rsid w:val="00A413FE"/>
    <w:rsid w:val="00A415A8"/>
    <w:rsid w:val="00A419AC"/>
    <w:rsid w:val="00A41BD5"/>
    <w:rsid w:val="00A41C32"/>
    <w:rsid w:val="00A41C37"/>
    <w:rsid w:val="00A425B6"/>
    <w:rsid w:val="00A4268F"/>
    <w:rsid w:val="00A42E53"/>
    <w:rsid w:val="00A434E3"/>
    <w:rsid w:val="00A436EC"/>
    <w:rsid w:val="00A4378E"/>
    <w:rsid w:val="00A448FE"/>
    <w:rsid w:val="00A45141"/>
    <w:rsid w:val="00A45486"/>
    <w:rsid w:val="00A45537"/>
    <w:rsid w:val="00A45BF7"/>
    <w:rsid w:val="00A461AE"/>
    <w:rsid w:val="00A47023"/>
    <w:rsid w:val="00A47247"/>
    <w:rsid w:val="00A474BD"/>
    <w:rsid w:val="00A502D6"/>
    <w:rsid w:val="00A50A34"/>
    <w:rsid w:val="00A51CF0"/>
    <w:rsid w:val="00A51F49"/>
    <w:rsid w:val="00A51FC9"/>
    <w:rsid w:val="00A5227C"/>
    <w:rsid w:val="00A52455"/>
    <w:rsid w:val="00A52506"/>
    <w:rsid w:val="00A525E2"/>
    <w:rsid w:val="00A5268B"/>
    <w:rsid w:val="00A5347E"/>
    <w:rsid w:val="00A53C59"/>
    <w:rsid w:val="00A543CE"/>
    <w:rsid w:val="00A5486D"/>
    <w:rsid w:val="00A54937"/>
    <w:rsid w:val="00A54C48"/>
    <w:rsid w:val="00A54CDB"/>
    <w:rsid w:val="00A54DB1"/>
    <w:rsid w:val="00A54EA9"/>
    <w:rsid w:val="00A5527D"/>
    <w:rsid w:val="00A554FB"/>
    <w:rsid w:val="00A5688A"/>
    <w:rsid w:val="00A56C49"/>
    <w:rsid w:val="00A57121"/>
    <w:rsid w:val="00A5753F"/>
    <w:rsid w:val="00A579FB"/>
    <w:rsid w:val="00A57F83"/>
    <w:rsid w:val="00A60561"/>
    <w:rsid w:val="00A608BA"/>
    <w:rsid w:val="00A60B51"/>
    <w:rsid w:val="00A615FD"/>
    <w:rsid w:val="00A61B9F"/>
    <w:rsid w:val="00A61CB0"/>
    <w:rsid w:val="00A61DB9"/>
    <w:rsid w:val="00A61F4F"/>
    <w:rsid w:val="00A62011"/>
    <w:rsid w:val="00A621EB"/>
    <w:rsid w:val="00A621FB"/>
    <w:rsid w:val="00A62ADD"/>
    <w:rsid w:val="00A63155"/>
    <w:rsid w:val="00A63474"/>
    <w:rsid w:val="00A6364F"/>
    <w:rsid w:val="00A63689"/>
    <w:rsid w:val="00A6379D"/>
    <w:rsid w:val="00A63F0B"/>
    <w:rsid w:val="00A642AB"/>
    <w:rsid w:val="00A6478F"/>
    <w:rsid w:val="00A64BD3"/>
    <w:rsid w:val="00A64C9B"/>
    <w:rsid w:val="00A652F1"/>
    <w:rsid w:val="00A6552D"/>
    <w:rsid w:val="00A6620F"/>
    <w:rsid w:val="00A6625B"/>
    <w:rsid w:val="00A663DA"/>
    <w:rsid w:val="00A6664B"/>
    <w:rsid w:val="00A66972"/>
    <w:rsid w:val="00A671DF"/>
    <w:rsid w:val="00A67787"/>
    <w:rsid w:val="00A7009C"/>
    <w:rsid w:val="00A704AF"/>
    <w:rsid w:val="00A70CC5"/>
    <w:rsid w:val="00A70CF6"/>
    <w:rsid w:val="00A710A6"/>
    <w:rsid w:val="00A71257"/>
    <w:rsid w:val="00A71638"/>
    <w:rsid w:val="00A723E1"/>
    <w:rsid w:val="00A72B0E"/>
    <w:rsid w:val="00A73070"/>
    <w:rsid w:val="00A73485"/>
    <w:rsid w:val="00A73F71"/>
    <w:rsid w:val="00A74645"/>
    <w:rsid w:val="00A74796"/>
    <w:rsid w:val="00A75190"/>
    <w:rsid w:val="00A75CB4"/>
    <w:rsid w:val="00A75ECA"/>
    <w:rsid w:val="00A76480"/>
    <w:rsid w:val="00A76624"/>
    <w:rsid w:val="00A76865"/>
    <w:rsid w:val="00A76C30"/>
    <w:rsid w:val="00A76E66"/>
    <w:rsid w:val="00A77010"/>
    <w:rsid w:val="00A7740E"/>
    <w:rsid w:val="00A77618"/>
    <w:rsid w:val="00A77902"/>
    <w:rsid w:val="00A77CAB"/>
    <w:rsid w:val="00A8081E"/>
    <w:rsid w:val="00A80978"/>
    <w:rsid w:val="00A80F03"/>
    <w:rsid w:val="00A80FDC"/>
    <w:rsid w:val="00A814EC"/>
    <w:rsid w:val="00A81CB8"/>
    <w:rsid w:val="00A81DC7"/>
    <w:rsid w:val="00A82127"/>
    <w:rsid w:val="00A82C44"/>
    <w:rsid w:val="00A834AD"/>
    <w:rsid w:val="00A836F6"/>
    <w:rsid w:val="00A838A6"/>
    <w:rsid w:val="00A83D55"/>
    <w:rsid w:val="00A840A0"/>
    <w:rsid w:val="00A84D42"/>
    <w:rsid w:val="00A856C3"/>
    <w:rsid w:val="00A858B9"/>
    <w:rsid w:val="00A85AA5"/>
    <w:rsid w:val="00A86202"/>
    <w:rsid w:val="00A8630A"/>
    <w:rsid w:val="00A86407"/>
    <w:rsid w:val="00A873CF"/>
    <w:rsid w:val="00A87898"/>
    <w:rsid w:val="00A87B66"/>
    <w:rsid w:val="00A87D79"/>
    <w:rsid w:val="00A903B9"/>
    <w:rsid w:val="00A906D7"/>
    <w:rsid w:val="00A90992"/>
    <w:rsid w:val="00A90B43"/>
    <w:rsid w:val="00A91A5B"/>
    <w:rsid w:val="00A91AD3"/>
    <w:rsid w:val="00A91D28"/>
    <w:rsid w:val="00A9209E"/>
    <w:rsid w:val="00A92247"/>
    <w:rsid w:val="00A924A7"/>
    <w:rsid w:val="00A92693"/>
    <w:rsid w:val="00A92C74"/>
    <w:rsid w:val="00A92E8A"/>
    <w:rsid w:val="00A9341F"/>
    <w:rsid w:val="00A93657"/>
    <w:rsid w:val="00A93D5B"/>
    <w:rsid w:val="00A94236"/>
    <w:rsid w:val="00A9430D"/>
    <w:rsid w:val="00A94424"/>
    <w:rsid w:val="00A946E2"/>
    <w:rsid w:val="00A949BC"/>
    <w:rsid w:val="00A94A60"/>
    <w:rsid w:val="00A94E4E"/>
    <w:rsid w:val="00A954C6"/>
    <w:rsid w:val="00A959F4"/>
    <w:rsid w:val="00A95B0C"/>
    <w:rsid w:val="00A96058"/>
    <w:rsid w:val="00A96323"/>
    <w:rsid w:val="00A966F0"/>
    <w:rsid w:val="00A96736"/>
    <w:rsid w:val="00A96E51"/>
    <w:rsid w:val="00A970A8"/>
    <w:rsid w:val="00A974C1"/>
    <w:rsid w:val="00A97D0B"/>
    <w:rsid w:val="00A97E28"/>
    <w:rsid w:val="00AA147E"/>
    <w:rsid w:val="00AA151B"/>
    <w:rsid w:val="00AA1681"/>
    <w:rsid w:val="00AA178A"/>
    <w:rsid w:val="00AA193F"/>
    <w:rsid w:val="00AA21A7"/>
    <w:rsid w:val="00AA242F"/>
    <w:rsid w:val="00AA2912"/>
    <w:rsid w:val="00AA2C12"/>
    <w:rsid w:val="00AA3766"/>
    <w:rsid w:val="00AA37BA"/>
    <w:rsid w:val="00AA3A11"/>
    <w:rsid w:val="00AA3F34"/>
    <w:rsid w:val="00AA4B93"/>
    <w:rsid w:val="00AA4BD0"/>
    <w:rsid w:val="00AA4CAE"/>
    <w:rsid w:val="00AA50C0"/>
    <w:rsid w:val="00AA54EA"/>
    <w:rsid w:val="00AA5860"/>
    <w:rsid w:val="00AA5F13"/>
    <w:rsid w:val="00AA6C85"/>
    <w:rsid w:val="00AA6D48"/>
    <w:rsid w:val="00AA6F93"/>
    <w:rsid w:val="00AA7195"/>
    <w:rsid w:val="00AA7468"/>
    <w:rsid w:val="00AA7A26"/>
    <w:rsid w:val="00AB05A1"/>
    <w:rsid w:val="00AB098E"/>
    <w:rsid w:val="00AB0A50"/>
    <w:rsid w:val="00AB0CC4"/>
    <w:rsid w:val="00AB1450"/>
    <w:rsid w:val="00AB1806"/>
    <w:rsid w:val="00AB1B58"/>
    <w:rsid w:val="00AB1BDB"/>
    <w:rsid w:val="00AB2019"/>
    <w:rsid w:val="00AB22F7"/>
    <w:rsid w:val="00AB2386"/>
    <w:rsid w:val="00AB2635"/>
    <w:rsid w:val="00AB393F"/>
    <w:rsid w:val="00AB3A19"/>
    <w:rsid w:val="00AB418F"/>
    <w:rsid w:val="00AB453D"/>
    <w:rsid w:val="00AB4C03"/>
    <w:rsid w:val="00AB4C5E"/>
    <w:rsid w:val="00AB4CDC"/>
    <w:rsid w:val="00AB4E0A"/>
    <w:rsid w:val="00AB4EB2"/>
    <w:rsid w:val="00AB5281"/>
    <w:rsid w:val="00AB548D"/>
    <w:rsid w:val="00AB58B6"/>
    <w:rsid w:val="00AB58E0"/>
    <w:rsid w:val="00AB58E9"/>
    <w:rsid w:val="00AB5C95"/>
    <w:rsid w:val="00AB5F0B"/>
    <w:rsid w:val="00AB61AA"/>
    <w:rsid w:val="00AB64A5"/>
    <w:rsid w:val="00AB7413"/>
    <w:rsid w:val="00AC003D"/>
    <w:rsid w:val="00AC01EE"/>
    <w:rsid w:val="00AC0515"/>
    <w:rsid w:val="00AC093E"/>
    <w:rsid w:val="00AC0B3A"/>
    <w:rsid w:val="00AC15C9"/>
    <w:rsid w:val="00AC255E"/>
    <w:rsid w:val="00AC2F50"/>
    <w:rsid w:val="00AC38F3"/>
    <w:rsid w:val="00AC49A2"/>
    <w:rsid w:val="00AC4C65"/>
    <w:rsid w:val="00AC524D"/>
    <w:rsid w:val="00AC596C"/>
    <w:rsid w:val="00AC5AA0"/>
    <w:rsid w:val="00AC5B6C"/>
    <w:rsid w:val="00AC5D53"/>
    <w:rsid w:val="00AC5E14"/>
    <w:rsid w:val="00AC683A"/>
    <w:rsid w:val="00AC6E49"/>
    <w:rsid w:val="00AC6FE5"/>
    <w:rsid w:val="00AC75CD"/>
    <w:rsid w:val="00AC77B9"/>
    <w:rsid w:val="00AC7B32"/>
    <w:rsid w:val="00AC7B86"/>
    <w:rsid w:val="00AD02D2"/>
    <w:rsid w:val="00AD02F9"/>
    <w:rsid w:val="00AD0958"/>
    <w:rsid w:val="00AD0D72"/>
    <w:rsid w:val="00AD191D"/>
    <w:rsid w:val="00AD1D15"/>
    <w:rsid w:val="00AD257E"/>
    <w:rsid w:val="00AD2859"/>
    <w:rsid w:val="00AD2B33"/>
    <w:rsid w:val="00AD2DFC"/>
    <w:rsid w:val="00AD32ED"/>
    <w:rsid w:val="00AD389D"/>
    <w:rsid w:val="00AD38E3"/>
    <w:rsid w:val="00AD3946"/>
    <w:rsid w:val="00AD3FD6"/>
    <w:rsid w:val="00AD475D"/>
    <w:rsid w:val="00AD47DE"/>
    <w:rsid w:val="00AD4927"/>
    <w:rsid w:val="00AD5082"/>
    <w:rsid w:val="00AD53C8"/>
    <w:rsid w:val="00AD5584"/>
    <w:rsid w:val="00AD5669"/>
    <w:rsid w:val="00AD593C"/>
    <w:rsid w:val="00AD603F"/>
    <w:rsid w:val="00AD6753"/>
    <w:rsid w:val="00AD67BD"/>
    <w:rsid w:val="00AD6AC1"/>
    <w:rsid w:val="00AD6C68"/>
    <w:rsid w:val="00AD70D2"/>
    <w:rsid w:val="00AD78E1"/>
    <w:rsid w:val="00AD7DCB"/>
    <w:rsid w:val="00AE003F"/>
    <w:rsid w:val="00AE03C4"/>
    <w:rsid w:val="00AE058F"/>
    <w:rsid w:val="00AE0DE0"/>
    <w:rsid w:val="00AE1BD2"/>
    <w:rsid w:val="00AE1FD1"/>
    <w:rsid w:val="00AE2585"/>
    <w:rsid w:val="00AE259D"/>
    <w:rsid w:val="00AE286A"/>
    <w:rsid w:val="00AE2CD4"/>
    <w:rsid w:val="00AE306F"/>
    <w:rsid w:val="00AE31C9"/>
    <w:rsid w:val="00AE35A1"/>
    <w:rsid w:val="00AE3695"/>
    <w:rsid w:val="00AE370C"/>
    <w:rsid w:val="00AE3734"/>
    <w:rsid w:val="00AE3849"/>
    <w:rsid w:val="00AE392E"/>
    <w:rsid w:val="00AE3ACB"/>
    <w:rsid w:val="00AE3E6C"/>
    <w:rsid w:val="00AE41C3"/>
    <w:rsid w:val="00AE4CCF"/>
    <w:rsid w:val="00AE54AB"/>
    <w:rsid w:val="00AE558A"/>
    <w:rsid w:val="00AE5EDD"/>
    <w:rsid w:val="00AE63CA"/>
    <w:rsid w:val="00AE6575"/>
    <w:rsid w:val="00AE6911"/>
    <w:rsid w:val="00AE6982"/>
    <w:rsid w:val="00AE6A4C"/>
    <w:rsid w:val="00AE6F2D"/>
    <w:rsid w:val="00AE77AC"/>
    <w:rsid w:val="00AE78C6"/>
    <w:rsid w:val="00AE7ABC"/>
    <w:rsid w:val="00AE7B4C"/>
    <w:rsid w:val="00AF0354"/>
    <w:rsid w:val="00AF03E2"/>
    <w:rsid w:val="00AF0FC7"/>
    <w:rsid w:val="00AF14D0"/>
    <w:rsid w:val="00AF1C17"/>
    <w:rsid w:val="00AF1CAA"/>
    <w:rsid w:val="00AF1D36"/>
    <w:rsid w:val="00AF1E25"/>
    <w:rsid w:val="00AF26DE"/>
    <w:rsid w:val="00AF27ED"/>
    <w:rsid w:val="00AF2982"/>
    <w:rsid w:val="00AF2C79"/>
    <w:rsid w:val="00AF4016"/>
    <w:rsid w:val="00AF40D4"/>
    <w:rsid w:val="00AF415F"/>
    <w:rsid w:val="00AF4CBC"/>
    <w:rsid w:val="00AF5C7D"/>
    <w:rsid w:val="00AF61B1"/>
    <w:rsid w:val="00AF7533"/>
    <w:rsid w:val="00AF7715"/>
    <w:rsid w:val="00B00614"/>
    <w:rsid w:val="00B0061C"/>
    <w:rsid w:val="00B00825"/>
    <w:rsid w:val="00B00C02"/>
    <w:rsid w:val="00B00C9D"/>
    <w:rsid w:val="00B00CEA"/>
    <w:rsid w:val="00B00DAE"/>
    <w:rsid w:val="00B00E05"/>
    <w:rsid w:val="00B01A4C"/>
    <w:rsid w:val="00B01BA8"/>
    <w:rsid w:val="00B01CF6"/>
    <w:rsid w:val="00B01E29"/>
    <w:rsid w:val="00B026C4"/>
    <w:rsid w:val="00B02C78"/>
    <w:rsid w:val="00B02E23"/>
    <w:rsid w:val="00B03341"/>
    <w:rsid w:val="00B037FC"/>
    <w:rsid w:val="00B03ACE"/>
    <w:rsid w:val="00B0432E"/>
    <w:rsid w:val="00B044DF"/>
    <w:rsid w:val="00B0470B"/>
    <w:rsid w:val="00B047EE"/>
    <w:rsid w:val="00B04B43"/>
    <w:rsid w:val="00B04FBD"/>
    <w:rsid w:val="00B0511E"/>
    <w:rsid w:val="00B05266"/>
    <w:rsid w:val="00B05398"/>
    <w:rsid w:val="00B056E4"/>
    <w:rsid w:val="00B06257"/>
    <w:rsid w:val="00B0700E"/>
    <w:rsid w:val="00B07A4F"/>
    <w:rsid w:val="00B07E06"/>
    <w:rsid w:val="00B10086"/>
    <w:rsid w:val="00B10200"/>
    <w:rsid w:val="00B102B7"/>
    <w:rsid w:val="00B107BB"/>
    <w:rsid w:val="00B10F00"/>
    <w:rsid w:val="00B11D49"/>
    <w:rsid w:val="00B12C8C"/>
    <w:rsid w:val="00B12DC8"/>
    <w:rsid w:val="00B1317B"/>
    <w:rsid w:val="00B1341B"/>
    <w:rsid w:val="00B135F4"/>
    <w:rsid w:val="00B139A0"/>
    <w:rsid w:val="00B13BD8"/>
    <w:rsid w:val="00B13FE2"/>
    <w:rsid w:val="00B14489"/>
    <w:rsid w:val="00B14B5A"/>
    <w:rsid w:val="00B154C0"/>
    <w:rsid w:val="00B15558"/>
    <w:rsid w:val="00B15904"/>
    <w:rsid w:val="00B15ACD"/>
    <w:rsid w:val="00B15FC1"/>
    <w:rsid w:val="00B168ED"/>
    <w:rsid w:val="00B16B3D"/>
    <w:rsid w:val="00B175EC"/>
    <w:rsid w:val="00B17B5F"/>
    <w:rsid w:val="00B17EEB"/>
    <w:rsid w:val="00B200EA"/>
    <w:rsid w:val="00B20313"/>
    <w:rsid w:val="00B2095C"/>
    <w:rsid w:val="00B20FD0"/>
    <w:rsid w:val="00B215EF"/>
    <w:rsid w:val="00B21807"/>
    <w:rsid w:val="00B21A33"/>
    <w:rsid w:val="00B21A5B"/>
    <w:rsid w:val="00B21C5A"/>
    <w:rsid w:val="00B21D7F"/>
    <w:rsid w:val="00B2202B"/>
    <w:rsid w:val="00B2257F"/>
    <w:rsid w:val="00B230D8"/>
    <w:rsid w:val="00B23466"/>
    <w:rsid w:val="00B23501"/>
    <w:rsid w:val="00B235D6"/>
    <w:rsid w:val="00B2383F"/>
    <w:rsid w:val="00B24A0C"/>
    <w:rsid w:val="00B24FCF"/>
    <w:rsid w:val="00B25460"/>
    <w:rsid w:val="00B2567F"/>
    <w:rsid w:val="00B25916"/>
    <w:rsid w:val="00B25A2F"/>
    <w:rsid w:val="00B26360"/>
    <w:rsid w:val="00B264D8"/>
    <w:rsid w:val="00B26CD2"/>
    <w:rsid w:val="00B26D76"/>
    <w:rsid w:val="00B26FA5"/>
    <w:rsid w:val="00B272C5"/>
    <w:rsid w:val="00B273EE"/>
    <w:rsid w:val="00B27867"/>
    <w:rsid w:val="00B27AA3"/>
    <w:rsid w:val="00B27C40"/>
    <w:rsid w:val="00B27E9F"/>
    <w:rsid w:val="00B30081"/>
    <w:rsid w:val="00B30158"/>
    <w:rsid w:val="00B305A4"/>
    <w:rsid w:val="00B30B04"/>
    <w:rsid w:val="00B30D43"/>
    <w:rsid w:val="00B30EC9"/>
    <w:rsid w:val="00B310A8"/>
    <w:rsid w:val="00B310EF"/>
    <w:rsid w:val="00B311A4"/>
    <w:rsid w:val="00B31501"/>
    <w:rsid w:val="00B31588"/>
    <w:rsid w:val="00B31C85"/>
    <w:rsid w:val="00B31DCC"/>
    <w:rsid w:val="00B321C3"/>
    <w:rsid w:val="00B324E1"/>
    <w:rsid w:val="00B3293E"/>
    <w:rsid w:val="00B32C06"/>
    <w:rsid w:val="00B3353B"/>
    <w:rsid w:val="00B3366E"/>
    <w:rsid w:val="00B3377C"/>
    <w:rsid w:val="00B3385C"/>
    <w:rsid w:val="00B33C73"/>
    <w:rsid w:val="00B33CE6"/>
    <w:rsid w:val="00B33E7A"/>
    <w:rsid w:val="00B33EB5"/>
    <w:rsid w:val="00B345B7"/>
    <w:rsid w:val="00B34863"/>
    <w:rsid w:val="00B35476"/>
    <w:rsid w:val="00B356B5"/>
    <w:rsid w:val="00B36568"/>
    <w:rsid w:val="00B36841"/>
    <w:rsid w:val="00B36B3E"/>
    <w:rsid w:val="00B372DD"/>
    <w:rsid w:val="00B37480"/>
    <w:rsid w:val="00B3783E"/>
    <w:rsid w:val="00B3798E"/>
    <w:rsid w:val="00B37AB9"/>
    <w:rsid w:val="00B40053"/>
    <w:rsid w:val="00B40809"/>
    <w:rsid w:val="00B40B11"/>
    <w:rsid w:val="00B41150"/>
    <w:rsid w:val="00B4153C"/>
    <w:rsid w:val="00B419B6"/>
    <w:rsid w:val="00B41E22"/>
    <w:rsid w:val="00B41FD1"/>
    <w:rsid w:val="00B420C7"/>
    <w:rsid w:val="00B42153"/>
    <w:rsid w:val="00B42E3B"/>
    <w:rsid w:val="00B43217"/>
    <w:rsid w:val="00B43918"/>
    <w:rsid w:val="00B4395F"/>
    <w:rsid w:val="00B44050"/>
    <w:rsid w:val="00B442AE"/>
    <w:rsid w:val="00B442CC"/>
    <w:rsid w:val="00B44A22"/>
    <w:rsid w:val="00B44FDA"/>
    <w:rsid w:val="00B44FF4"/>
    <w:rsid w:val="00B45290"/>
    <w:rsid w:val="00B45C7C"/>
    <w:rsid w:val="00B45F8F"/>
    <w:rsid w:val="00B45FEB"/>
    <w:rsid w:val="00B46022"/>
    <w:rsid w:val="00B46348"/>
    <w:rsid w:val="00B46687"/>
    <w:rsid w:val="00B468B1"/>
    <w:rsid w:val="00B468DF"/>
    <w:rsid w:val="00B4692B"/>
    <w:rsid w:val="00B470DB"/>
    <w:rsid w:val="00B474F8"/>
    <w:rsid w:val="00B4758B"/>
    <w:rsid w:val="00B475AE"/>
    <w:rsid w:val="00B47759"/>
    <w:rsid w:val="00B47CA6"/>
    <w:rsid w:val="00B47E72"/>
    <w:rsid w:val="00B50917"/>
    <w:rsid w:val="00B50E72"/>
    <w:rsid w:val="00B513A2"/>
    <w:rsid w:val="00B5199A"/>
    <w:rsid w:val="00B51D88"/>
    <w:rsid w:val="00B51F2F"/>
    <w:rsid w:val="00B530A5"/>
    <w:rsid w:val="00B531D0"/>
    <w:rsid w:val="00B54145"/>
    <w:rsid w:val="00B54C00"/>
    <w:rsid w:val="00B54F71"/>
    <w:rsid w:val="00B54FEE"/>
    <w:rsid w:val="00B5563B"/>
    <w:rsid w:val="00B5591B"/>
    <w:rsid w:val="00B55FBA"/>
    <w:rsid w:val="00B56040"/>
    <w:rsid w:val="00B567DA"/>
    <w:rsid w:val="00B567F4"/>
    <w:rsid w:val="00B56F8E"/>
    <w:rsid w:val="00B5733D"/>
    <w:rsid w:val="00B57417"/>
    <w:rsid w:val="00B577BC"/>
    <w:rsid w:val="00B60F8B"/>
    <w:rsid w:val="00B61252"/>
    <w:rsid w:val="00B612A6"/>
    <w:rsid w:val="00B615A0"/>
    <w:rsid w:val="00B61740"/>
    <w:rsid w:val="00B6182C"/>
    <w:rsid w:val="00B61C9A"/>
    <w:rsid w:val="00B62463"/>
    <w:rsid w:val="00B645EF"/>
    <w:rsid w:val="00B64C7F"/>
    <w:rsid w:val="00B64CEB"/>
    <w:rsid w:val="00B668D8"/>
    <w:rsid w:val="00B67013"/>
    <w:rsid w:val="00B67795"/>
    <w:rsid w:val="00B67D1D"/>
    <w:rsid w:val="00B7038B"/>
    <w:rsid w:val="00B7041A"/>
    <w:rsid w:val="00B7065E"/>
    <w:rsid w:val="00B70DE9"/>
    <w:rsid w:val="00B71C10"/>
    <w:rsid w:val="00B72A35"/>
    <w:rsid w:val="00B72C2B"/>
    <w:rsid w:val="00B72CA0"/>
    <w:rsid w:val="00B73079"/>
    <w:rsid w:val="00B73191"/>
    <w:rsid w:val="00B736F6"/>
    <w:rsid w:val="00B73A80"/>
    <w:rsid w:val="00B73F93"/>
    <w:rsid w:val="00B73FEB"/>
    <w:rsid w:val="00B74BC3"/>
    <w:rsid w:val="00B75285"/>
    <w:rsid w:val="00B75C71"/>
    <w:rsid w:val="00B76826"/>
    <w:rsid w:val="00B7719F"/>
    <w:rsid w:val="00B778E4"/>
    <w:rsid w:val="00B804D1"/>
    <w:rsid w:val="00B8074E"/>
    <w:rsid w:val="00B807A5"/>
    <w:rsid w:val="00B81444"/>
    <w:rsid w:val="00B816E2"/>
    <w:rsid w:val="00B81768"/>
    <w:rsid w:val="00B81DFE"/>
    <w:rsid w:val="00B81F3D"/>
    <w:rsid w:val="00B81F92"/>
    <w:rsid w:val="00B8208F"/>
    <w:rsid w:val="00B82589"/>
    <w:rsid w:val="00B83692"/>
    <w:rsid w:val="00B83BD1"/>
    <w:rsid w:val="00B83C54"/>
    <w:rsid w:val="00B83CB9"/>
    <w:rsid w:val="00B84317"/>
    <w:rsid w:val="00B84664"/>
    <w:rsid w:val="00B846FF"/>
    <w:rsid w:val="00B848A6"/>
    <w:rsid w:val="00B84C01"/>
    <w:rsid w:val="00B84FDE"/>
    <w:rsid w:val="00B85331"/>
    <w:rsid w:val="00B85EE5"/>
    <w:rsid w:val="00B86BC8"/>
    <w:rsid w:val="00B87A33"/>
    <w:rsid w:val="00B87A4C"/>
    <w:rsid w:val="00B9064D"/>
    <w:rsid w:val="00B9067D"/>
    <w:rsid w:val="00B90780"/>
    <w:rsid w:val="00B908F0"/>
    <w:rsid w:val="00B90D76"/>
    <w:rsid w:val="00B90F8B"/>
    <w:rsid w:val="00B919CF"/>
    <w:rsid w:val="00B927B6"/>
    <w:rsid w:val="00B92C84"/>
    <w:rsid w:val="00B92DDC"/>
    <w:rsid w:val="00B92FD0"/>
    <w:rsid w:val="00B93115"/>
    <w:rsid w:val="00B932EB"/>
    <w:rsid w:val="00B93C81"/>
    <w:rsid w:val="00B94215"/>
    <w:rsid w:val="00B94BC2"/>
    <w:rsid w:val="00B94C2C"/>
    <w:rsid w:val="00B95105"/>
    <w:rsid w:val="00B951FA"/>
    <w:rsid w:val="00B958F6"/>
    <w:rsid w:val="00B968AD"/>
    <w:rsid w:val="00B969E4"/>
    <w:rsid w:val="00B96EA2"/>
    <w:rsid w:val="00B97006"/>
    <w:rsid w:val="00B97319"/>
    <w:rsid w:val="00B97789"/>
    <w:rsid w:val="00B97DC5"/>
    <w:rsid w:val="00BA04F4"/>
    <w:rsid w:val="00BA0CC7"/>
    <w:rsid w:val="00BA11B0"/>
    <w:rsid w:val="00BA128A"/>
    <w:rsid w:val="00BA147E"/>
    <w:rsid w:val="00BA14C9"/>
    <w:rsid w:val="00BA161F"/>
    <w:rsid w:val="00BA18C0"/>
    <w:rsid w:val="00BA1946"/>
    <w:rsid w:val="00BA2062"/>
    <w:rsid w:val="00BA2151"/>
    <w:rsid w:val="00BA2F73"/>
    <w:rsid w:val="00BA3126"/>
    <w:rsid w:val="00BA314D"/>
    <w:rsid w:val="00BA39C0"/>
    <w:rsid w:val="00BA3AD9"/>
    <w:rsid w:val="00BA3CE9"/>
    <w:rsid w:val="00BA40C3"/>
    <w:rsid w:val="00BA46A9"/>
    <w:rsid w:val="00BA4879"/>
    <w:rsid w:val="00BA4D62"/>
    <w:rsid w:val="00BA4D78"/>
    <w:rsid w:val="00BA4DE2"/>
    <w:rsid w:val="00BA5214"/>
    <w:rsid w:val="00BA5282"/>
    <w:rsid w:val="00BA5558"/>
    <w:rsid w:val="00BA5C78"/>
    <w:rsid w:val="00BA66A8"/>
    <w:rsid w:val="00BA687D"/>
    <w:rsid w:val="00BA71E1"/>
    <w:rsid w:val="00BA74FC"/>
    <w:rsid w:val="00BA760A"/>
    <w:rsid w:val="00BB03BB"/>
    <w:rsid w:val="00BB04F1"/>
    <w:rsid w:val="00BB05A0"/>
    <w:rsid w:val="00BB05F4"/>
    <w:rsid w:val="00BB08EE"/>
    <w:rsid w:val="00BB0EFF"/>
    <w:rsid w:val="00BB115B"/>
    <w:rsid w:val="00BB1783"/>
    <w:rsid w:val="00BB2000"/>
    <w:rsid w:val="00BB2101"/>
    <w:rsid w:val="00BB2155"/>
    <w:rsid w:val="00BB2A39"/>
    <w:rsid w:val="00BB3316"/>
    <w:rsid w:val="00BB36B4"/>
    <w:rsid w:val="00BB381E"/>
    <w:rsid w:val="00BB3FE3"/>
    <w:rsid w:val="00BB4174"/>
    <w:rsid w:val="00BB4BCC"/>
    <w:rsid w:val="00BB50C4"/>
    <w:rsid w:val="00BB5147"/>
    <w:rsid w:val="00BB533C"/>
    <w:rsid w:val="00BB6A8F"/>
    <w:rsid w:val="00BB7803"/>
    <w:rsid w:val="00BC0313"/>
    <w:rsid w:val="00BC031C"/>
    <w:rsid w:val="00BC033A"/>
    <w:rsid w:val="00BC03A1"/>
    <w:rsid w:val="00BC0521"/>
    <w:rsid w:val="00BC05BB"/>
    <w:rsid w:val="00BC0CC3"/>
    <w:rsid w:val="00BC1700"/>
    <w:rsid w:val="00BC20E0"/>
    <w:rsid w:val="00BC3F52"/>
    <w:rsid w:val="00BC403F"/>
    <w:rsid w:val="00BC428F"/>
    <w:rsid w:val="00BC4643"/>
    <w:rsid w:val="00BC4959"/>
    <w:rsid w:val="00BC5036"/>
    <w:rsid w:val="00BC50B3"/>
    <w:rsid w:val="00BC5440"/>
    <w:rsid w:val="00BC5600"/>
    <w:rsid w:val="00BC57BF"/>
    <w:rsid w:val="00BC5D1F"/>
    <w:rsid w:val="00BC6004"/>
    <w:rsid w:val="00BC6019"/>
    <w:rsid w:val="00BC6BA6"/>
    <w:rsid w:val="00BC6DF2"/>
    <w:rsid w:val="00BC73F2"/>
    <w:rsid w:val="00BC73F7"/>
    <w:rsid w:val="00BC75EE"/>
    <w:rsid w:val="00BC79F6"/>
    <w:rsid w:val="00BC7D81"/>
    <w:rsid w:val="00BD021D"/>
    <w:rsid w:val="00BD0500"/>
    <w:rsid w:val="00BD0B8C"/>
    <w:rsid w:val="00BD0BC1"/>
    <w:rsid w:val="00BD163C"/>
    <w:rsid w:val="00BD16F4"/>
    <w:rsid w:val="00BD1DE7"/>
    <w:rsid w:val="00BD1FFD"/>
    <w:rsid w:val="00BD2654"/>
    <w:rsid w:val="00BD2681"/>
    <w:rsid w:val="00BD35D8"/>
    <w:rsid w:val="00BD3992"/>
    <w:rsid w:val="00BD3C64"/>
    <w:rsid w:val="00BD3DC5"/>
    <w:rsid w:val="00BD4786"/>
    <w:rsid w:val="00BD4C5E"/>
    <w:rsid w:val="00BD4D9D"/>
    <w:rsid w:val="00BD5C64"/>
    <w:rsid w:val="00BD6446"/>
    <w:rsid w:val="00BD71C8"/>
    <w:rsid w:val="00BD787A"/>
    <w:rsid w:val="00BD78B9"/>
    <w:rsid w:val="00BD7935"/>
    <w:rsid w:val="00BD7F7A"/>
    <w:rsid w:val="00BE00B9"/>
    <w:rsid w:val="00BE03FD"/>
    <w:rsid w:val="00BE055D"/>
    <w:rsid w:val="00BE0A0C"/>
    <w:rsid w:val="00BE0C10"/>
    <w:rsid w:val="00BE16C1"/>
    <w:rsid w:val="00BE1FCE"/>
    <w:rsid w:val="00BE2340"/>
    <w:rsid w:val="00BE256C"/>
    <w:rsid w:val="00BE2693"/>
    <w:rsid w:val="00BE291B"/>
    <w:rsid w:val="00BE29D3"/>
    <w:rsid w:val="00BE2C28"/>
    <w:rsid w:val="00BE2F96"/>
    <w:rsid w:val="00BE35B9"/>
    <w:rsid w:val="00BE4036"/>
    <w:rsid w:val="00BE4E40"/>
    <w:rsid w:val="00BE5A7F"/>
    <w:rsid w:val="00BE6268"/>
    <w:rsid w:val="00BE6311"/>
    <w:rsid w:val="00BE6600"/>
    <w:rsid w:val="00BE6648"/>
    <w:rsid w:val="00BE6B77"/>
    <w:rsid w:val="00BE6DDB"/>
    <w:rsid w:val="00BE6FB5"/>
    <w:rsid w:val="00BE7847"/>
    <w:rsid w:val="00BF0111"/>
    <w:rsid w:val="00BF0114"/>
    <w:rsid w:val="00BF06E3"/>
    <w:rsid w:val="00BF0859"/>
    <w:rsid w:val="00BF0E20"/>
    <w:rsid w:val="00BF1725"/>
    <w:rsid w:val="00BF1773"/>
    <w:rsid w:val="00BF17E1"/>
    <w:rsid w:val="00BF22F7"/>
    <w:rsid w:val="00BF23D3"/>
    <w:rsid w:val="00BF2501"/>
    <w:rsid w:val="00BF2948"/>
    <w:rsid w:val="00BF391C"/>
    <w:rsid w:val="00BF453B"/>
    <w:rsid w:val="00BF46D1"/>
    <w:rsid w:val="00BF5725"/>
    <w:rsid w:val="00BF5946"/>
    <w:rsid w:val="00BF5D1F"/>
    <w:rsid w:val="00BF5ED8"/>
    <w:rsid w:val="00BF6349"/>
    <w:rsid w:val="00BF6531"/>
    <w:rsid w:val="00BF6546"/>
    <w:rsid w:val="00BF694F"/>
    <w:rsid w:val="00BF6D37"/>
    <w:rsid w:val="00BF72C5"/>
    <w:rsid w:val="00BF737B"/>
    <w:rsid w:val="00BF762A"/>
    <w:rsid w:val="00BF7F39"/>
    <w:rsid w:val="00C0021F"/>
    <w:rsid w:val="00C0026E"/>
    <w:rsid w:val="00C00657"/>
    <w:rsid w:val="00C01DBA"/>
    <w:rsid w:val="00C01FE4"/>
    <w:rsid w:val="00C020EA"/>
    <w:rsid w:val="00C024D8"/>
    <w:rsid w:val="00C02848"/>
    <w:rsid w:val="00C02ADA"/>
    <w:rsid w:val="00C02F34"/>
    <w:rsid w:val="00C035F3"/>
    <w:rsid w:val="00C040FD"/>
    <w:rsid w:val="00C04A79"/>
    <w:rsid w:val="00C04B7B"/>
    <w:rsid w:val="00C058DF"/>
    <w:rsid w:val="00C0614D"/>
    <w:rsid w:val="00C0618F"/>
    <w:rsid w:val="00C061FE"/>
    <w:rsid w:val="00C064AB"/>
    <w:rsid w:val="00C065D0"/>
    <w:rsid w:val="00C06671"/>
    <w:rsid w:val="00C06DFA"/>
    <w:rsid w:val="00C06FE6"/>
    <w:rsid w:val="00C074E3"/>
    <w:rsid w:val="00C0750F"/>
    <w:rsid w:val="00C07A94"/>
    <w:rsid w:val="00C07EC9"/>
    <w:rsid w:val="00C10444"/>
    <w:rsid w:val="00C10F59"/>
    <w:rsid w:val="00C11113"/>
    <w:rsid w:val="00C11333"/>
    <w:rsid w:val="00C11C51"/>
    <w:rsid w:val="00C122F0"/>
    <w:rsid w:val="00C1346D"/>
    <w:rsid w:val="00C13623"/>
    <w:rsid w:val="00C136BB"/>
    <w:rsid w:val="00C1542A"/>
    <w:rsid w:val="00C15A95"/>
    <w:rsid w:val="00C1622F"/>
    <w:rsid w:val="00C16569"/>
    <w:rsid w:val="00C1666E"/>
    <w:rsid w:val="00C167BD"/>
    <w:rsid w:val="00C16AF0"/>
    <w:rsid w:val="00C16B5A"/>
    <w:rsid w:val="00C16C73"/>
    <w:rsid w:val="00C16D13"/>
    <w:rsid w:val="00C16DF1"/>
    <w:rsid w:val="00C16F28"/>
    <w:rsid w:val="00C16F6D"/>
    <w:rsid w:val="00C176C1"/>
    <w:rsid w:val="00C178C3"/>
    <w:rsid w:val="00C1790B"/>
    <w:rsid w:val="00C17919"/>
    <w:rsid w:val="00C17BD8"/>
    <w:rsid w:val="00C20A14"/>
    <w:rsid w:val="00C20ABE"/>
    <w:rsid w:val="00C20D34"/>
    <w:rsid w:val="00C22624"/>
    <w:rsid w:val="00C22868"/>
    <w:rsid w:val="00C24125"/>
    <w:rsid w:val="00C246E0"/>
    <w:rsid w:val="00C24945"/>
    <w:rsid w:val="00C24F5B"/>
    <w:rsid w:val="00C255E2"/>
    <w:rsid w:val="00C25BA2"/>
    <w:rsid w:val="00C25E84"/>
    <w:rsid w:val="00C264FE"/>
    <w:rsid w:val="00C2738A"/>
    <w:rsid w:val="00C273DF"/>
    <w:rsid w:val="00C2759B"/>
    <w:rsid w:val="00C276B4"/>
    <w:rsid w:val="00C3011D"/>
    <w:rsid w:val="00C306B7"/>
    <w:rsid w:val="00C30813"/>
    <w:rsid w:val="00C30955"/>
    <w:rsid w:val="00C30DA7"/>
    <w:rsid w:val="00C30F81"/>
    <w:rsid w:val="00C31492"/>
    <w:rsid w:val="00C315E8"/>
    <w:rsid w:val="00C31779"/>
    <w:rsid w:val="00C32CBF"/>
    <w:rsid w:val="00C335C7"/>
    <w:rsid w:val="00C33626"/>
    <w:rsid w:val="00C34B04"/>
    <w:rsid w:val="00C34E1E"/>
    <w:rsid w:val="00C34ED1"/>
    <w:rsid w:val="00C35158"/>
    <w:rsid w:val="00C352F3"/>
    <w:rsid w:val="00C357F3"/>
    <w:rsid w:val="00C36132"/>
    <w:rsid w:val="00C3698D"/>
    <w:rsid w:val="00C36AC2"/>
    <w:rsid w:val="00C36DC4"/>
    <w:rsid w:val="00C400A1"/>
    <w:rsid w:val="00C40C9E"/>
    <w:rsid w:val="00C41BB1"/>
    <w:rsid w:val="00C41EC8"/>
    <w:rsid w:val="00C4233D"/>
    <w:rsid w:val="00C42B60"/>
    <w:rsid w:val="00C43080"/>
    <w:rsid w:val="00C43525"/>
    <w:rsid w:val="00C438B7"/>
    <w:rsid w:val="00C43EBB"/>
    <w:rsid w:val="00C43F8C"/>
    <w:rsid w:val="00C44B67"/>
    <w:rsid w:val="00C44EA5"/>
    <w:rsid w:val="00C44F23"/>
    <w:rsid w:val="00C45730"/>
    <w:rsid w:val="00C45DC2"/>
    <w:rsid w:val="00C4604D"/>
    <w:rsid w:val="00C46305"/>
    <w:rsid w:val="00C46363"/>
    <w:rsid w:val="00C4669C"/>
    <w:rsid w:val="00C4694C"/>
    <w:rsid w:val="00C46EC0"/>
    <w:rsid w:val="00C50D9B"/>
    <w:rsid w:val="00C5118C"/>
    <w:rsid w:val="00C512DF"/>
    <w:rsid w:val="00C51778"/>
    <w:rsid w:val="00C51979"/>
    <w:rsid w:val="00C51A38"/>
    <w:rsid w:val="00C5225D"/>
    <w:rsid w:val="00C52412"/>
    <w:rsid w:val="00C527E6"/>
    <w:rsid w:val="00C52AF7"/>
    <w:rsid w:val="00C52F16"/>
    <w:rsid w:val="00C531F3"/>
    <w:rsid w:val="00C532E0"/>
    <w:rsid w:val="00C5330F"/>
    <w:rsid w:val="00C53515"/>
    <w:rsid w:val="00C53937"/>
    <w:rsid w:val="00C5413C"/>
    <w:rsid w:val="00C542EE"/>
    <w:rsid w:val="00C548F3"/>
    <w:rsid w:val="00C55661"/>
    <w:rsid w:val="00C55AA9"/>
    <w:rsid w:val="00C55D2B"/>
    <w:rsid w:val="00C561D3"/>
    <w:rsid w:val="00C5645D"/>
    <w:rsid w:val="00C5646C"/>
    <w:rsid w:val="00C56C0D"/>
    <w:rsid w:val="00C56CB9"/>
    <w:rsid w:val="00C57596"/>
    <w:rsid w:val="00C57A18"/>
    <w:rsid w:val="00C6003D"/>
    <w:rsid w:val="00C60155"/>
    <w:rsid w:val="00C60C85"/>
    <w:rsid w:val="00C60D6D"/>
    <w:rsid w:val="00C614B2"/>
    <w:rsid w:val="00C61B78"/>
    <w:rsid w:val="00C61BB2"/>
    <w:rsid w:val="00C61FFC"/>
    <w:rsid w:val="00C621A3"/>
    <w:rsid w:val="00C62530"/>
    <w:rsid w:val="00C625EC"/>
    <w:rsid w:val="00C627D4"/>
    <w:rsid w:val="00C6283B"/>
    <w:rsid w:val="00C62CB1"/>
    <w:rsid w:val="00C63214"/>
    <w:rsid w:val="00C63BAA"/>
    <w:rsid w:val="00C63BAB"/>
    <w:rsid w:val="00C6405E"/>
    <w:rsid w:val="00C64143"/>
    <w:rsid w:val="00C6450B"/>
    <w:rsid w:val="00C6465E"/>
    <w:rsid w:val="00C6486F"/>
    <w:rsid w:val="00C64A19"/>
    <w:rsid w:val="00C64E24"/>
    <w:rsid w:val="00C64E3F"/>
    <w:rsid w:val="00C65050"/>
    <w:rsid w:val="00C65231"/>
    <w:rsid w:val="00C655E1"/>
    <w:rsid w:val="00C66001"/>
    <w:rsid w:val="00C660EB"/>
    <w:rsid w:val="00C662FF"/>
    <w:rsid w:val="00C6660B"/>
    <w:rsid w:val="00C66889"/>
    <w:rsid w:val="00C66F7E"/>
    <w:rsid w:val="00C672B2"/>
    <w:rsid w:val="00C67751"/>
    <w:rsid w:val="00C678EA"/>
    <w:rsid w:val="00C70140"/>
    <w:rsid w:val="00C70D98"/>
    <w:rsid w:val="00C70DA7"/>
    <w:rsid w:val="00C710D3"/>
    <w:rsid w:val="00C72A66"/>
    <w:rsid w:val="00C72A9C"/>
    <w:rsid w:val="00C72C9B"/>
    <w:rsid w:val="00C72D23"/>
    <w:rsid w:val="00C7314E"/>
    <w:rsid w:val="00C7325E"/>
    <w:rsid w:val="00C734BB"/>
    <w:rsid w:val="00C735F8"/>
    <w:rsid w:val="00C73DF6"/>
    <w:rsid w:val="00C740E1"/>
    <w:rsid w:val="00C74292"/>
    <w:rsid w:val="00C7430E"/>
    <w:rsid w:val="00C743EF"/>
    <w:rsid w:val="00C7466F"/>
    <w:rsid w:val="00C746C5"/>
    <w:rsid w:val="00C747CC"/>
    <w:rsid w:val="00C74A69"/>
    <w:rsid w:val="00C751CB"/>
    <w:rsid w:val="00C7545F"/>
    <w:rsid w:val="00C75960"/>
    <w:rsid w:val="00C759F5"/>
    <w:rsid w:val="00C75C6E"/>
    <w:rsid w:val="00C75D87"/>
    <w:rsid w:val="00C7638A"/>
    <w:rsid w:val="00C767C6"/>
    <w:rsid w:val="00C76BA7"/>
    <w:rsid w:val="00C76CA2"/>
    <w:rsid w:val="00C76F70"/>
    <w:rsid w:val="00C76FDC"/>
    <w:rsid w:val="00C77A73"/>
    <w:rsid w:val="00C802DA"/>
    <w:rsid w:val="00C803A2"/>
    <w:rsid w:val="00C8054B"/>
    <w:rsid w:val="00C806AB"/>
    <w:rsid w:val="00C8070D"/>
    <w:rsid w:val="00C80ACE"/>
    <w:rsid w:val="00C80CB5"/>
    <w:rsid w:val="00C80EA5"/>
    <w:rsid w:val="00C81331"/>
    <w:rsid w:val="00C8158B"/>
    <w:rsid w:val="00C81A0F"/>
    <w:rsid w:val="00C81E2A"/>
    <w:rsid w:val="00C82489"/>
    <w:rsid w:val="00C83039"/>
    <w:rsid w:val="00C83315"/>
    <w:rsid w:val="00C8399C"/>
    <w:rsid w:val="00C839B7"/>
    <w:rsid w:val="00C83C02"/>
    <w:rsid w:val="00C83CB8"/>
    <w:rsid w:val="00C83D6F"/>
    <w:rsid w:val="00C83E36"/>
    <w:rsid w:val="00C83F17"/>
    <w:rsid w:val="00C841CB"/>
    <w:rsid w:val="00C84895"/>
    <w:rsid w:val="00C84EE6"/>
    <w:rsid w:val="00C85BAF"/>
    <w:rsid w:val="00C85ED5"/>
    <w:rsid w:val="00C86496"/>
    <w:rsid w:val="00C8670A"/>
    <w:rsid w:val="00C86752"/>
    <w:rsid w:val="00C86B03"/>
    <w:rsid w:val="00C86C34"/>
    <w:rsid w:val="00C86D35"/>
    <w:rsid w:val="00C86F9A"/>
    <w:rsid w:val="00C8776A"/>
    <w:rsid w:val="00C877EA"/>
    <w:rsid w:val="00C90231"/>
    <w:rsid w:val="00C90FBF"/>
    <w:rsid w:val="00C91207"/>
    <w:rsid w:val="00C9144E"/>
    <w:rsid w:val="00C9217E"/>
    <w:rsid w:val="00C9249C"/>
    <w:rsid w:val="00C929DD"/>
    <w:rsid w:val="00C92A0B"/>
    <w:rsid w:val="00C92BBA"/>
    <w:rsid w:val="00C92DFC"/>
    <w:rsid w:val="00C93999"/>
    <w:rsid w:val="00C93BB3"/>
    <w:rsid w:val="00C93C56"/>
    <w:rsid w:val="00C93E63"/>
    <w:rsid w:val="00C94289"/>
    <w:rsid w:val="00C94394"/>
    <w:rsid w:val="00C94444"/>
    <w:rsid w:val="00C94A25"/>
    <w:rsid w:val="00C94BF7"/>
    <w:rsid w:val="00C94F49"/>
    <w:rsid w:val="00C95214"/>
    <w:rsid w:val="00C952B8"/>
    <w:rsid w:val="00C9578D"/>
    <w:rsid w:val="00C95C35"/>
    <w:rsid w:val="00C96162"/>
    <w:rsid w:val="00C96612"/>
    <w:rsid w:val="00C96C20"/>
    <w:rsid w:val="00C96ED1"/>
    <w:rsid w:val="00C9724A"/>
    <w:rsid w:val="00C97A4A"/>
    <w:rsid w:val="00CA03CA"/>
    <w:rsid w:val="00CA0473"/>
    <w:rsid w:val="00CA04A8"/>
    <w:rsid w:val="00CA0AC7"/>
    <w:rsid w:val="00CA106F"/>
    <w:rsid w:val="00CA13AC"/>
    <w:rsid w:val="00CA21B3"/>
    <w:rsid w:val="00CA307F"/>
    <w:rsid w:val="00CA35E6"/>
    <w:rsid w:val="00CA36EE"/>
    <w:rsid w:val="00CA3C44"/>
    <w:rsid w:val="00CA427E"/>
    <w:rsid w:val="00CA49A4"/>
    <w:rsid w:val="00CA4E6B"/>
    <w:rsid w:val="00CA4EEF"/>
    <w:rsid w:val="00CA57AD"/>
    <w:rsid w:val="00CA5C85"/>
    <w:rsid w:val="00CA5CB0"/>
    <w:rsid w:val="00CA5E6A"/>
    <w:rsid w:val="00CA6167"/>
    <w:rsid w:val="00CA6189"/>
    <w:rsid w:val="00CA6807"/>
    <w:rsid w:val="00CA6B6B"/>
    <w:rsid w:val="00CA7231"/>
    <w:rsid w:val="00CA76DE"/>
    <w:rsid w:val="00CB00E5"/>
    <w:rsid w:val="00CB06DE"/>
    <w:rsid w:val="00CB0966"/>
    <w:rsid w:val="00CB097E"/>
    <w:rsid w:val="00CB1CB2"/>
    <w:rsid w:val="00CB2225"/>
    <w:rsid w:val="00CB2589"/>
    <w:rsid w:val="00CB2727"/>
    <w:rsid w:val="00CB283E"/>
    <w:rsid w:val="00CB2C40"/>
    <w:rsid w:val="00CB2ED4"/>
    <w:rsid w:val="00CB2FC9"/>
    <w:rsid w:val="00CB306B"/>
    <w:rsid w:val="00CB33D2"/>
    <w:rsid w:val="00CB383D"/>
    <w:rsid w:val="00CB3BD5"/>
    <w:rsid w:val="00CB41B1"/>
    <w:rsid w:val="00CB48ED"/>
    <w:rsid w:val="00CB51D7"/>
    <w:rsid w:val="00CB531F"/>
    <w:rsid w:val="00CB5398"/>
    <w:rsid w:val="00CB5729"/>
    <w:rsid w:val="00CB578F"/>
    <w:rsid w:val="00CB5C1D"/>
    <w:rsid w:val="00CB5F41"/>
    <w:rsid w:val="00CB6D38"/>
    <w:rsid w:val="00CB6F52"/>
    <w:rsid w:val="00CB701B"/>
    <w:rsid w:val="00CB7CAC"/>
    <w:rsid w:val="00CC0D3E"/>
    <w:rsid w:val="00CC0DBA"/>
    <w:rsid w:val="00CC15A2"/>
    <w:rsid w:val="00CC1A12"/>
    <w:rsid w:val="00CC1B5B"/>
    <w:rsid w:val="00CC1F39"/>
    <w:rsid w:val="00CC29D1"/>
    <w:rsid w:val="00CC2F08"/>
    <w:rsid w:val="00CC2FB6"/>
    <w:rsid w:val="00CC326C"/>
    <w:rsid w:val="00CC3352"/>
    <w:rsid w:val="00CC35E7"/>
    <w:rsid w:val="00CC3760"/>
    <w:rsid w:val="00CC3ED8"/>
    <w:rsid w:val="00CC459E"/>
    <w:rsid w:val="00CC5313"/>
    <w:rsid w:val="00CC582F"/>
    <w:rsid w:val="00CC5C5D"/>
    <w:rsid w:val="00CC5D01"/>
    <w:rsid w:val="00CC6308"/>
    <w:rsid w:val="00CC67CC"/>
    <w:rsid w:val="00CC69A8"/>
    <w:rsid w:val="00CC6C62"/>
    <w:rsid w:val="00CD04A8"/>
    <w:rsid w:val="00CD0927"/>
    <w:rsid w:val="00CD0A2B"/>
    <w:rsid w:val="00CD0D1F"/>
    <w:rsid w:val="00CD0D3E"/>
    <w:rsid w:val="00CD0D49"/>
    <w:rsid w:val="00CD0EA7"/>
    <w:rsid w:val="00CD0F5D"/>
    <w:rsid w:val="00CD14B4"/>
    <w:rsid w:val="00CD15A0"/>
    <w:rsid w:val="00CD15A1"/>
    <w:rsid w:val="00CD1EA8"/>
    <w:rsid w:val="00CD1EF9"/>
    <w:rsid w:val="00CD223C"/>
    <w:rsid w:val="00CD2983"/>
    <w:rsid w:val="00CD2D95"/>
    <w:rsid w:val="00CD2DAD"/>
    <w:rsid w:val="00CD2DBE"/>
    <w:rsid w:val="00CD2FAA"/>
    <w:rsid w:val="00CD355D"/>
    <w:rsid w:val="00CD390D"/>
    <w:rsid w:val="00CD3F61"/>
    <w:rsid w:val="00CD40F5"/>
    <w:rsid w:val="00CD417F"/>
    <w:rsid w:val="00CD4827"/>
    <w:rsid w:val="00CD4B39"/>
    <w:rsid w:val="00CD52FC"/>
    <w:rsid w:val="00CD547C"/>
    <w:rsid w:val="00CD55BF"/>
    <w:rsid w:val="00CD583B"/>
    <w:rsid w:val="00CD5DE1"/>
    <w:rsid w:val="00CD5E99"/>
    <w:rsid w:val="00CD68A6"/>
    <w:rsid w:val="00CD6A02"/>
    <w:rsid w:val="00CD6F2B"/>
    <w:rsid w:val="00CD709A"/>
    <w:rsid w:val="00CD70D8"/>
    <w:rsid w:val="00CD7454"/>
    <w:rsid w:val="00CD7E7A"/>
    <w:rsid w:val="00CE0214"/>
    <w:rsid w:val="00CE06AE"/>
    <w:rsid w:val="00CE0934"/>
    <w:rsid w:val="00CE0D55"/>
    <w:rsid w:val="00CE101A"/>
    <w:rsid w:val="00CE1172"/>
    <w:rsid w:val="00CE120C"/>
    <w:rsid w:val="00CE13F1"/>
    <w:rsid w:val="00CE141B"/>
    <w:rsid w:val="00CE142B"/>
    <w:rsid w:val="00CE151D"/>
    <w:rsid w:val="00CE1A07"/>
    <w:rsid w:val="00CE1F67"/>
    <w:rsid w:val="00CE21E7"/>
    <w:rsid w:val="00CE2EB8"/>
    <w:rsid w:val="00CE3129"/>
    <w:rsid w:val="00CE36E0"/>
    <w:rsid w:val="00CE393C"/>
    <w:rsid w:val="00CE3EA5"/>
    <w:rsid w:val="00CE40E2"/>
    <w:rsid w:val="00CE4101"/>
    <w:rsid w:val="00CE410D"/>
    <w:rsid w:val="00CE4A5A"/>
    <w:rsid w:val="00CE4CF4"/>
    <w:rsid w:val="00CE5395"/>
    <w:rsid w:val="00CE5AF5"/>
    <w:rsid w:val="00CE6C49"/>
    <w:rsid w:val="00CE780D"/>
    <w:rsid w:val="00CE7FA8"/>
    <w:rsid w:val="00CF0552"/>
    <w:rsid w:val="00CF05D3"/>
    <w:rsid w:val="00CF0684"/>
    <w:rsid w:val="00CF0B79"/>
    <w:rsid w:val="00CF0B7B"/>
    <w:rsid w:val="00CF0C90"/>
    <w:rsid w:val="00CF0D50"/>
    <w:rsid w:val="00CF0EF9"/>
    <w:rsid w:val="00CF1844"/>
    <w:rsid w:val="00CF2473"/>
    <w:rsid w:val="00CF2995"/>
    <w:rsid w:val="00CF2A8A"/>
    <w:rsid w:val="00CF2B28"/>
    <w:rsid w:val="00CF2D84"/>
    <w:rsid w:val="00CF3AA0"/>
    <w:rsid w:val="00CF3B79"/>
    <w:rsid w:val="00CF4294"/>
    <w:rsid w:val="00CF52BD"/>
    <w:rsid w:val="00CF5A3A"/>
    <w:rsid w:val="00CF5B23"/>
    <w:rsid w:val="00CF6572"/>
    <w:rsid w:val="00CF7ED5"/>
    <w:rsid w:val="00D00BA4"/>
    <w:rsid w:val="00D00EE6"/>
    <w:rsid w:val="00D010C3"/>
    <w:rsid w:val="00D01237"/>
    <w:rsid w:val="00D012EC"/>
    <w:rsid w:val="00D0212D"/>
    <w:rsid w:val="00D02CB5"/>
    <w:rsid w:val="00D02DC3"/>
    <w:rsid w:val="00D02E12"/>
    <w:rsid w:val="00D032C8"/>
    <w:rsid w:val="00D038E3"/>
    <w:rsid w:val="00D03A71"/>
    <w:rsid w:val="00D03BFE"/>
    <w:rsid w:val="00D03C73"/>
    <w:rsid w:val="00D03D35"/>
    <w:rsid w:val="00D03F4B"/>
    <w:rsid w:val="00D04A2D"/>
    <w:rsid w:val="00D04C73"/>
    <w:rsid w:val="00D059DD"/>
    <w:rsid w:val="00D05B05"/>
    <w:rsid w:val="00D05C0F"/>
    <w:rsid w:val="00D0600A"/>
    <w:rsid w:val="00D0602F"/>
    <w:rsid w:val="00D068EE"/>
    <w:rsid w:val="00D0691C"/>
    <w:rsid w:val="00D069F8"/>
    <w:rsid w:val="00D06E51"/>
    <w:rsid w:val="00D1072C"/>
    <w:rsid w:val="00D10A28"/>
    <w:rsid w:val="00D10BD0"/>
    <w:rsid w:val="00D10F5A"/>
    <w:rsid w:val="00D114A8"/>
    <w:rsid w:val="00D11817"/>
    <w:rsid w:val="00D12146"/>
    <w:rsid w:val="00D1227B"/>
    <w:rsid w:val="00D12501"/>
    <w:rsid w:val="00D12834"/>
    <w:rsid w:val="00D12CF3"/>
    <w:rsid w:val="00D1388E"/>
    <w:rsid w:val="00D13EB5"/>
    <w:rsid w:val="00D13EEB"/>
    <w:rsid w:val="00D14243"/>
    <w:rsid w:val="00D143AE"/>
    <w:rsid w:val="00D149AA"/>
    <w:rsid w:val="00D14BD1"/>
    <w:rsid w:val="00D15B63"/>
    <w:rsid w:val="00D15D30"/>
    <w:rsid w:val="00D1702C"/>
    <w:rsid w:val="00D170F5"/>
    <w:rsid w:val="00D17230"/>
    <w:rsid w:val="00D17A83"/>
    <w:rsid w:val="00D17C85"/>
    <w:rsid w:val="00D17C97"/>
    <w:rsid w:val="00D17F51"/>
    <w:rsid w:val="00D20B12"/>
    <w:rsid w:val="00D20DFE"/>
    <w:rsid w:val="00D20FBE"/>
    <w:rsid w:val="00D21366"/>
    <w:rsid w:val="00D21B6A"/>
    <w:rsid w:val="00D222DF"/>
    <w:rsid w:val="00D232B4"/>
    <w:rsid w:val="00D237E8"/>
    <w:rsid w:val="00D23A7A"/>
    <w:rsid w:val="00D23C19"/>
    <w:rsid w:val="00D24031"/>
    <w:rsid w:val="00D244E8"/>
    <w:rsid w:val="00D245C3"/>
    <w:rsid w:val="00D24F28"/>
    <w:rsid w:val="00D254C2"/>
    <w:rsid w:val="00D25551"/>
    <w:rsid w:val="00D256C9"/>
    <w:rsid w:val="00D25C2A"/>
    <w:rsid w:val="00D25D13"/>
    <w:rsid w:val="00D26221"/>
    <w:rsid w:val="00D2630B"/>
    <w:rsid w:val="00D26476"/>
    <w:rsid w:val="00D26F8B"/>
    <w:rsid w:val="00D26FBC"/>
    <w:rsid w:val="00D27091"/>
    <w:rsid w:val="00D27107"/>
    <w:rsid w:val="00D27263"/>
    <w:rsid w:val="00D27A69"/>
    <w:rsid w:val="00D27DCA"/>
    <w:rsid w:val="00D27E13"/>
    <w:rsid w:val="00D30065"/>
    <w:rsid w:val="00D30932"/>
    <w:rsid w:val="00D30B76"/>
    <w:rsid w:val="00D31455"/>
    <w:rsid w:val="00D317E4"/>
    <w:rsid w:val="00D32D1D"/>
    <w:rsid w:val="00D3366F"/>
    <w:rsid w:val="00D33CDC"/>
    <w:rsid w:val="00D33DB9"/>
    <w:rsid w:val="00D342F6"/>
    <w:rsid w:val="00D34908"/>
    <w:rsid w:val="00D34E61"/>
    <w:rsid w:val="00D35D49"/>
    <w:rsid w:val="00D3663E"/>
    <w:rsid w:val="00D36D86"/>
    <w:rsid w:val="00D36FE2"/>
    <w:rsid w:val="00D3712C"/>
    <w:rsid w:val="00D371FD"/>
    <w:rsid w:val="00D37F2E"/>
    <w:rsid w:val="00D40413"/>
    <w:rsid w:val="00D40888"/>
    <w:rsid w:val="00D40AE9"/>
    <w:rsid w:val="00D40BE0"/>
    <w:rsid w:val="00D41061"/>
    <w:rsid w:val="00D41373"/>
    <w:rsid w:val="00D4149D"/>
    <w:rsid w:val="00D415C9"/>
    <w:rsid w:val="00D41A7F"/>
    <w:rsid w:val="00D41C59"/>
    <w:rsid w:val="00D41ECA"/>
    <w:rsid w:val="00D4315A"/>
    <w:rsid w:val="00D43375"/>
    <w:rsid w:val="00D433FE"/>
    <w:rsid w:val="00D44249"/>
    <w:rsid w:val="00D44259"/>
    <w:rsid w:val="00D444BA"/>
    <w:rsid w:val="00D44BC4"/>
    <w:rsid w:val="00D44CAC"/>
    <w:rsid w:val="00D44F76"/>
    <w:rsid w:val="00D458D3"/>
    <w:rsid w:val="00D45C24"/>
    <w:rsid w:val="00D4676C"/>
    <w:rsid w:val="00D4697A"/>
    <w:rsid w:val="00D47265"/>
    <w:rsid w:val="00D479D9"/>
    <w:rsid w:val="00D47BA1"/>
    <w:rsid w:val="00D47D1B"/>
    <w:rsid w:val="00D500A2"/>
    <w:rsid w:val="00D50F23"/>
    <w:rsid w:val="00D510BC"/>
    <w:rsid w:val="00D51134"/>
    <w:rsid w:val="00D514F6"/>
    <w:rsid w:val="00D5160E"/>
    <w:rsid w:val="00D51A22"/>
    <w:rsid w:val="00D5210E"/>
    <w:rsid w:val="00D52589"/>
    <w:rsid w:val="00D52B1E"/>
    <w:rsid w:val="00D531C2"/>
    <w:rsid w:val="00D53761"/>
    <w:rsid w:val="00D53CF1"/>
    <w:rsid w:val="00D543FA"/>
    <w:rsid w:val="00D54412"/>
    <w:rsid w:val="00D54962"/>
    <w:rsid w:val="00D553B2"/>
    <w:rsid w:val="00D55C69"/>
    <w:rsid w:val="00D55D0F"/>
    <w:rsid w:val="00D55D55"/>
    <w:rsid w:val="00D5652E"/>
    <w:rsid w:val="00D56D01"/>
    <w:rsid w:val="00D570D2"/>
    <w:rsid w:val="00D5724D"/>
    <w:rsid w:val="00D57338"/>
    <w:rsid w:val="00D573B9"/>
    <w:rsid w:val="00D576ED"/>
    <w:rsid w:val="00D57990"/>
    <w:rsid w:val="00D6012C"/>
    <w:rsid w:val="00D608D8"/>
    <w:rsid w:val="00D6173B"/>
    <w:rsid w:val="00D61BBF"/>
    <w:rsid w:val="00D62728"/>
    <w:rsid w:val="00D64247"/>
    <w:rsid w:val="00D64674"/>
    <w:rsid w:val="00D64735"/>
    <w:rsid w:val="00D64752"/>
    <w:rsid w:val="00D64801"/>
    <w:rsid w:val="00D6504E"/>
    <w:rsid w:val="00D655E2"/>
    <w:rsid w:val="00D65858"/>
    <w:rsid w:val="00D65CA8"/>
    <w:rsid w:val="00D662F6"/>
    <w:rsid w:val="00D66A68"/>
    <w:rsid w:val="00D66A8A"/>
    <w:rsid w:val="00D66E65"/>
    <w:rsid w:val="00D67506"/>
    <w:rsid w:val="00D677BE"/>
    <w:rsid w:val="00D677FE"/>
    <w:rsid w:val="00D67C9C"/>
    <w:rsid w:val="00D700EC"/>
    <w:rsid w:val="00D7035C"/>
    <w:rsid w:val="00D70DA8"/>
    <w:rsid w:val="00D710FF"/>
    <w:rsid w:val="00D720EE"/>
    <w:rsid w:val="00D72213"/>
    <w:rsid w:val="00D723A7"/>
    <w:rsid w:val="00D74360"/>
    <w:rsid w:val="00D744A1"/>
    <w:rsid w:val="00D74853"/>
    <w:rsid w:val="00D74C0C"/>
    <w:rsid w:val="00D74CE4"/>
    <w:rsid w:val="00D74E13"/>
    <w:rsid w:val="00D75387"/>
    <w:rsid w:val="00D754EF"/>
    <w:rsid w:val="00D75C52"/>
    <w:rsid w:val="00D7615F"/>
    <w:rsid w:val="00D7688D"/>
    <w:rsid w:val="00D7697A"/>
    <w:rsid w:val="00D76E35"/>
    <w:rsid w:val="00D76F18"/>
    <w:rsid w:val="00D77154"/>
    <w:rsid w:val="00D772CE"/>
    <w:rsid w:val="00D7731C"/>
    <w:rsid w:val="00D77972"/>
    <w:rsid w:val="00D7798E"/>
    <w:rsid w:val="00D77D22"/>
    <w:rsid w:val="00D804DF"/>
    <w:rsid w:val="00D81053"/>
    <w:rsid w:val="00D81C4D"/>
    <w:rsid w:val="00D81CD9"/>
    <w:rsid w:val="00D81EA4"/>
    <w:rsid w:val="00D82958"/>
    <w:rsid w:val="00D831C8"/>
    <w:rsid w:val="00D83303"/>
    <w:rsid w:val="00D8348E"/>
    <w:rsid w:val="00D836F9"/>
    <w:rsid w:val="00D83998"/>
    <w:rsid w:val="00D83CE5"/>
    <w:rsid w:val="00D83D6E"/>
    <w:rsid w:val="00D84067"/>
    <w:rsid w:val="00D841FC"/>
    <w:rsid w:val="00D84AC4"/>
    <w:rsid w:val="00D85057"/>
    <w:rsid w:val="00D85F1E"/>
    <w:rsid w:val="00D867C1"/>
    <w:rsid w:val="00D86D19"/>
    <w:rsid w:val="00D87229"/>
    <w:rsid w:val="00D87455"/>
    <w:rsid w:val="00D878A7"/>
    <w:rsid w:val="00D87A2C"/>
    <w:rsid w:val="00D90BCF"/>
    <w:rsid w:val="00D90BD5"/>
    <w:rsid w:val="00D9109B"/>
    <w:rsid w:val="00D91352"/>
    <w:rsid w:val="00D914E9"/>
    <w:rsid w:val="00D91C97"/>
    <w:rsid w:val="00D92361"/>
    <w:rsid w:val="00D92645"/>
    <w:rsid w:val="00D9270B"/>
    <w:rsid w:val="00D92FF4"/>
    <w:rsid w:val="00D93DA0"/>
    <w:rsid w:val="00D94336"/>
    <w:rsid w:val="00D94725"/>
    <w:rsid w:val="00D94ED8"/>
    <w:rsid w:val="00D955EE"/>
    <w:rsid w:val="00D95723"/>
    <w:rsid w:val="00D96260"/>
    <w:rsid w:val="00D969AB"/>
    <w:rsid w:val="00D96D45"/>
    <w:rsid w:val="00D97100"/>
    <w:rsid w:val="00D978AD"/>
    <w:rsid w:val="00DA009C"/>
    <w:rsid w:val="00DA0198"/>
    <w:rsid w:val="00DA03BF"/>
    <w:rsid w:val="00DA0B69"/>
    <w:rsid w:val="00DA0CC8"/>
    <w:rsid w:val="00DA0DC7"/>
    <w:rsid w:val="00DA1092"/>
    <w:rsid w:val="00DA10AD"/>
    <w:rsid w:val="00DA10F6"/>
    <w:rsid w:val="00DA16E0"/>
    <w:rsid w:val="00DA2235"/>
    <w:rsid w:val="00DA232B"/>
    <w:rsid w:val="00DA242A"/>
    <w:rsid w:val="00DA2645"/>
    <w:rsid w:val="00DA29F8"/>
    <w:rsid w:val="00DA3436"/>
    <w:rsid w:val="00DA3856"/>
    <w:rsid w:val="00DA3FBC"/>
    <w:rsid w:val="00DA41E2"/>
    <w:rsid w:val="00DA48A8"/>
    <w:rsid w:val="00DA49CF"/>
    <w:rsid w:val="00DA4DD4"/>
    <w:rsid w:val="00DA4E9C"/>
    <w:rsid w:val="00DA4EBE"/>
    <w:rsid w:val="00DA4F6F"/>
    <w:rsid w:val="00DA541D"/>
    <w:rsid w:val="00DA54DD"/>
    <w:rsid w:val="00DA5AD2"/>
    <w:rsid w:val="00DA5AF7"/>
    <w:rsid w:val="00DA5B89"/>
    <w:rsid w:val="00DA5C8B"/>
    <w:rsid w:val="00DA5D15"/>
    <w:rsid w:val="00DA5D7C"/>
    <w:rsid w:val="00DA5FC7"/>
    <w:rsid w:val="00DA5FF1"/>
    <w:rsid w:val="00DA6532"/>
    <w:rsid w:val="00DA6565"/>
    <w:rsid w:val="00DA70DE"/>
    <w:rsid w:val="00DA7507"/>
    <w:rsid w:val="00DA7B06"/>
    <w:rsid w:val="00DA7B8A"/>
    <w:rsid w:val="00DA7CD4"/>
    <w:rsid w:val="00DB00DF"/>
    <w:rsid w:val="00DB0366"/>
    <w:rsid w:val="00DB05EE"/>
    <w:rsid w:val="00DB0821"/>
    <w:rsid w:val="00DB08CC"/>
    <w:rsid w:val="00DB0907"/>
    <w:rsid w:val="00DB0C8B"/>
    <w:rsid w:val="00DB0DB0"/>
    <w:rsid w:val="00DB0DF9"/>
    <w:rsid w:val="00DB0E17"/>
    <w:rsid w:val="00DB1426"/>
    <w:rsid w:val="00DB17A2"/>
    <w:rsid w:val="00DB1B89"/>
    <w:rsid w:val="00DB1DDA"/>
    <w:rsid w:val="00DB23FE"/>
    <w:rsid w:val="00DB289C"/>
    <w:rsid w:val="00DB2B76"/>
    <w:rsid w:val="00DB31BF"/>
    <w:rsid w:val="00DB3973"/>
    <w:rsid w:val="00DB3CA1"/>
    <w:rsid w:val="00DB46D1"/>
    <w:rsid w:val="00DB4824"/>
    <w:rsid w:val="00DB54C2"/>
    <w:rsid w:val="00DB59E7"/>
    <w:rsid w:val="00DB5B33"/>
    <w:rsid w:val="00DB6B35"/>
    <w:rsid w:val="00DB6FEB"/>
    <w:rsid w:val="00DB7107"/>
    <w:rsid w:val="00DB7C9D"/>
    <w:rsid w:val="00DB7F3D"/>
    <w:rsid w:val="00DC071E"/>
    <w:rsid w:val="00DC0CA6"/>
    <w:rsid w:val="00DC1379"/>
    <w:rsid w:val="00DC1448"/>
    <w:rsid w:val="00DC1719"/>
    <w:rsid w:val="00DC1882"/>
    <w:rsid w:val="00DC1946"/>
    <w:rsid w:val="00DC2011"/>
    <w:rsid w:val="00DC2184"/>
    <w:rsid w:val="00DC2392"/>
    <w:rsid w:val="00DC2897"/>
    <w:rsid w:val="00DC2A62"/>
    <w:rsid w:val="00DC352E"/>
    <w:rsid w:val="00DC3B55"/>
    <w:rsid w:val="00DC3EB5"/>
    <w:rsid w:val="00DC444D"/>
    <w:rsid w:val="00DC4785"/>
    <w:rsid w:val="00DC53CA"/>
    <w:rsid w:val="00DC604F"/>
    <w:rsid w:val="00DC6E3E"/>
    <w:rsid w:val="00DC71BC"/>
    <w:rsid w:val="00DC798D"/>
    <w:rsid w:val="00DC7D63"/>
    <w:rsid w:val="00DC7E5C"/>
    <w:rsid w:val="00DD010A"/>
    <w:rsid w:val="00DD02FE"/>
    <w:rsid w:val="00DD049B"/>
    <w:rsid w:val="00DD0DC7"/>
    <w:rsid w:val="00DD0E8F"/>
    <w:rsid w:val="00DD143C"/>
    <w:rsid w:val="00DD19AF"/>
    <w:rsid w:val="00DD19C0"/>
    <w:rsid w:val="00DD1C56"/>
    <w:rsid w:val="00DD27DA"/>
    <w:rsid w:val="00DD297D"/>
    <w:rsid w:val="00DD2B80"/>
    <w:rsid w:val="00DD3289"/>
    <w:rsid w:val="00DD4C52"/>
    <w:rsid w:val="00DD50A4"/>
    <w:rsid w:val="00DD58EA"/>
    <w:rsid w:val="00DD5F29"/>
    <w:rsid w:val="00DD646E"/>
    <w:rsid w:val="00DD6935"/>
    <w:rsid w:val="00DD7223"/>
    <w:rsid w:val="00DD742C"/>
    <w:rsid w:val="00DD7901"/>
    <w:rsid w:val="00DD7943"/>
    <w:rsid w:val="00DD7AB6"/>
    <w:rsid w:val="00DD7B2A"/>
    <w:rsid w:val="00DD7E79"/>
    <w:rsid w:val="00DE03C3"/>
    <w:rsid w:val="00DE0658"/>
    <w:rsid w:val="00DE1892"/>
    <w:rsid w:val="00DE1909"/>
    <w:rsid w:val="00DE21C9"/>
    <w:rsid w:val="00DE241E"/>
    <w:rsid w:val="00DE2753"/>
    <w:rsid w:val="00DE2B6B"/>
    <w:rsid w:val="00DE3028"/>
    <w:rsid w:val="00DE315A"/>
    <w:rsid w:val="00DE3373"/>
    <w:rsid w:val="00DE3713"/>
    <w:rsid w:val="00DE38F6"/>
    <w:rsid w:val="00DE4A9F"/>
    <w:rsid w:val="00DE4D25"/>
    <w:rsid w:val="00DE53FA"/>
    <w:rsid w:val="00DE542A"/>
    <w:rsid w:val="00DE5455"/>
    <w:rsid w:val="00DE5955"/>
    <w:rsid w:val="00DE5B3A"/>
    <w:rsid w:val="00DE689F"/>
    <w:rsid w:val="00DE695E"/>
    <w:rsid w:val="00DE6C10"/>
    <w:rsid w:val="00DE7166"/>
    <w:rsid w:val="00DE7FA1"/>
    <w:rsid w:val="00DF01DC"/>
    <w:rsid w:val="00DF022D"/>
    <w:rsid w:val="00DF032D"/>
    <w:rsid w:val="00DF05BF"/>
    <w:rsid w:val="00DF11B3"/>
    <w:rsid w:val="00DF150F"/>
    <w:rsid w:val="00DF2709"/>
    <w:rsid w:val="00DF271B"/>
    <w:rsid w:val="00DF38B6"/>
    <w:rsid w:val="00DF38BD"/>
    <w:rsid w:val="00DF3A75"/>
    <w:rsid w:val="00DF3D56"/>
    <w:rsid w:val="00DF3ED2"/>
    <w:rsid w:val="00DF42A2"/>
    <w:rsid w:val="00DF4405"/>
    <w:rsid w:val="00DF4542"/>
    <w:rsid w:val="00DF4C0E"/>
    <w:rsid w:val="00DF4DC1"/>
    <w:rsid w:val="00DF592E"/>
    <w:rsid w:val="00DF5B77"/>
    <w:rsid w:val="00DF5D35"/>
    <w:rsid w:val="00DF5D84"/>
    <w:rsid w:val="00DF5E44"/>
    <w:rsid w:val="00DF5F97"/>
    <w:rsid w:val="00DF6661"/>
    <w:rsid w:val="00DF69EF"/>
    <w:rsid w:val="00DF6B51"/>
    <w:rsid w:val="00DF7399"/>
    <w:rsid w:val="00DF7772"/>
    <w:rsid w:val="00DF7D36"/>
    <w:rsid w:val="00E000B0"/>
    <w:rsid w:val="00E001B4"/>
    <w:rsid w:val="00E011CD"/>
    <w:rsid w:val="00E01F92"/>
    <w:rsid w:val="00E0246A"/>
    <w:rsid w:val="00E02C38"/>
    <w:rsid w:val="00E02CC1"/>
    <w:rsid w:val="00E02D4F"/>
    <w:rsid w:val="00E03071"/>
    <w:rsid w:val="00E03217"/>
    <w:rsid w:val="00E03487"/>
    <w:rsid w:val="00E03663"/>
    <w:rsid w:val="00E0485E"/>
    <w:rsid w:val="00E057A4"/>
    <w:rsid w:val="00E057AB"/>
    <w:rsid w:val="00E0630A"/>
    <w:rsid w:val="00E068D2"/>
    <w:rsid w:val="00E075C5"/>
    <w:rsid w:val="00E077C8"/>
    <w:rsid w:val="00E0784A"/>
    <w:rsid w:val="00E07B5D"/>
    <w:rsid w:val="00E104E8"/>
    <w:rsid w:val="00E105EA"/>
    <w:rsid w:val="00E11029"/>
    <w:rsid w:val="00E11166"/>
    <w:rsid w:val="00E11373"/>
    <w:rsid w:val="00E115C8"/>
    <w:rsid w:val="00E1185C"/>
    <w:rsid w:val="00E118A3"/>
    <w:rsid w:val="00E118FD"/>
    <w:rsid w:val="00E11A76"/>
    <w:rsid w:val="00E12D42"/>
    <w:rsid w:val="00E12E0A"/>
    <w:rsid w:val="00E131C4"/>
    <w:rsid w:val="00E139A3"/>
    <w:rsid w:val="00E1499C"/>
    <w:rsid w:val="00E151CC"/>
    <w:rsid w:val="00E156EA"/>
    <w:rsid w:val="00E15AD6"/>
    <w:rsid w:val="00E15DE9"/>
    <w:rsid w:val="00E168FE"/>
    <w:rsid w:val="00E17092"/>
    <w:rsid w:val="00E174A6"/>
    <w:rsid w:val="00E174AF"/>
    <w:rsid w:val="00E1789C"/>
    <w:rsid w:val="00E178A5"/>
    <w:rsid w:val="00E17964"/>
    <w:rsid w:val="00E20139"/>
    <w:rsid w:val="00E201AC"/>
    <w:rsid w:val="00E2054C"/>
    <w:rsid w:val="00E20C0B"/>
    <w:rsid w:val="00E2118D"/>
    <w:rsid w:val="00E21617"/>
    <w:rsid w:val="00E21EEE"/>
    <w:rsid w:val="00E223EF"/>
    <w:rsid w:val="00E224E9"/>
    <w:rsid w:val="00E228E4"/>
    <w:rsid w:val="00E22EDB"/>
    <w:rsid w:val="00E23001"/>
    <w:rsid w:val="00E2341C"/>
    <w:rsid w:val="00E2377F"/>
    <w:rsid w:val="00E24276"/>
    <w:rsid w:val="00E24C6B"/>
    <w:rsid w:val="00E25434"/>
    <w:rsid w:val="00E25720"/>
    <w:rsid w:val="00E25BF1"/>
    <w:rsid w:val="00E25DED"/>
    <w:rsid w:val="00E26006"/>
    <w:rsid w:val="00E26457"/>
    <w:rsid w:val="00E265BE"/>
    <w:rsid w:val="00E27608"/>
    <w:rsid w:val="00E27886"/>
    <w:rsid w:val="00E2795D"/>
    <w:rsid w:val="00E27BF1"/>
    <w:rsid w:val="00E27F25"/>
    <w:rsid w:val="00E30452"/>
    <w:rsid w:val="00E30B12"/>
    <w:rsid w:val="00E30CC0"/>
    <w:rsid w:val="00E316E6"/>
    <w:rsid w:val="00E32BDA"/>
    <w:rsid w:val="00E32EF3"/>
    <w:rsid w:val="00E338B4"/>
    <w:rsid w:val="00E34CE3"/>
    <w:rsid w:val="00E35686"/>
    <w:rsid w:val="00E356DF"/>
    <w:rsid w:val="00E35D63"/>
    <w:rsid w:val="00E35DA6"/>
    <w:rsid w:val="00E35DBD"/>
    <w:rsid w:val="00E3660F"/>
    <w:rsid w:val="00E368E6"/>
    <w:rsid w:val="00E36937"/>
    <w:rsid w:val="00E369ED"/>
    <w:rsid w:val="00E36B77"/>
    <w:rsid w:val="00E36C9E"/>
    <w:rsid w:val="00E37302"/>
    <w:rsid w:val="00E375CF"/>
    <w:rsid w:val="00E379E3"/>
    <w:rsid w:val="00E400B8"/>
    <w:rsid w:val="00E400BC"/>
    <w:rsid w:val="00E410F9"/>
    <w:rsid w:val="00E41E93"/>
    <w:rsid w:val="00E423CC"/>
    <w:rsid w:val="00E429BD"/>
    <w:rsid w:val="00E43174"/>
    <w:rsid w:val="00E4336C"/>
    <w:rsid w:val="00E44606"/>
    <w:rsid w:val="00E44613"/>
    <w:rsid w:val="00E44B1F"/>
    <w:rsid w:val="00E44E7A"/>
    <w:rsid w:val="00E454EA"/>
    <w:rsid w:val="00E4553C"/>
    <w:rsid w:val="00E45869"/>
    <w:rsid w:val="00E46447"/>
    <w:rsid w:val="00E4656B"/>
    <w:rsid w:val="00E46C3C"/>
    <w:rsid w:val="00E46EDC"/>
    <w:rsid w:val="00E47847"/>
    <w:rsid w:val="00E47B7B"/>
    <w:rsid w:val="00E504B3"/>
    <w:rsid w:val="00E507C6"/>
    <w:rsid w:val="00E50F9F"/>
    <w:rsid w:val="00E513CD"/>
    <w:rsid w:val="00E51AB9"/>
    <w:rsid w:val="00E51C7C"/>
    <w:rsid w:val="00E51D2E"/>
    <w:rsid w:val="00E527D5"/>
    <w:rsid w:val="00E52E4F"/>
    <w:rsid w:val="00E537AF"/>
    <w:rsid w:val="00E53D84"/>
    <w:rsid w:val="00E54877"/>
    <w:rsid w:val="00E55179"/>
    <w:rsid w:val="00E553C5"/>
    <w:rsid w:val="00E5572D"/>
    <w:rsid w:val="00E5578F"/>
    <w:rsid w:val="00E55865"/>
    <w:rsid w:val="00E55A7C"/>
    <w:rsid w:val="00E55BA3"/>
    <w:rsid w:val="00E55DCC"/>
    <w:rsid w:val="00E564AC"/>
    <w:rsid w:val="00E568D9"/>
    <w:rsid w:val="00E56B65"/>
    <w:rsid w:val="00E5733E"/>
    <w:rsid w:val="00E57513"/>
    <w:rsid w:val="00E575BF"/>
    <w:rsid w:val="00E57FAB"/>
    <w:rsid w:val="00E605C0"/>
    <w:rsid w:val="00E60F92"/>
    <w:rsid w:val="00E60FC6"/>
    <w:rsid w:val="00E610D6"/>
    <w:rsid w:val="00E616F0"/>
    <w:rsid w:val="00E62EC9"/>
    <w:rsid w:val="00E63398"/>
    <w:rsid w:val="00E64A74"/>
    <w:rsid w:val="00E64EF5"/>
    <w:rsid w:val="00E65566"/>
    <w:rsid w:val="00E65D81"/>
    <w:rsid w:val="00E65E3B"/>
    <w:rsid w:val="00E671B0"/>
    <w:rsid w:val="00E67757"/>
    <w:rsid w:val="00E67990"/>
    <w:rsid w:val="00E67ABC"/>
    <w:rsid w:val="00E70213"/>
    <w:rsid w:val="00E70293"/>
    <w:rsid w:val="00E704D4"/>
    <w:rsid w:val="00E70E51"/>
    <w:rsid w:val="00E7150C"/>
    <w:rsid w:val="00E71742"/>
    <w:rsid w:val="00E71956"/>
    <w:rsid w:val="00E721FD"/>
    <w:rsid w:val="00E72551"/>
    <w:rsid w:val="00E73237"/>
    <w:rsid w:val="00E7347D"/>
    <w:rsid w:val="00E734A3"/>
    <w:rsid w:val="00E74948"/>
    <w:rsid w:val="00E749E1"/>
    <w:rsid w:val="00E74A2D"/>
    <w:rsid w:val="00E74F85"/>
    <w:rsid w:val="00E7565C"/>
    <w:rsid w:val="00E757C2"/>
    <w:rsid w:val="00E75A9A"/>
    <w:rsid w:val="00E75E33"/>
    <w:rsid w:val="00E75E5E"/>
    <w:rsid w:val="00E761FF"/>
    <w:rsid w:val="00E76396"/>
    <w:rsid w:val="00E76862"/>
    <w:rsid w:val="00E76DC5"/>
    <w:rsid w:val="00E77B81"/>
    <w:rsid w:val="00E77C29"/>
    <w:rsid w:val="00E77FAA"/>
    <w:rsid w:val="00E803A3"/>
    <w:rsid w:val="00E804E5"/>
    <w:rsid w:val="00E8078C"/>
    <w:rsid w:val="00E80C27"/>
    <w:rsid w:val="00E80CB3"/>
    <w:rsid w:val="00E80D1E"/>
    <w:rsid w:val="00E8101D"/>
    <w:rsid w:val="00E81839"/>
    <w:rsid w:val="00E81952"/>
    <w:rsid w:val="00E82370"/>
    <w:rsid w:val="00E823CB"/>
    <w:rsid w:val="00E8264F"/>
    <w:rsid w:val="00E82B3F"/>
    <w:rsid w:val="00E832CB"/>
    <w:rsid w:val="00E835F7"/>
    <w:rsid w:val="00E83D97"/>
    <w:rsid w:val="00E83F44"/>
    <w:rsid w:val="00E84008"/>
    <w:rsid w:val="00E843B5"/>
    <w:rsid w:val="00E84D59"/>
    <w:rsid w:val="00E84D5F"/>
    <w:rsid w:val="00E8510C"/>
    <w:rsid w:val="00E852AB"/>
    <w:rsid w:val="00E85823"/>
    <w:rsid w:val="00E85A86"/>
    <w:rsid w:val="00E85F32"/>
    <w:rsid w:val="00E86FE6"/>
    <w:rsid w:val="00E877CF"/>
    <w:rsid w:val="00E87AE7"/>
    <w:rsid w:val="00E87B64"/>
    <w:rsid w:val="00E9054A"/>
    <w:rsid w:val="00E90F74"/>
    <w:rsid w:val="00E913FB"/>
    <w:rsid w:val="00E9191B"/>
    <w:rsid w:val="00E91CB9"/>
    <w:rsid w:val="00E91E13"/>
    <w:rsid w:val="00E92527"/>
    <w:rsid w:val="00E92C6A"/>
    <w:rsid w:val="00E92CC5"/>
    <w:rsid w:val="00E9326B"/>
    <w:rsid w:val="00E93DB2"/>
    <w:rsid w:val="00E94022"/>
    <w:rsid w:val="00E95F89"/>
    <w:rsid w:val="00E95F97"/>
    <w:rsid w:val="00E971A2"/>
    <w:rsid w:val="00E976E4"/>
    <w:rsid w:val="00E97760"/>
    <w:rsid w:val="00EA092B"/>
    <w:rsid w:val="00EA0EAB"/>
    <w:rsid w:val="00EA1642"/>
    <w:rsid w:val="00EA1CAF"/>
    <w:rsid w:val="00EA1CD4"/>
    <w:rsid w:val="00EA2052"/>
    <w:rsid w:val="00EA21E2"/>
    <w:rsid w:val="00EA234A"/>
    <w:rsid w:val="00EA2410"/>
    <w:rsid w:val="00EA2414"/>
    <w:rsid w:val="00EA2860"/>
    <w:rsid w:val="00EA2B0C"/>
    <w:rsid w:val="00EA376D"/>
    <w:rsid w:val="00EA46BF"/>
    <w:rsid w:val="00EA4723"/>
    <w:rsid w:val="00EA4A9E"/>
    <w:rsid w:val="00EA568E"/>
    <w:rsid w:val="00EA5EA3"/>
    <w:rsid w:val="00EA6403"/>
    <w:rsid w:val="00EA65F6"/>
    <w:rsid w:val="00EA6DE5"/>
    <w:rsid w:val="00EA6E1B"/>
    <w:rsid w:val="00EA70E5"/>
    <w:rsid w:val="00EA7569"/>
    <w:rsid w:val="00EB0049"/>
    <w:rsid w:val="00EB0485"/>
    <w:rsid w:val="00EB0877"/>
    <w:rsid w:val="00EB0BF1"/>
    <w:rsid w:val="00EB0F4E"/>
    <w:rsid w:val="00EB0F64"/>
    <w:rsid w:val="00EB112D"/>
    <w:rsid w:val="00EB1312"/>
    <w:rsid w:val="00EB1DE3"/>
    <w:rsid w:val="00EB1F83"/>
    <w:rsid w:val="00EB2C67"/>
    <w:rsid w:val="00EB34A5"/>
    <w:rsid w:val="00EB3A28"/>
    <w:rsid w:val="00EB3CC1"/>
    <w:rsid w:val="00EB4105"/>
    <w:rsid w:val="00EB4A71"/>
    <w:rsid w:val="00EB51E2"/>
    <w:rsid w:val="00EB53D7"/>
    <w:rsid w:val="00EB5810"/>
    <w:rsid w:val="00EB58AF"/>
    <w:rsid w:val="00EB5A01"/>
    <w:rsid w:val="00EB5BD8"/>
    <w:rsid w:val="00EB6350"/>
    <w:rsid w:val="00EB6A84"/>
    <w:rsid w:val="00EB6AAB"/>
    <w:rsid w:val="00EB6CFA"/>
    <w:rsid w:val="00EB6D7A"/>
    <w:rsid w:val="00EB7086"/>
    <w:rsid w:val="00EB72B8"/>
    <w:rsid w:val="00EC103B"/>
    <w:rsid w:val="00EC1513"/>
    <w:rsid w:val="00EC1608"/>
    <w:rsid w:val="00EC1C27"/>
    <w:rsid w:val="00EC284A"/>
    <w:rsid w:val="00EC29A4"/>
    <w:rsid w:val="00EC2B8D"/>
    <w:rsid w:val="00EC357D"/>
    <w:rsid w:val="00EC37F3"/>
    <w:rsid w:val="00EC4353"/>
    <w:rsid w:val="00EC4568"/>
    <w:rsid w:val="00EC4955"/>
    <w:rsid w:val="00EC4B3E"/>
    <w:rsid w:val="00EC4BCD"/>
    <w:rsid w:val="00EC5565"/>
    <w:rsid w:val="00EC56AD"/>
    <w:rsid w:val="00EC59C4"/>
    <w:rsid w:val="00EC5A6C"/>
    <w:rsid w:val="00EC5B19"/>
    <w:rsid w:val="00EC5F1D"/>
    <w:rsid w:val="00EC669E"/>
    <w:rsid w:val="00EC6FBB"/>
    <w:rsid w:val="00EC77EB"/>
    <w:rsid w:val="00EC7C75"/>
    <w:rsid w:val="00ED02FA"/>
    <w:rsid w:val="00ED04BD"/>
    <w:rsid w:val="00ED0585"/>
    <w:rsid w:val="00ED085E"/>
    <w:rsid w:val="00ED1398"/>
    <w:rsid w:val="00ED13F2"/>
    <w:rsid w:val="00ED140F"/>
    <w:rsid w:val="00ED15E3"/>
    <w:rsid w:val="00ED1A63"/>
    <w:rsid w:val="00ED1B45"/>
    <w:rsid w:val="00ED1C0F"/>
    <w:rsid w:val="00ED21C2"/>
    <w:rsid w:val="00ED25FA"/>
    <w:rsid w:val="00ED2D7C"/>
    <w:rsid w:val="00ED2EAA"/>
    <w:rsid w:val="00ED2EF0"/>
    <w:rsid w:val="00ED31A3"/>
    <w:rsid w:val="00ED3CE6"/>
    <w:rsid w:val="00ED3FD4"/>
    <w:rsid w:val="00ED41FC"/>
    <w:rsid w:val="00ED4257"/>
    <w:rsid w:val="00ED4356"/>
    <w:rsid w:val="00ED441B"/>
    <w:rsid w:val="00ED441D"/>
    <w:rsid w:val="00ED48C9"/>
    <w:rsid w:val="00ED5514"/>
    <w:rsid w:val="00ED5C87"/>
    <w:rsid w:val="00ED6451"/>
    <w:rsid w:val="00ED6835"/>
    <w:rsid w:val="00ED6A0B"/>
    <w:rsid w:val="00ED78E5"/>
    <w:rsid w:val="00ED793D"/>
    <w:rsid w:val="00ED79F3"/>
    <w:rsid w:val="00EE01CA"/>
    <w:rsid w:val="00EE025E"/>
    <w:rsid w:val="00EE0324"/>
    <w:rsid w:val="00EE0C4D"/>
    <w:rsid w:val="00EE0CD3"/>
    <w:rsid w:val="00EE0D8C"/>
    <w:rsid w:val="00EE0F0C"/>
    <w:rsid w:val="00EE0F76"/>
    <w:rsid w:val="00EE162B"/>
    <w:rsid w:val="00EE1F82"/>
    <w:rsid w:val="00EE21DB"/>
    <w:rsid w:val="00EE224E"/>
    <w:rsid w:val="00EE24B7"/>
    <w:rsid w:val="00EE2B57"/>
    <w:rsid w:val="00EE2B9A"/>
    <w:rsid w:val="00EE33AC"/>
    <w:rsid w:val="00EE4194"/>
    <w:rsid w:val="00EE498A"/>
    <w:rsid w:val="00EE4A95"/>
    <w:rsid w:val="00EE4D85"/>
    <w:rsid w:val="00EE56EE"/>
    <w:rsid w:val="00EE588A"/>
    <w:rsid w:val="00EE5AA8"/>
    <w:rsid w:val="00EE5D10"/>
    <w:rsid w:val="00EE5EBD"/>
    <w:rsid w:val="00EE6100"/>
    <w:rsid w:val="00EE667F"/>
    <w:rsid w:val="00EE66A8"/>
    <w:rsid w:val="00EE699B"/>
    <w:rsid w:val="00EE7660"/>
    <w:rsid w:val="00EE77A9"/>
    <w:rsid w:val="00EF037E"/>
    <w:rsid w:val="00EF1521"/>
    <w:rsid w:val="00EF1CFE"/>
    <w:rsid w:val="00EF225A"/>
    <w:rsid w:val="00EF2411"/>
    <w:rsid w:val="00EF2641"/>
    <w:rsid w:val="00EF3E7B"/>
    <w:rsid w:val="00EF42E4"/>
    <w:rsid w:val="00EF4540"/>
    <w:rsid w:val="00EF4642"/>
    <w:rsid w:val="00EF48AB"/>
    <w:rsid w:val="00EF4DB2"/>
    <w:rsid w:val="00EF4F3E"/>
    <w:rsid w:val="00EF4F3F"/>
    <w:rsid w:val="00EF4FAB"/>
    <w:rsid w:val="00EF504F"/>
    <w:rsid w:val="00EF5A8D"/>
    <w:rsid w:val="00EF5AD0"/>
    <w:rsid w:val="00EF5E29"/>
    <w:rsid w:val="00EF6158"/>
    <w:rsid w:val="00EF638D"/>
    <w:rsid w:val="00EF64F9"/>
    <w:rsid w:val="00EF65D3"/>
    <w:rsid w:val="00EF6BCD"/>
    <w:rsid w:val="00EF6BF3"/>
    <w:rsid w:val="00F004EF"/>
    <w:rsid w:val="00F0060D"/>
    <w:rsid w:val="00F00B48"/>
    <w:rsid w:val="00F0185E"/>
    <w:rsid w:val="00F01A2F"/>
    <w:rsid w:val="00F01C7D"/>
    <w:rsid w:val="00F0228D"/>
    <w:rsid w:val="00F0278B"/>
    <w:rsid w:val="00F02790"/>
    <w:rsid w:val="00F02F8D"/>
    <w:rsid w:val="00F0375C"/>
    <w:rsid w:val="00F03906"/>
    <w:rsid w:val="00F049AE"/>
    <w:rsid w:val="00F04C6E"/>
    <w:rsid w:val="00F05081"/>
    <w:rsid w:val="00F05A50"/>
    <w:rsid w:val="00F061FE"/>
    <w:rsid w:val="00F06530"/>
    <w:rsid w:val="00F0662F"/>
    <w:rsid w:val="00F06E6D"/>
    <w:rsid w:val="00F07472"/>
    <w:rsid w:val="00F07A8E"/>
    <w:rsid w:val="00F07C0A"/>
    <w:rsid w:val="00F07C95"/>
    <w:rsid w:val="00F07E12"/>
    <w:rsid w:val="00F101F3"/>
    <w:rsid w:val="00F11BCC"/>
    <w:rsid w:val="00F11F8A"/>
    <w:rsid w:val="00F1210D"/>
    <w:rsid w:val="00F12C71"/>
    <w:rsid w:val="00F130F4"/>
    <w:rsid w:val="00F1316C"/>
    <w:rsid w:val="00F13A22"/>
    <w:rsid w:val="00F13C0C"/>
    <w:rsid w:val="00F13DA5"/>
    <w:rsid w:val="00F13FA7"/>
    <w:rsid w:val="00F162F4"/>
    <w:rsid w:val="00F1638C"/>
    <w:rsid w:val="00F16E32"/>
    <w:rsid w:val="00F1786F"/>
    <w:rsid w:val="00F17B81"/>
    <w:rsid w:val="00F17CE9"/>
    <w:rsid w:val="00F17E0D"/>
    <w:rsid w:val="00F17F43"/>
    <w:rsid w:val="00F17F73"/>
    <w:rsid w:val="00F20A44"/>
    <w:rsid w:val="00F20A46"/>
    <w:rsid w:val="00F20C7A"/>
    <w:rsid w:val="00F21411"/>
    <w:rsid w:val="00F21633"/>
    <w:rsid w:val="00F22317"/>
    <w:rsid w:val="00F234E1"/>
    <w:rsid w:val="00F23850"/>
    <w:rsid w:val="00F2385E"/>
    <w:rsid w:val="00F2426E"/>
    <w:rsid w:val="00F2490B"/>
    <w:rsid w:val="00F24E2C"/>
    <w:rsid w:val="00F252C7"/>
    <w:rsid w:val="00F25390"/>
    <w:rsid w:val="00F25A8A"/>
    <w:rsid w:val="00F26153"/>
    <w:rsid w:val="00F26D9C"/>
    <w:rsid w:val="00F2727F"/>
    <w:rsid w:val="00F27495"/>
    <w:rsid w:val="00F276A9"/>
    <w:rsid w:val="00F277F9"/>
    <w:rsid w:val="00F27C91"/>
    <w:rsid w:val="00F30095"/>
    <w:rsid w:val="00F30156"/>
    <w:rsid w:val="00F30CA0"/>
    <w:rsid w:val="00F312AB"/>
    <w:rsid w:val="00F31366"/>
    <w:rsid w:val="00F31411"/>
    <w:rsid w:val="00F3183E"/>
    <w:rsid w:val="00F323C5"/>
    <w:rsid w:val="00F3249E"/>
    <w:rsid w:val="00F3325B"/>
    <w:rsid w:val="00F332C8"/>
    <w:rsid w:val="00F335F7"/>
    <w:rsid w:val="00F33E39"/>
    <w:rsid w:val="00F34182"/>
    <w:rsid w:val="00F348D3"/>
    <w:rsid w:val="00F34D90"/>
    <w:rsid w:val="00F34E7B"/>
    <w:rsid w:val="00F34EED"/>
    <w:rsid w:val="00F350A0"/>
    <w:rsid w:val="00F35518"/>
    <w:rsid w:val="00F35713"/>
    <w:rsid w:val="00F3731D"/>
    <w:rsid w:val="00F3784A"/>
    <w:rsid w:val="00F40303"/>
    <w:rsid w:val="00F40797"/>
    <w:rsid w:val="00F408C8"/>
    <w:rsid w:val="00F40D97"/>
    <w:rsid w:val="00F4119F"/>
    <w:rsid w:val="00F4170C"/>
    <w:rsid w:val="00F41848"/>
    <w:rsid w:val="00F419A2"/>
    <w:rsid w:val="00F41BC5"/>
    <w:rsid w:val="00F42354"/>
    <w:rsid w:val="00F42866"/>
    <w:rsid w:val="00F42AFD"/>
    <w:rsid w:val="00F42B13"/>
    <w:rsid w:val="00F42DF9"/>
    <w:rsid w:val="00F42FFA"/>
    <w:rsid w:val="00F4353F"/>
    <w:rsid w:val="00F43B39"/>
    <w:rsid w:val="00F44DF9"/>
    <w:rsid w:val="00F451EA"/>
    <w:rsid w:val="00F456A4"/>
    <w:rsid w:val="00F458CF"/>
    <w:rsid w:val="00F45986"/>
    <w:rsid w:val="00F45F2E"/>
    <w:rsid w:val="00F46109"/>
    <w:rsid w:val="00F46A5F"/>
    <w:rsid w:val="00F46A93"/>
    <w:rsid w:val="00F46AC6"/>
    <w:rsid w:val="00F46E08"/>
    <w:rsid w:val="00F46F34"/>
    <w:rsid w:val="00F4717E"/>
    <w:rsid w:val="00F47F68"/>
    <w:rsid w:val="00F501A0"/>
    <w:rsid w:val="00F50221"/>
    <w:rsid w:val="00F50397"/>
    <w:rsid w:val="00F50B08"/>
    <w:rsid w:val="00F51670"/>
    <w:rsid w:val="00F51F1C"/>
    <w:rsid w:val="00F52C32"/>
    <w:rsid w:val="00F5361C"/>
    <w:rsid w:val="00F539EA"/>
    <w:rsid w:val="00F53DD6"/>
    <w:rsid w:val="00F54346"/>
    <w:rsid w:val="00F543B0"/>
    <w:rsid w:val="00F54481"/>
    <w:rsid w:val="00F54614"/>
    <w:rsid w:val="00F54B0F"/>
    <w:rsid w:val="00F55536"/>
    <w:rsid w:val="00F55804"/>
    <w:rsid w:val="00F5640F"/>
    <w:rsid w:val="00F56424"/>
    <w:rsid w:val="00F56607"/>
    <w:rsid w:val="00F5678D"/>
    <w:rsid w:val="00F572DF"/>
    <w:rsid w:val="00F5741F"/>
    <w:rsid w:val="00F57544"/>
    <w:rsid w:val="00F57646"/>
    <w:rsid w:val="00F57C3C"/>
    <w:rsid w:val="00F6005B"/>
    <w:rsid w:val="00F602C0"/>
    <w:rsid w:val="00F602F5"/>
    <w:rsid w:val="00F603B9"/>
    <w:rsid w:val="00F60754"/>
    <w:rsid w:val="00F60DAE"/>
    <w:rsid w:val="00F61D5E"/>
    <w:rsid w:val="00F62009"/>
    <w:rsid w:val="00F62037"/>
    <w:rsid w:val="00F622A6"/>
    <w:rsid w:val="00F631A5"/>
    <w:rsid w:val="00F631E6"/>
    <w:rsid w:val="00F63D09"/>
    <w:rsid w:val="00F644CB"/>
    <w:rsid w:val="00F64818"/>
    <w:rsid w:val="00F64920"/>
    <w:rsid w:val="00F658E0"/>
    <w:rsid w:val="00F6607E"/>
    <w:rsid w:val="00F6647E"/>
    <w:rsid w:val="00F6710A"/>
    <w:rsid w:val="00F6714C"/>
    <w:rsid w:val="00F673A7"/>
    <w:rsid w:val="00F67478"/>
    <w:rsid w:val="00F677B9"/>
    <w:rsid w:val="00F67B86"/>
    <w:rsid w:val="00F70541"/>
    <w:rsid w:val="00F7061E"/>
    <w:rsid w:val="00F70666"/>
    <w:rsid w:val="00F70978"/>
    <w:rsid w:val="00F70B67"/>
    <w:rsid w:val="00F70C3B"/>
    <w:rsid w:val="00F7142D"/>
    <w:rsid w:val="00F71DEF"/>
    <w:rsid w:val="00F71E61"/>
    <w:rsid w:val="00F72190"/>
    <w:rsid w:val="00F7260A"/>
    <w:rsid w:val="00F728AD"/>
    <w:rsid w:val="00F73004"/>
    <w:rsid w:val="00F73871"/>
    <w:rsid w:val="00F7389B"/>
    <w:rsid w:val="00F73BB6"/>
    <w:rsid w:val="00F73C8F"/>
    <w:rsid w:val="00F745D8"/>
    <w:rsid w:val="00F7576B"/>
    <w:rsid w:val="00F75AD2"/>
    <w:rsid w:val="00F75BD7"/>
    <w:rsid w:val="00F75D69"/>
    <w:rsid w:val="00F768E8"/>
    <w:rsid w:val="00F76923"/>
    <w:rsid w:val="00F769DF"/>
    <w:rsid w:val="00F76A93"/>
    <w:rsid w:val="00F76F29"/>
    <w:rsid w:val="00F77D7F"/>
    <w:rsid w:val="00F77E18"/>
    <w:rsid w:val="00F805BC"/>
    <w:rsid w:val="00F81916"/>
    <w:rsid w:val="00F81A67"/>
    <w:rsid w:val="00F81C80"/>
    <w:rsid w:val="00F81CE5"/>
    <w:rsid w:val="00F820FC"/>
    <w:rsid w:val="00F82301"/>
    <w:rsid w:val="00F82870"/>
    <w:rsid w:val="00F833AE"/>
    <w:rsid w:val="00F83BD1"/>
    <w:rsid w:val="00F85352"/>
    <w:rsid w:val="00F85543"/>
    <w:rsid w:val="00F85853"/>
    <w:rsid w:val="00F859F0"/>
    <w:rsid w:val="00F8620C"/>
    <w:rsid w:val="00F86B43"/>
    <w:rsid w:val="00F86CCE"/>
    <w:rsid w:val="00F86E59"/>
    <w:rsid w:val="00F87A57"/>
    <w:rsid w:val="00F87D73"/>
    <w:rsid w:val="00F87FD1"/>
    <w:rsid w:val="00F900C1"/>
    <w:rsid w:val="00F90115"/>
    <w:rsid w:val="00F9039B"/>
    <w:rsid w:val="00F90418"/>
    <w:rsid w:val="00F905A8"/>
    <w:rsid w:val="00F9083E"/>
    <w:rsid w:val="00F90F11"/>
    <w:rsid w:val="00F91807"/>
    <w:rsid w:val="00F91FCC"/>
    <w:rsid w:val="00F921FA"/>
    <w:rsid w:val="00F9269E"/>
    <w:rsid w:val="00F92933"/>
    <w:rsid w:val="00F92F72"/>
    <w:rsid w:val="00F93262"/>
    <w:rsid w:val="00F9372E"/>
    <w:rsid w:val="00F9391A"/>
    <w:rsid w:val="00F939A3"/>
    <w:rsid w:val="00F94888"/>
    <w:rsid w:val="00F94941"/>
    <w:rsid w:val="00F96132"/>
    <w:rsid w:val="00F96C41"/>
    <w:rsid w:val="00F96CC2"/>
    <w:rsid w:val="00F9703A"/>
    <w:rsid w:val="00F97C71"/>
    <w:rsid w:val="00F97D18"/>
    <w:rsid w:val="00F97E0B"/>
    <w:rsid w:val="00F97E0D"/>
    <w:rsid w:val="00FA0433"/>
    <w:rsid w:val="00FA097E"/>
    <w:rsid w:val="00FA1388"/>
    <w:rsid w:val="00FA150E"/>
    <w:rsid w:val="00FA15F4"/>
    <w:rsid w:val="00FA1DFF"/>
    <w:rsid w:val="00FA25BD"/>
    <w:rsid w:val="00FA2DA0"/>
    <w:rsid w:val="00FA30AC"/>
    <w:rsid w:val="00FA3B0A"/>
    <w:rsid w:val="00FA3EFF"/>
    <w:rsid w:val="00FA4151"/>
    <w:rsid w:val="00FA48C6"/>
    <w:rsid w:val="00FA48CB"/>
    <w:rsid w:val="00FA4DC3"/>
    <w:rsid w:val="00FA544E"/>
    <w:rsid w:val="00FA59E3"/>
    <w:rsid w:val="00FA5C0D"/>
    <w:rsid w:val="00FA5EC8"/>
    <w:rsid w:val="00FA6199"/>
    <w:rsid w:val="00FA6AF3"/>
    <w:rsid w:val="00FA6C0A"/>
    <w:rsid w:val="00FA6DEB"/>
    <w:rsid w:val="00FA72BE"/>
    <w:rsid w:val="00FA7690"/>
    <w:rsid w:val="00FA7E03"/>
    <w:rsid w:val="00FA7E19"/>
    <w:rsid w:val="00FB0D9C"/>
    <w:rsid w:val="00FB1064"/>
    <w:rsid w:val="00FB133A"/>
    <w:rsid w:val="00FB13EC"/>
    <w:rsid w:val="00FB15D6"/>
    <w:rsid w:val="00FB1ADE"/>
    <w:rsid w:val="00FB1C49"/>
    <w:rsid w:val="00FB2418"/>
    <w:rsid w:val="00FB2707"/>
    <w:rsid w:val="00FB301B"/>
    <w:rsid w:val="00FB3AE0"/>
    <w:rsid w:val="00FB3D1E"/>
    <w:rsid w:val="00FB46DD"/>
    <w:rsid w:val="00FB48C8"/>
    <w:rsid w:val="00FB4DF5"/>
    <w:rsid w:val="00FB5171"/>
    <w:rsid w:val="00FB5254"/>
    <w:rsid w:val="00FB5B03"/>
    <w:rsid w:val="00FB6035"/>
    <w:rsid w:val="00FB62DE"/>
    <w:rsid w:val="00FB6754"/>
    <w:rsid w:val="00FB690F"/>
    <w:rsid w:val="00FB6E81"/>
    <w:rsid w:val="00FB71A3"/>
    <w:rsid w:val="00FB726B"/>
    <w:rsid w:val="00FB7666"/>
    <w:rsid w:val="00FC042F"/>
    <w:rsid w:val="00FC0813"/>
    <w:rsid w:val="00FC0A39"/>
    <w:rsid w:val="00FC0B8C"/>
    <w:rsid w:val="00FC0BB1"/>
    <w:rsid w:val="00FC0C0F"/>
    <w:rsid w:val="00FC14B7"/>
    <w:rsid w:val="00FC150E"/>
    <w:rsid w:val="00FC1FEF"/>
    <w:rsid w:val="00FC2A40"/>
    <w:rsid w:val="00FC3125"/>
    <w:rsid w:val="00FC3603"/>
    <w:rsid w:val="00FC3F8C"/>
    <w:rsid w:val="00FC420D"/>
    <w:rsid w:val="00FC4B89"/>
    <w:rsid w:val="00FC5303"/>
    <w:rsid w:val="00FC587E"/>
    <w:rsid w:val="00FC6442"/>
    <w:rsid w:val="00FC6C79"/>
    <w:rsid w:val="00FC6E00"/>
    <w:rsid w:val="00FC7240"/>
    <w:rsid w:val="00FC75F2"/>
    <w:rsid w:val="00FC7C74"/>
    <w:rsid w:val="00FC7D2E"/>
    <w:rsid w:val="00FD0035"/>
    <w:rsid w:val="00FD08A2"/>
    <w:rsid w:val="00FD0AA7"/>
    <w:rsid w:val="00FD0D92"/>
    <w:rsid w:val="00FD115F"/>
    <w:rsid w:val="00FD12F8"/>
    <w:rsid w:val="00FD16E0"/>
    <w:rsid w:val="00FD1986"/>
    <w:rsid w:val="00FD1A3B"/>
    <w:rsid w:val="00FD1D86"/>
    <w:rsid w:val="00FD21F9"/>
    <w:rsid w:val="00FD2A64"/>
    <w:rsid w:val="00FD2BF0"/>
    <w:rsid w:val="00FD2D9F"/>
    <w:rsid w:val="00FD32F7"/>
    <w:rsid w:val="00FD380D"/>
    <w:rsid w:val="00FD3AAD"/>
    <w:rsid w:val="00FD41E9"/>
    <w:rsid w:val="00FD4C61"/>
    <w:rsid w:val="00FD4D43"/>
    <w:rsid w:val="00FD55E4"/>
    <w:rsid w:val="00FD5AA6"/>
    <w:rsid w:val="00FD5AAF"/>
    <w:rsid w:val="00FD5AFB"/>
    <w:rsid w:val="00FD653F"/>
    <w:rsid w:val="00FD6B09"/>
    <w:rsid w:val="00FD6B4C"/>
    <w:rsid w:val="00FD7048"/>
    <w:rsid w:val="00FD7447"/>
    <w:rsid w:val="00FE04EE"/>
    <w:rsid w:val="00FE064C"/>
    <w:rsid w:val="00FE0EDC"/>
    <w:rsid w:val="00FE18AC"/>
    <w:rsid w:val="00FE1A5C"/>
    <w:rsid w:val="00FE1C65"/>
    <w:rsid w:val="00FE227A"/>
    <w:rsid w:val="00FE2843"/>
    <w:rsid w:val="00FE2B3B"/>
    <w:rsid w:val="00FE3535"/>
    <w:rsid w:val="00FE393A"/>
    <w:rsid w:val="00FE3A9F"/>
    <w:rsid w:val="00FE421F"/>
    <w:rsid w:val="00FE4233"/>
    <w:rsid w:val="00FE4720"/>
    <w:rsid w:val="00FE4CB8"/>
    <w:rsid w:val="00FE4EBD"/>
    <w:rsid w:val="00FE4F7D"/>
    <w:rsid w:val="00FE53C4"/>
    <w:rsid w:val="00FE5420"/>
    <w:rsid w:val="00FE56DA"/>
    <w:rsid w:val="00FE5A1B"/>
    <w:rsid w:val="00FE5A75"/>
    <w:rsid w:val="00FE5BF4"/>
    <w:rsid w:val="00FE60F1"/>
    <w:rsid w:val="00FE6481"/>
    <w:rsid w:val="00FE6691"/>
    <w:rsid w:val="00FE66B4"/>
    <w:rsid w:val="00FE6BFC"/>
    <w:rsid w:val="00FE71D0"/>
    <w:rsid w:val="00FF0217"/>
    <w:rsid w:val="00FF0263"/>
    <w:rsid w:val="00FF02AF"/>
    <w:rsid w:val="00FF02BC"/>
    <w:rsid w:val="00FF037A"/>
    <w:rsid w:val="00FF085D"/>
    <w:rsid w:val="00FF0863"/>
    <w:rsid w:val="00FF0C6D"/>
    <w:rsid w:val="00FF116C"/>
    <w:rsid w:val="00FF1986"/>
    <w:rsid w:val="00FF2382"/>
    <w:rsid w:val="00FF25A7"/>
    <w:rsid w:val="00FF2940"/>
    <w:rsid w:val="00FF2BEA"/>
    <w:rsid w:val="00FF2E96"/>
    <w:rsid w:val="00FF3299"/>
    <w:rsid w:val="00FF32BE"/>
    <w:rsid w:val="00FF32E7"/>
    <w:rsid w:val="00FF3F83"/>
    <w:rsid w:val="00FF40D7"/>
    <w:rsid w:val="00FF40F2"/>
    <w:rsid w:val="00FF46EA"/>
    <w:rsid w:val="00FF4980"/>
    <w:rsid w:val="00FF4CA1"/>
    <w:rsid w:val="00FF4DCD"/>
    <w:rsid w:val="00FF60B4"/>
    <w:rsid w:val="00FF67C3"/>
    <w:rsid w:val="00FF786D"/>
    <w:rsid w:val="00FF78D8"/>
    <w:rsid w:val="00FF78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A61156E"/>
  <w15:docId w15:val="{F5AE5997-925B-4ECF-9518-8C4A3EE4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15415"/>
    <w:pPr>
      <w:widowControl w:val="0"/>
      <w:wordWrap w:val="0"/>
      <w:jc w:val="both"/>
    </w:pPr>
    <w:rPr>
      <w:kern w:val="2"/>
      <w:sz w:val="22"/>
    </w:rPr>
  </w:style>
  <w:style w:type="paragraph" w:styleId="1">
    <w:name w:val="heading 1"/>
    <w:aliases w:val="1,h1,Heading U,H1,H11,Œ©o‚µ 1,?co??E 1"/>
    <w:basedOn w:val="a0"/>
    <w:next w:val="a0"/>
    <w:qFormat/>
    <w:rsid w:val="00613C0F"/>
    <w:pPr>
      <w:keepNext/>
      <w:outlineLvl w:val="0"/>
    </w:pPr>
    <w:rPr>
      <w:b/>
      <w:sz w:val="28"/>
    </w:rPr>
  </w:style>
  <w:style w:type="paragraph" w:styleId="2">
    <w:name w:val="heading 2"/>
    <w:aliases w:val="h2,H2,H21,Œ©o‚µ 2,?co??E 2"/>
    <w:basedOn w:val="a0"/>
    <w:next w:val="a0"/>
    <w:autoRedefine/>
    <w:qFormat/>
    <w:rsid w:val="00F2490B"/>
    <w:pPr>
      <w:tabs>
        <w:tab w:val="left" w:pos="500"/>
      </w:tabs>
      <w:wordWrap/>
      <w:spacing w:beforeLines="100" w:before="422" w:afterLines="100" w:after="422" w:line="264" w:lineRule="auto"/>
      <w:outlineLvl w:val="1"/>
    </w:pPr>
    <w:rPr>
      <w:b/>
      <w:sz w:val="28"/>
    </w:rPr>
  </w:style>
  <w:style w:type="paragraph" w:styleId="3">
    <w:name w:val="heading 3"/>
    <w:aliases w:val="H3,h3,H31"/>
    <w:basedOn w:val="a0"/>
    <w:next w:val="a0"/>
    <w:autoRedefine/>
    <w:qFormat/>
    <w:rsid w:val="000C5E12"/>
    <w:pPr>
      <w:tabs>
        <w:tab w:val="left" w:pos="700"/>
      </w:tabs>
      <w:wordWrap/>
      <w:spacing w:before="240" w:afterLines="50" w:after="211"/>
      <w:outlineLvl w:val="2"/>
    </w:pPr>
    <w:rPr>
      <w:b/>
      <w:sz w:val="26"/>
    </w:rPr>
  </w:style>
  <w:style w:type="paragraph" w:styleId="4">
    <w:name w:val="heading 4"/>
    <w:basedOn w:val="a0"/>
    <w:next w:val="a0"/>
    <w:autoRedefine/>
    <w:qFormat/>
    <w:rsid w:val="0016585E"/>
    <w:pPr>
      <w:keepNext/>
      <w:tabs>
        <w:tab w:val="left" w:pos="800"/>
      </w:tabs>
      <w:outlineLvl w:val="3"/>
    </w:pPr>
    <w:rPr>
      <w:rFonts w:eastAsia="Times New Roman"/>
      <w:b/>
    </w:rPr>
  </w:style>
  <w:style w:type="paragraph" w:styleId="5">
    <w:name w:val="heading 5"/>
    <w:basedOn w:val="a0"/>
    <w:next w:val="a0"/>
    <w:qFormat/>
    <w:rsid w:val="00613C0F"/>
    <w:pPr>
      <w:keepNext/>
      <w:outlineLvl w:val="4"/>
    </w:pPr>
    <w:rPr>
      <w:rFonts w:ascii="Arial" w:hAnsi="Arial"/>
      <w:b/>
      <w:sz w:val="24"/>
    </w:rPr>
  </w:style>
  <w:style w:type="paragraph" w:styleId="6">
    <w:name w:val="heading 6"/>
    <w:basedOn w:val="a0"/>
    <w:next w:val="a0"/>
    <w:qFormat/>
    <w:rsid w:val="00613C0F"/>
    <w:pPr>
      <w:keepNext/>
      <w:outlineLvl w:val="5"/>
    </w:pPr>
    <w:rPr>
      <w:sz w:val="24"/>
    </w:rPr>
  </w:style>
  <w:style w:type="paragraph" w:styleId="7">
    <w:name w:val="heading 7"/>
    <w:basedOn w:val="a0"/>
    <w:next w:val="a0"/>
    <w:qFormat/>
    <w:rsid w:val="00613C0F"/>
    <w:pPr>
      <w:keepNext/>
      <w:ind w:left="851"/>
      <w:outlineLvl w:val="6"/>
    </w:pPr>
    <w:rPr>
      <w:b/>
      <w:sz w:val="24"/>
    </w:rPr>
  </w:style>
  <w:style w:type="paragraph" w:styleId="8">
    <w:name w:val="heading 8"/>
    <w:basedOn w:val="a0"/>
    <w:next w:val="a0"/>
    <w:qFormat/>
    <w:rsid w:val="00613C0F"/>
    <w:pPr>
      <w:keepNext/>
      <w:ind w:left="851"/>
      <w:outlineLvl w:val="7"/>
    </w:pPr>
    <w:rPr>
      <w:sz w:val="24"/>
    </w:rPr>
  </w:style>
  <w:style w:type="paragraph" w:styleId="9">
    <w:name w:val="heading 9"/>
    <w:basedOn w:val="a0"/>
    <w:next w:val="a0"/>
    <w:qFormat/>
    <w:rsid w:val="00613C0F"/>
    <w:pPr>
      <w:keepNext/>
      <w:outlineLvl w:val="8"/>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rsid w:val="00613C0F"/>
    <w:pPr>
      <w:spacing w:after="180"/>
    </w:pPr>
  </w:style>
  <w:style w:type="paragraph" w:styleId="a5">
    <w:name w:val="Body Text Indent"/>
    <w:basedOn w:val="a0"/>
    <w:rsid w:val="00613C0F"/>
    <w:pPr>
      <w:ind w:firstLine="360"/>
    </w:pPr>
    <w:rPr>
      <w:color w:val="0000FF"/>
    </w:rPr>
  </w:style>
  <w:style w:type="paragraph" w:styleId="a6">
    <w:name w:val="caption"/>
    <w:basedOn w:val="a0"/>
    <w:next w:val="a0"/>
    <w:qFormat/>
    <w:rsid w:val="00613C0F"/>
    <w:pPr>
      <w:widowControl/>
      <w:wordWrap/>
      <w:spacing w:before="120" w:after="120"/>
      <w:jc w:val="left"/>
    </w:pPr>
    <w:rPr>
      <w:b/>
      <w:noProof/>
      <w:kern w:val="0"/>
    </w:rPr>
  </w:style>
  <w:style w:type="paragraph" w:customStyle="1" w:styleId="Normalaftertitle">
    <w:name w:val="Normal after title"/>
    <w:basedOn w:val="a0"/>
    <w:rsid w:val="00613C0F"/>
    <w:pPr>
      <w:widowControl/>
      <w:tabs>
        <w:tab w:val="left" w:pos="794"/>
        <w:tab w:val="left" w:pos="1191"/>
        <w:tab w:val="left" w:pos="1588"/>
        <w:tab w:val="left" w:pos="1985"/>
      </w:tabs>
      <w:wordWrap/>
      <w:spacing w:before="480"/>
    </w:pPr>
    <w:rPr>
      <w:rFonts w:ascii="Times" w:hAnsi="Times"/>
      <w:kern w:val="0"/>
      <w:lang w:eastAsia="en-US"/>
    </w:rPr>
  </w:style>
  <w:style w:type="paragraph" w:styleId="a7">
    <w:name w:val="header"/>
    <w:basedOn w:val="a0"/>
    <w:rsid w:val="00613C0F"/>
    <w:pPr>
      <w:tabs>
        <w:tab w:val="center" w:pos="4320"/>
        <w:tab w:val="right" w:pos="8640"/>
      </w:tabs>
      <w:wordWrap/>
      <w:jc w:val="left"/>
    </w:pPr>
    <w:rPr>
      <w:noProof/>
      <w:kern w:val="0"/>
    </w:rPr>
  </w:style>
  <w:style w:type="paragraph" w:styleId="20">
    <w:name w:val="Body Text 2"/>
    <w:basedOn w:val="a0"/>
    <w:rsid w:val="00613C0F"/>
    <w:pPr>
      <w:widowControl/>
      <w:wordWrap/>
      <w:jc w:val="center"/>
    </w:pPr>
    <w:rPr>
      <w:snapToGrid w:val="0"/>
      <w:color w:val="000000"/>
      <w:kern w:val="0"/>
      <w:sz w:val="18"/>
      <w:lang w:eastAsia="en-US"/>
    </w:rPr>
  </w:style>
  <w:style w:type="paragraph" w:customStyle="1" w:styleId="2Heading">
    <w:name w:val="2Heading"/>
    <w:basedOn w:val="a0"/>
    <w:rsid w:val="00613C0F"/>
    <w:pPr>
      <w:keepNext/>
      <w:widowControl/>
      <w:wordWrap/>
      <w:spacing w:before="380" w:after="140" w:line="300" w:lineRule="atLeast"/>
      <w:ind w:left="1368" w:hanging="648"/>
      <w:jc w:val="left"/>
    </w:pPr>
    <w:rPr>
      <w:rFonts w:ascii="Helvetica" w:hAnsi="Helvetica"/>
      <w:b/>
      <w:noProof/>
      <w:color w:val="000000"/>
      <w:kern w:val="0"/>
      <w:sz w:val="32"/>
    </w:rPr>
  </w:style>
  <w:style w:type="paragraph" w:customStyle="1" w:styleId="Body">
    <w:name w:val="Body"/>
    <w:basedOn w:val="a0"/>
    <w:rsid w:val="00613C0F"/>
    <w:pPr>
      <w:widowControl/>
      <w:wordWrap/>
      <w:spacing w:before="160" w:after="160"/>
      <w:ind w:left="720"/>
      <w:jc w:val="left"/>
    </w:pPr>
    <w:rPr>
      <w:rFonts w:ascii="Palatino" w:hAnsi="Palatino"/>
      <w:noProof/>
      <w:color w:val="000000"/>
      <w:kern w:val="0"/>
    </w:rPr>
  </w:style>
  <w:style w:type="paragraph" w:customStyle="1" w:styleId="List1">
    <w:name w:val="List1"/>
    <w:basedOn w:val="a0"/>
    <w:rsid w:val="00613C0F"/>
    <w:pPr>
      <w:keepNext/>
      <w:widowControl/>
      <w:tabs>
        <w:tab w:val="left" w:pos="1224"/>
      </w:tabs>
      <w:wordWrap/>
      <w:spacing w:before="200" w:after="100"/>
      <w:ind w:left="1224" w:hanging="504"/>
      <w:jc w:val="left"/>
    </w:pPr>
    <w:rPr>
      <w:rFonts w:ascii="Palatino" w:hAnsi="Palatino"/>
      <w:noProof/>
      <w:color w:val="000000"/>
      <w:kern w:val="0"/>
    </w:rPr>
  </w:style>
  <w:style w:type="paragraph" w:customStyle="1" w:styleId="lev1heading">
    <w:name w:val="lev1heading"/>
    <w:rsid w:val="00613C0F"/>
    <w:pPr>
      <w:keepNext/>
      <w:tabs>
        <w:tab w:val="center" w:pos="2880"/>
        <w:tab w:val="left" w:pos="3600"/>
      </w:tabs>
      <w:spacing w:before="200" w:after="200" w:line="280" w:lineRule="auto"/>
    </w:pPr>
    <w:rPr>
      <w:rFonts w:ascii="Times" w:hAnsi="Times"/>
      <w:b/>
      <w:color w:val="000000"/>
      <w:sz w:val="24"/>
      <w:lang w:eastAsia="en-US"/>
    </w:rPr>
  </w:style>
  <w:style w:type="paragraph" w:customStyle="1" w:styleId="vara">
    <w:name w:val="vara"/>
    <w:basedOn w:val="a0"/>
    <w:rsid w:val="00613C0F"/>
    <w:pPr>
      <w:widowControl/>
      <w:wordWrap/>
      <w:jc w:val="left"/>
    </w:pPr>
    <w:rPr>
      <w:rFonts w:ascii="Times" w:hAnsi="Times"/>
      <w:b/>
      <w:kern w:val="0"/>
      <w:sz w:val="24"/>
      <w:lang w:val="en-GB" w:eastAsia="en-US"/>
    </w:rPr>
  </w:style>
  <w:style w:type="paragraph" w:customStyle="1" w:styleId="Paragraph">
    <w:name w:val="Paragraph"/>
    <w:basedOn w:val="a0"/>
    <w:rsid w:val="00613C0F"/>
    <w:pPr>
      <w:widowControl/>
      <w:wordWrap/>
      <w:spacing w:before="120"/>
      <w:ind w:firstLine="567"/>
    </w:pPr>
    <w:rPr>
      <w:rFonts w:ascii="Times" w:hAnsi="Times"/>
      <w:kern w:val="0"/>
      <w:sz w:val="24"/>
      <w:lang w:eastAsia="en-US"/>
    </w:rPr>
  </w:style>
  <w:style w:type="paragraph" w:customStyle="1" w:styleId="Bulleted">
    <w:name w:val="Bulleted"/>
    <w:basedOn w:val="a0"/>
    <w:rsid w:val="00613C0F"/>
    <w:pPr>
      <w:widowControl/>
      <w:wordWrap/>
      <w:ind w:left="284" w:hanging="284"/>
    </w:pPr>
    <w:rPr>
      <w:rFonts w:ascii="Helv" w:hAnsi="Helv"/>
      <w:kern w:val="0"/>
      <w:lang w:val="en-GB" w:eastAsia="en-US"/>
    </w:rPr>
  </w:style>
  <w:style w:type="paragraph" w:customStyle="1" w:styleId="tableofcont">
    <w:name w:val="table_of_cont"/>
    <w:basedOn w:val="a0"/>
    <w:rsid w:val="00613C0F"/>
    <w:pPr>
      <w:widowControl/>
      <w:wordWrap/>
    </w:pPr>
    <w:rPr>
      <w:rFonts w:ascii="Helvetica" w:hAnsi="Helvetica"/>
      <w:kern w:val="0"/>
      <w:sz w:val="28"/>
      <w:lang w:val="en-GB" w:eastAsia="en-US"/>
    </w:rPr>
  </w:style>
  <w:style w:type="paragraph" w:customStyle="1" w:styleId="text">
    <w:name w:val="text"/>
    <w:rsid w:val="00613C0F"/>
    <w:pPr>
      <w:widowControl w:val="0"/>
      <w:spacing w:before="100" w:after="100"/>
      <w:ind w:left="860"/>
    </w:pPr>
    <w:rPr>
      <w:rFonts w:ascii="New York" w:hAnsi="New York"/>
      <w:snapToGrid w:val="0"/>
      <w:sz w:val="24"/>
      <w:lang w:eastAsia="en-US"/>
    </w:rPr>
  </w:style>
  <w:style w:type="paragraph" w:customStyle="1" w:styleId="PunktLista08">
    <w:name w:val="PunktLista 0.8"/>
    <w:basedOn w:val="a4"/>
    <w:rsid w:val="00613C0F"/>
    <w:pPr>
      <w:tabs>
        <w:tab w:val="left" w:pos="3062"/>
      </w:tabs>
      <w:wordWrap/>
      <w:spacing w:after="240"/>
      <w:ind w:left="3119" w:right="624" w:hanging="454"/>
      <w:jc w:val="left"/>
    </w:pPr>
    <w:rPr>
      <w:rFonts w:ascii="Times" w:hAnsi="Times"/>
      <w:snapToGrid w:val="0"/>
      <w:kern w:val="0"/>
      <w:lang w:eastAsia="en-US"/>
    </w:rPr>
  </w:style>
  <w:style w:type="paragraph" w:customStyle="1" w:styleId="Identifikation">
    <w:name w:val="Identifikation"/>
    <w:basedOn w:val="1"/>
    <w:rsid w:val="00613C0F"/>
    <w:pPr>
      <w:tabs>
        <w:tab w:val="left" w:pos="3969"/>
      </w:tabs>
      <w:wordWrap/>
      <w:spacing w:after="240"/>
      <w:ind w:right="624"/>
      <w:jc w:val="left"/>
      <w:outlineLvl w:val="9"/>
    </w:pPr>
    <w:rPr>
      <w:rFonts w:ascii="Times" w:hAnsi="Times"/>
      <w:snapToGrid w:val="0"/>
      <w:kern w:val="0"/>
      <w:lang w:eastAsia="en-US"/>
    </w:rPr>
  </w:style>
  <w:style w:type="paragraph" w:customStyle="1" w:styleId="PunktLista14">
    <w:name w:val="PunktLista 1.4"/>
    <w:basedOn w:val="PunktLista08"/>
    <w:rsid w:val="00613C0F"/>
    <w:pPr>
      <w:ind w:left="3572"/>
    </w:pPr>
  </w:style>
  <w:style w:type="paragraph" w:customStyle="1" w:styleId="textindrag08">
    <w:name w:val="text indrag 0.8"/>
    <w:rsid w:val="00613C0F"/>
    <w:pPr>
      <w:widowControl w:val="0"/>
      <w:spacing w:after="240"/>
      <w:ind w:left="3119" w:right="624"/>
    </w:pPr>
    <w:rPr>
      <w:rFonts w:ascii="New York" w:hAnsi="New York"/>
      <w:snapToGrid w:val="0"/>
      <w:sz w:val="22"/>
      <w:lang w:eastAsia="en-US"/>
    </w:rPr>
  </w:style>
  <w:style w:type="paragraph" w:customStyle="1" w:styleId="OSNorm">
    <w:name w:val="OSNorm"/>
    <w:basedOn w:val="a0"/>
    <w:rsid w:val="00613C0F"/>
    <w:pPr>
      <w:wordWrap/>
      <w:spacing w:before="60" w:after="40"/>
      <w:ind w:left="1700" w:right="38"/>
      <w:jc w:val="left"/>
    </w:pPr>
    <w:rPr>
      <w:rFonts w:ascii="Times" w:hAnsi="Times"/>
      <w:snapToGrid w:val="0"/>
      <w:kern w:val="0"/>
      <w:sz w:val="24"/>
      <w:lang w:eastAsia="en-US"/>
    </w:rPr>
  </w:style>
  <w:style w:type="paragraph" w:customStyle="1" w:styleId="OSNormTabell1">
    <w:name w:val="OSNorm Tabell 1"/>
    <w:basedOn w:val="OSNorm"/>
    <w:rsid w:val="00613C0F"/>
    <w:pPr>
      <w:ind w:left="2000" w:hanging="300"/>
    </w:pPr>
  </w:style>
  <w:style w:type="paragraph" w:customStyle="1" w:styleId="textpunktlista">
    <w:name w:val="text punktlista"/>
    <w:rsid w:val="00613C0F"/>
    <w:pPr>
      <w:widowControl w:val="0"/>
      <w:ind w:left="3060" w:right="624" w:hanging="395"/>
    </w:pPr>
    <w:rPr>
      <w:rFonts w:ascii="New York" w:hAnsi="New York"/>
      <w:snapToGrid w:val="0"/>
      <w:sz w:val="22"/>
      <w:lang w:eastAsia="en-US"/>
    </w:rPr>
  </w:style>
  <w:style w:type="paragraph" w:customStyle="1" w:styleId="Blankrad">
    <w:name w:val="Blankrad"/>
    <w:basedOn w:val="a4"/>
    <w:rsid w:val="00613C0F"/>
    <w:pPr>
      <w:wordWrap/>
      <w:spacing w:after="0"/>
      <w:ind w:right="624"/>
      <w:jc w:val="left"/>
    </w:pPr>
    <w:rPr>
      <w:rFonts w:ascii="Times" w:hAnsi="Times"/>
      <w:snapToGrid w:val="0"/>
      <w:kern w:val="0"/>
      <w:lang w:eastAsia="en-US"/>
    </w:rPr>
  </w:style>
  <w:style w:type="paragraph" w:customStyle="1" w:styleId="Appendix">
    <w:name w:val="Appendix"/>
    <w:basedOn w:val="1"/>
    <w:next w:val="a0"/>
    <w:rsid w:val="00613C0F"/>
    <w:pPr>
      <w:widowControl/>
      <w:tabs>
        <w:tab w:val="num" w:pos="360"/>
      </w:tabs>
      <w:wordWrap/>
      <w:spacing w:before="360" w:after="360"/>
      <w:ind w:left="360" w:hanging="360"/>
      <w:jc w:val="left"/>
      <w:outlineLvl w:val="9"/>
    </w:pPr>
    <w:rPr>
      <w:b w:val="0"/>
      <w:kern w:val="28"/>
      <w:sz w:val="36"/>
      <w:lang w:val="en-GB" w:eastAsia="en-US"/>
    </w:rPr>
  </w:style>
  <w:style w:type="paragraph" w:customStyle="1" w:styleId="Note">
    <w:name w:val="Note"/>
    <w:basedOn w:val="a0"/>
    <w:next w:val="a0"/>
    <w:rsid w:val="00613C0F"/>
    <w:pPr>
      <w:widowControl/>
      <w:tabs>
        <w:tab w:val="left" w:pos="1191"/>
        <w:tab w:val="left" w:pos="1588"/>
        <w:tab w:val="left" w:pos="1985"/>
      </w:tabs>
      <w:wordWrap/>
      <w:spacing w:before="60" w:line="199" w:lineRule="exact"/>
      <w:ind w:firstLine="794"/>
    </w:pPr>
    <w:rPr>
      <w:rFonts w:ascii="Times" w:hAnsi="Times"/>
      <w:kern w:val="0"/>
      <w:sz w:val="18"/>
      <w:lang w:eastAsia="en-US"/>
    </w:rPr>
  </w:style>
  <w:style w:type="paragraph" w:customStyle="1" w:styleId="TableLegend">
    <w:name w:val="Table_Legend"/>
    <w:basedOn w:val="a0"/>
    <w:next w:val="a0"/>
    <w:rsid w:val="00613C0F"/>
    <w:pPr>
      <w:keepNext/>
      <w:widowControl/>
      <w:tabs>
        <w:tab w:val="left" w:pos="454"/>
      </w:tabs>
      <w:wordWrap/>
      <w:spacing w:before="86" w:line="199" w:lineRule="exact"/>
    </w:pPr>
    <w:rPr>
      <w:rFonts w:ascii="Times" w:hAnsi="Times"/>
      <w:kern w:val="0"/>
      <w:sz w:val="18"/>
      <w:lang w:eastAsia="en-US"/>
    </w:rPr>
  </w:style>
  <w:style w:type="paragraph" w:customStyle="1" w:styleId="TableTitle">
    <w:name w:val="Table_Title"/>
    <w:basedOn w:val="Table"/>
    <w:next w:val="Blanc"/>
    <w:rsid w:val="00613C0F"/>
    <w:pPr>
      <w:spacing w:before="0" w:after="57"/>
    </w:pPr>
    <w:rPr>
      <w:b/>
    </w:rPr>
  </w:style>
  <w:style w:type="paragraph" w:customStyle="1" w:styleId="Table">
    <w:name w:val="Table_#"/>
    <w:basedOn w:val="a0"/>
    <w:next w:val="TableTitle"/>
    <w:rsid w:val="00613C0F"/>
    <w:pPr>
      <w:keepNext/>
      <w:widowControl/>
      <w:wordWrap/>
      <w:spacing w:before="567" w:after="113"/>
      <w:jc w:val="center"/>
    </w:pPr>
    <w:rPr>
      <w:rFonts w:ascii="Times" w:hAnsi="Times"/>
      <w:kern w:val="0"/>
      <w:lang w:eastAsia="en-US"/>
    </w:rPr>
  </w:style>
  <w:style w:type="paragraph" w:customStyle="1" w:styleId="Blanc">
    <w:name w:val="Blanc"/>
    <w:basedOn w:val="TableTitle"/>
    <w:next w:val="TableText"/>
    <w:rsid w:val="00613C0F"/>
    <w:pPr>
      <w:spacing w:line="12" w:lineRule="exact"/>
    </w:pPr>
    <w:rPr>
      <w:b w:val="0"/>
      <w:sz w:val="8"/>
    </w:rPr>
  </w:style>
  <w:style w:type="paragraph" w:customStyle="1" w:styleId="TableText">
    <w:name w:val="Table_Text"/>
    <w:basedOn w:val="a0"/>
    <w:rsid w:val="00613C0F"/>
    <w:pPr>
      <w:keepLines/>
      <w:widowControl/>
      <w:tabs>
        <w:tab w:val="left" w:pos="794"/>
        <w:tab w:val="left" w:pos="1191"/>
        <w:tab w:val="left" w:pos="1588"/>
        <w:tab w:val="left" w:pos="1985"/>
      </w:tabs>
      <w:wordWrap/>
      <w:spacing w:before="100" w:after="100" w:line="190" w:lineRule="exact"/>
      <w:jc w:val="left"/>
    </w:pPr>
    <w:rPr>
      <w:rFonts w:ascii="Times" w:hAnsi="Times"/>
      <w:kern w:val="0"/>
      <w:sz w:val="18"/>
      <w:lang w:eastAsia="en-US"/>
    </w:rPr>
  </w:style>
  <w:style w:type="paragraph" w:customStyle="1" w:styleId="enumlev1">
    <w:name w:val="enumlev1"/>
    <w:basedOn w:val="a0"/>
    <w:rsid w:val="00613C0F"/>
    <w:pPr>
      <w:widowControl/>
      <w:tabs>
        <w:tab w:val="left" w:pos="794"/>
        <w:tab w:val="left" w:pos="1191"/>
        <w:tab w:val="left" w:pos="1588"/>
        <w:tab w:val="left" w:pos="1985"/>
      </w:tabs>
      <w:wordWrap/>
      <w:spacing w:before="86"/>
      <w:ind w:left="1191" w:hanging="397"/>
    </w:pPr>
    <w:rPr>
      <w:rFonts w:ascii="Times" w:hAnsi="Times"/>
      <w:kern w:val="0"/>
      <w:lang w:eastAsia="en-US"/>
    </w:rPr>
  </w:style>
  <w:style w:type="paragraph" w:customStyle="1" w:styleId="CellBody">
    <w:name w:val="CellBody"/>
    <w:basedOn w:val="a0"/>
    <w:rsid w:val="00613C0F"/>
    <w:pPr>
      <w:wordWrap/>
      <w:spacing w:line="-280" w:lineRule="auto"/>
    </w:pPr>
    <w:rPr>
      <w:rFonts w:ascii="Times" w:hAnsi="Times"/>
      <w:kern w:val="0"/>
      <w:lang w:eastAsia="en-US"/>
    </w:rPr>
  </w:style>
  <w:style w:type="paragraph" w:customStyle="1" w:styleId="n">
    <w:name w:val="n"/>
    <w:basedOn w:val="1"/>
    <w:rsid w:val="00613C0F"/>
    <w:pPr>
      <w:widowControl/>
      <w:tabs>
        <w:tab w:val="num" w:pos="432"/>
      </w:tabs>
      <w:wordWrap/>
      <w:spacing w:before="240" w:after="60"/>
      <w:ind w:left="360" w:hanging="360"/>
      <w:jc w:val="left"/>
      <w:outlineLvl w:val="9"/>
    </w:pPr>
    <w:rPr>
      <w:rFonts w:ascii="Times" w:hAnsi="Times"/>
      <w:kern w:val="28"/>
      <w:sz w:val="24"/>
      <w:lang w:eastAsia="en-US"/>
    </w:rPr>
  </w:style>
  <w:style w:type="paragraph" w:styleId="a8">
    <w:name w:val="annotation text"/>
    <w:basedOn w:val="a0"/>
    <w:semiHidden/>
    <w:rsid w:val="00613C0F"/>
    <w:pPr>
      <w:widowControl/>
      <w:wordWrap/>
    </w:pPr>
    <w:rPr>
      <w:rFonts w:ascii="Times" w:hAnsi="Times"/>
      <w:kern w:val="0"/>
      <w:lang w:eastAsia="en-US"/>
    </w:rPr>
  </w:style>
  <w:style w:type="paragraph" w:styleId="21">
    <w:name w:val="Body Text Indent 2"/>
    <w:basedOn w:val="a0"/>
    <w:rsid w:val="00613C0F"/>
    <w:pPr>
      <w:ind w:firstLine="284"/>
    </w:pPr>
  </w:style>
  <w:style w:type="paragraph" w:styleId="a9">
    <w:name w:val="footer"/>
    <w:basedOn w:val="a0"/>
    <w:link w:val="Char0"/>
    <w:uiPriority w:val="99"/>
    <w:rsid w:val="00613C0F"/>
    <w:pPr>
      <w:tabs>
        <w:tab w:val="center" w:pos="4252"/>
        <w:tab w:val="right" w:pos="8504"/>
      </w:tabs>
      <w:snapToGrid w:val="0"/>
    </w:pPr>
  </w:style>
  <w:style w:type="character" w:styleId="aa">
    <w:name w:val="page number"/>
    <w:rsid w:val="00D1227B"/>
    <w:rPr>
      <w:rFonts w:ascii="Times New Roman" w:hAnsi="Times New Roman"/>
      <w:sz w:val="24"/>
    </w:rPr>
  </w:style>
  <w:style w:type="paragraph" w:styleId="30">
    <w:name w:val="Body Text Indent 3"/>
    <w:basedOn w:val="a0"/>
    <w:rsid w:val="00613C0F"/>
    <w:pPr>
      <w:ind w:firstLine="600"/>
    </w:pPr>
  </w:style>
  <w:style w:type="paragraph" w:customStyle="1" w:styleId="Figure">
    <w:name w:val="Figure"/>
    <w:basedOn w:val="10"/>
    <w:rsid w:val="00613C0F"/>
    <w:pPr>
      <w:spacing w:line="264" w:lineRule="auto"/>
      <w:ind w:left="0" w:firstLine="0"/>
      <w:jc w:val="center"/>
    </w:pPr>
  </w:style>
  <w:style w:type="paragraph" w:styleId="10">
    <w:name w:val="index 1"/>
    <w:basedOn w:val="a0"/>
    <w:next w:val="a0"/>
    <w:autoRedefine/>
    <w:semiHidden/>
    <w:rsid w:val="00613C0F"/>
    <w:pPr>
      <w:ind w:left="425" w:hanging="425"/>
    </w:pPr>
  </w:style>
  <w:style w:type="paragraph" w:styleId="ab">
    <w:name w:val="table of figures"/>
    <w:basedOn w:val="a0"/>
    <w:next w:val="a0"/>
    <w:autoRedefine/>
    <w:semiHidden/>
    <w:rsid w:val="00AA7195"/>
    <w:pPr>
      <w:tabs>
        <w:tab w:val="right" w:leader="dot" w:pos="7800"/>
      </w:tabs>
      <w:ind w:left="1000" w:hanging="1000"/>
      <w:jc w:val="left"/>
    </w:pPr>
    <w:rPr>
      <w:rFonts w:eastAsia="Times New Roman"/>
      <w:sz w:val="24"/>
      <w:szCs w:val="22"/>
    </w:rPr>
  </w:style>
  <w:style w:type="character" w:styleId="ac">
    <w:name w:val="footnote reference"/>
    <w:aliases w:val="Appel note de bas de p"/>
    <w:uiPriority w:val="99"/>
    <w:semiHidden/>
    <w:rsid w:val="00613C0F"/>
    <w:rPr>
      <w:vertAlign w:val="superscript"/>
    </w:rPr>
  </w:style>
  <w:style w:type="paragraph" w:styleId="ad">
    <w:name w:val="footnote text"/>
    <w:aliases w:val="footnote text,ALTS FOOTNOTE"/>
    <w:basedOn w:val="a0"/>
    <w:link w:val="Char1"/>
    <w:uiPriority w:val="99"/>
    <w:semiHidden/>
    <w:rsid w:val="00613C0F"/>
    <w:pPr>
      <w:snapToGrid w:val="0"/>
      <w:jc w:val="left"/>
    </w:pPr>
  </w:style>
  <w:style w:type="paragraph" w:styleId="12">
    <w:name w:val="toc 1"/>
    <w:basedOn w:val="22"/>
    <w:next w:val="a0"/>
    <w:autoRedefine/>
    <w:semiHidden/>
    <w:rsid w:val="006D1996"/>
    <w:pPr>
      <w:tabs>
        <w:tab w:val="left" w:pos="400"/>
      </w:tabs>
      <w:spacing w:before="120"/>
      <w:ind w:leftChars="0" w:left="0" w:firstLineChars="0" w:firstLine="0"/>
      <w:jc w:val="both"/>
    </w:pPr>
    <w:rPr>
      <w:b/>
      <w:bCs/>
      <w:iCs/>
    </w:rPr>
  </w:style>
  <w:style w:type="paragraph" w:styleId="22">
    <w:name w:val="toc 2"/>
    <w:basedOn w:val="a0"/>
    <w:next w:val="a0"/>
    <w:autoRedefine/>
    <w:semiHidden/>
    <w:rsid w:val="006D1996"/>
    <w:pPr>
      <w:tabs>
        <w:tab w:val="left" w:pos="800"/>
        <w:tab w:val="right" w:leader="dot" w:pos="7800"/>
      </w:tabs>
      <w:ind w:leftChars="200" w:left="798" w:hangingChars="166" w:hanging="398"/>
      <w:jc w:val="left"/>
    </w:pPr>
    <w:rPr>
      <w:sz w:val="24"/>
    </w:rPr>
  </w:style>
  <w:style w:type="paragraph" w:styleId="31">
    <w:name w:val="toc 3"/>
    <w:basedOn w:val="a0"/>
    <w:next w:val="a0"/>
    <w:autoRedefine/>
    <w:semiHidden/>
    <w:rsid w:val="006D1996"/>
    <w:pPr>
      <w:tabs>
        <w:tab w:val="left" w:pos="1358"/>
        <w:tab w:val="right" w:leader="dot" w:pos="7800"/>
      </w:tabs>
      <w:ind w:left="400" w:firstLineChars="181" w:firstLine="398"/>
      <w:jc w:val="left"/>
    </w:pPr>
    <w:rPr>
      <w:iCs/>
    </w:rPr>
  </w:style>
  <w:style w:type="paragraph" w:styleId="40">
    <w:name w:val="toc 4"/>
    <w:basedOn w:val="a0"/>
    <w:next w:val="a0"/>
    <w:autoRedefine/>
    <w:semiHidden/>
    <w:rsid w:val="00613C0F"/>
    <w:pPr>
      <w:ind w:left="600"/>
      <w:jc w:val="left"/>
    </w:pPr>
    <w:rPr>
      <w:sz w:val="18"/>
      <w:szCs w:val="18"/>
    </w:rPr>
  </w:style>
  <w:style w:type="paragraph" w:styleId="50">
    <w:name w:val="toc 5"/>
    <w:basedOn w:val="a0"/>
    <w:next w:val="a0"/>
    <w:autoRedefine/>
    <w:semiHidden/>
    <w:rsid w:val="00613C0F"/>
    <w:pPr>
      <w:ind w:left="800"/>
      <w:jc w:val="left"/>
    </w:pPr>
    <w:rPr>
      <w:sz w:val="18"/>
      <w:szCs w:val="18"/>
    </w:rPr>
  </w:style>
  <w:style w:type="paragraph" w:styleId="60">
    <w:name w:val="toc 6"/>
    <w:basedOn w:val="a0"/>
    <w:next w:val="a0"/>
    <w:autoRedefine/>
    <w:semiHidden/>
    <w:rsid w:val="00613C0F"/>
    <w:pPr>
      <w:ind w:left="1000"/>
      <w:jc w:val="left"/>
    </w:pPr>
    <w:rPr>
      <w:sz w:val="18"/>
      <w:szCs w:val="18"/>
    </w:rPr>
  </w:style>
  <w:style w:type="paragraph" w:styleId="70">
    <w:name w:val="toc 7"/>
    <w:basedOn w:val="a0"/>
    <w:next w:val="a0"/>
    <w:autoRedefine/>
    <w:semiHidden/>
    <w:rsid w:val="00613C0F"/>
    <w:pPr>
      <w:ind w:left="1200"/>
      <w:jc w:val="left"/>
    </w:pPr>
    <w:rPr>
      <w:sz w:val="18"/>
      <w:szCs w:val="18"/>
    </w:rPr>
  </w:style>
  <w:style w:type="paragraph" w:styleId="80">
    <w:name w:val="toc 8"/>
    <w:basedOn w:val="a0"/>
    <w:next w:val="a0"/>
    <w:autoRedefine/>
    <w:semiHidden/>
    <w:rsid w:val="00613C0F"/>
    <w:pPr>
      <w:ind w:left="1400"/>
      <w:jc w:val="left"/>
    </w:pPr>
    <w:rPr>
      <w:sz w:val="18"/>
      <w:szCs w:val="18"/>
    </w:rPr>
  </w:style>
  <w:style w:type="paragraph" w:styleId="90">
    <w:name w:val="toc 9"/>
    <w:basedOn w:val="a0"/>
    <w:next w:val="a0"/>
    <w:autoRedefine/>
    <w:semiHidden/>
    <w:rsid w:val="00613C0F"/>
    <w:pPr>
      <w:ind w:left="1600"/>
      <w:jc w:val="left"/>
    </w:pPr>
    <w:rPr>
      <w:sz w:val="18"/>
      <w:szCs w:val="18"/>
    </w:rPr>
  </w:style>
  <w:style w:type="paragraph" w:customStyle="1" w:styleId="ae">
    <w:name w:val="논문초록"/>
    <w:basedOn w:val="a0"/>
    <w:rsid w:val="00613C0F"/>
    <w:pPr>
      <w:kinsoku w:val="0"/>
      <w:overflowPunct w:val="0"/>
      <w:autoSpaceDE w:val="0"/>
      <w:autoSpaceDN w:val="0"/>
      <w:adjustRightInd w:val="0"/>
      <w:ind w:left="45" w:right="227"/>
      <w:jc w:val="left"/>
    </w:pPr>
    <w:rPr>
      <w:rFonts w:ascii="견명조" w:eastAsia="견명조" w:hAnsi="Arial Narrow"/>
      <w:kern w:val="0"/>
      <w:sz w:val="28"/>
    </w:rPr>
  </w:style>
  <w:style w:type="paragraph" w:customStyle="1" w:styleId="11">
    <w:name w:val="스타일 제목 11 + 가운데"/>
    <w:basedOn w:val="1"/>
    <w:autoRedefine/>
    <w:rsid w:val="00985C31"/>
    <w:pPr>
      <w:keepNext w:val="0"/>
      <w:pageBreakBefore/>
      <w:numPr>
        <w:numId w:val="1"/>
      </w:numPr>
      <w:spacing w:afterLines="250"/>
      <w:jc w:val="center"/>
    </w:pPr>
    <w:rPr>
      <w:rFonts w:cs="바탕"/>
      <w:bCs/>
    </w:rPr>
  </w:style>
  <w:style w:type="character" w:styleId="af">
    <w:name w:val="Hyperlink"/>
    <w:rsid w:val="000A3D9B"/>
    <w:rPr>
      <w:color w:val="0000FF"/>
      <w:u w:val="single"/>
    </w:rPr>
  </w:style>
  <w:style w:type="table" w:styleId="af0">
    <w:name w:val="Table Grid"/>
    <w:basedOn w:val="a2"/>
    <w:uiPriority w:val="59"/>
    <w:rsid w:val="009511D8"/>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스타일1"/>
    <w:basedOn w:val="22"/>
    <w:autoRedefine/>
    <w:rsid w:val="00FF0263"/>
    <w:rPr>
      <w:noProof/>
    </w:rPr>
  </w:style>
  <w:style w:type="paragraph" w:customStyle="1" w:styleId="111">
    <w:name w:val="스타일 제목 11 + 가운데1"/>
    <w:basedOn w:val="1"/>
    <w:autoRedefine/>
    <w:rsid w:val="00BE2340"/>
    <w:pPr>
      <w:keepNext w:val="0"/>
      <w:pageBreakBefore/>
      <w:tabs>
        <w:tab w:val="left" w:pos="600"/>
      </w:tabs>
      <w:spacing w:after="240"/>
      <w:ind w:left="525" w:hangingChars="191" w:hanging="525"/>
      <w:jc w:val="center"/>
    </w:pPr>
    <w:rPr>
      <w:rFonts w:eastAsia="바탕"/>
      <w:bCs/>
      <w:szCs w:val="28"/>
    </w:rPr>
  </w:style>
  <w:style w:type="paragraph" w:customStyle="1" w:styleId="10cm181">
    <w:name w:val="스타일 목차 1 + 왼쪽:  0 cm 내어쓰기:  1.81 글자"/>
    <w:basedOn w:val="12"/>
    <w:autoRedefine/>
    <w:rsid w:val="002C616D"/>
    <w:pPr>
      <w:ind w:left="391" w:hanging="391"/>
    </w:pPr>
    <w:rPr>
      <w:rFonts w:ascii="바탕" w:eastAsia="바탕" w:cs="바탕"/>
      <w:bCs w:val="0"/>
      <w:szCs w:val="22"/>
    </w:rPr>
  </w:style>
  <w:style w:type="paragraph" w:customStyle="1" w:styleId="10cm1811">
    <w:name w:val="스타일 목차 1 + 왼쪽:  0 cm 내어쓰기:  1.81 글자1"/>
    <w:basedOn w:val="12"/>
    <w:autoRedefine/>
    <w:rsid w:val="00FC3125"/>
    <w:pPr>
      <w:ind w:left="391" w:hanging="391"/>
    </w:pPr>
    <w:rPr>
      <w:rFonts w:cs="바탕"/>
      <w:bCs w:val="0"/>
    </w:rPr>
  </w:style>
  <w:style w:type="paragraph" w:customStyle="1" w:styleId="references0">
    <w:name w:val="references"/>
    <w:rsid w:val="008640DD"/>
    <w:pPr>
      <w:numPr>
        <w:numId w:val="2"/>
      </w:numPr>
      <w:autoSpaceDE w:val="0"/>
      <w:autoSpaceDN w:val="0"/>
      <w:spacing w:after="50" w:line="180" w:lineRule="exact"/>
      <w:jc w:val="both"/>
    </w:pPr>
    <w:rPr>
      <w:rFonts w:eastAsia="바탕"/>
      <w:noProof/>
      <w:sz w:val="16"/>
      <w:szCs w:val="16"/>
    </w:rPr>
  </w:style>
  <w:style w:type="paragraph" w:customStyle="1" w:styleId="0cm966">
    <w:name w:val="스타일 그림 목차 + 왼쪽:  0 cm 내어쓰기:  9.66 글자"/>
    <w:basedOn w:val="ab"/>
    <w:rsid w:val="00E55A7C"/>
    <w:pPr>
      <w:ind w:left="966" w:hanging="966"/>
    </w:pPr>
    <w:rPr>
      <w:rFonts w:ascii="바탕" w:eastAsia="바탕" w:cs="바탕"/>
    </w:rPr>
  </w:style>
  <w:style w:type="paragraph" w:customStyle="1" w:styleId="0cm9661">
    <w:name w:val="스타일 그림 목차 + 왼쪽:  0 cm 내어쓰기:  9.66 글자1"/>
    <w:basedOn w:val="ab"/>
    <w:autoRedefine/>
    <w:rsid w:val="00E55A7C"/>
    <w:pPr>
      <w:ind w:left="966" w:hanging="966"/>
    </w:pPr>
    <w:rPr>
      <w:rFonts w:ascii="바탕" w:eastAsia="바탕" w:cs="바탕"/>
    </w:rPr>
  </w:style>
  <w:style w:type="paragraph" w:customStyle="1" w:styleId="23">
    <w:name w:val="스타일2"/>
    <w:basedOn w:val="0cm9661"/>
    <w:rsid w:val="00E55A7C"/>
    <w:rPr>
      <w:noProof/>
    </w:rPr>
  </w:style>
  <w:style w:type="paragraph" w:customStyle="1" w:styleId="24">
    <w:name w:val="스타일 제목 2 + 바탕"/>
    <w:basedOn w:val="2"/>
    <w:autoRedefine/>
    <w:rsid w:val="00A840A0"/>
    <w:pPr>
      <w:tabs>
        <w:tab w:val="clear" w:pos="500"/>
        <w:tab w:val="left" w:pos="600"/>
      </w:tabs>
      <w:spacing w:afterLines="0" w:line="240" w:lineRule="auto"/>
    </w:pPr>
    <w:rPr>
      <w:rFonts w:eastAsia="바탕"/>
      <w:bCs/>
      <w:szCs w:val="28"/>
    </w:rPr>
  </w:style>
  <w:style w:type="paragraph" w:customStyle="1" w:styleId="32">
    <w:name w:val="스타일 제목 3 + 바탕"/>
    <w:basedOn w:val="3"/>
    <w:autoRedefine/>
    <w:rsid w:val="004C77F5"/>
    <w:pPr>
      <w:tabs>
        <w:tab w:val="clear" w:pos="700"/>
        <w:tab w:val="left" w:pos="800"/>
      </w:tabs>
      <w:spacing w:afterLines="0"/>
    </w:pPr>
    <w:rPr>
      <w:rFonts w:eastAsia="바탕"/>
      <w:bCs/>
      <w:sz w:val="24"/>
    </w:rPr>
  </w:style>
  <w:style w:type="paragraph" w:customStyle="1" w:styleId="10cm1812">
    <w:name w:val="스타일 목차 1 + 왼쪽:  0 cm 내어쓰기:  1.81 글자2"/>
    <w:basedOn w:val="12"/>
    <w:autoRedefine/>
    <w:rsid w:val="000C71D7"/>
    <w:pPr>
      <w:ind w:left="391" w:hanging="391"/>
    </w:pPr>
    <w:rPr>
      <w:rFonts w:eastAsia="Times New Roman" w:cs="바탕"/>
      <w:bCs w:val="0"/>
    </w:rPr>
  </w:style>
  <w:style w:type="paragraph" w:customStyle="1" w:styleId="10cm1813">
    <w:name w:val="스타일 목차 1 + 왼쪽:  0 cm 내어쓰기:  1.81 글자3"/>
    <w:basedOn w:val="12"/>
    <w:autoRedefine/>
    <w:rsid w:val="00614104"/>
    <w:pPr>
      <w:tabs>
        <w:tab w:val="clear" w:pos="800"/>
      </w:tabs>
      <w:ind w:left="1"/>
    </w:pPr>
    <w:rPr>
      <w:rFonts w:cs="바탕"/>
      <w:bCs w:val="0"/>
    </w:rPr>
  </w:style>
  <w:style w:type="paragraph" w:customStyle="1" w:styleId="xl33">
    <w:name w:val="xl33"/>
    <w:basedOn w:val="a0"/>
    <w:rsid w:val="00C83F1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cs="돋움"/>
      <w:kern w:val="0"/>
      <w:sz w:val="18"/>
      <w:szCs w:val="18"/>
    </w:rPr>
  </w:style>
  <w:style w:type="paragraph" w:customStyle="1" w:styleId="a">
    <w:name w:val="참고문헌"/>
    <w:basedOn w:val="a0"/>
    <w:rsid w:val="00E83F44"/>
    <w:pPr>
      <w:numPr>
        <w:numId w:val="3"/>
      </w:numPr>
      <w:wordWrap/>
      <w:autoSpaceDE w:val="0"/>
      <w:autoSpaceDN w:val="0"/>
      <w:adjustRightInd w:val="0"/>
      <w:spacing w:line="360" w:lineRule="atLeast"/>
      <w:textAlignment w:val="baseline"/>
    </w:pPr>
    <w:rPr>
      <w:rFonts w:ascii="굴림" w:eastAsia="굴림" w:hAnsi="Arial" w:cs="굴림"/>
      <w:kern w:val="0"/>
    </w:rPr>
  </w:style>
  <w:style w:type="paragraph" w:customStyle="1" w:styleId="211">
    <w:name w:val="스타일 스타일 제목 2 + 바탕 + 앞: 1 줄 단락 뒤: 1 줄"/>
    <w:basedOn w:val="24"/>
    <w:autoRedefine/>
    <w:rsid w:val="00962A66"/>
    <w:pPr>
      <w:spacing w:before="408"/>
      <w:ind w:left="599" w:hangingChars="218" w:hanging="599"/>
    </w:pPr>
    <w:rPr>
      <w:rFonts w:cs="바탕"/>
    </w:rPr>
  </w:style>
  <w:style w:type="paragraph" w:customStyle="1" w:styleId="3105">
    <w:name w:val="스타일 스타일 제목 3 + 바탕 + 앞: 1 줄 단락 뒤: 0.5 줄"/>
    <w:basedOn w:val="32"/>
    <w:autoRedefine/>
    <w:rsid w:val="007B7966"/>
    <w:pPr>
      <w:tabs>
        <w:tab w:val="left" w:pos="500"/>
      </w:tabs>
      <w:spacing w:before="355" w:after="48"/>
      <w:ind w:left="497" w:hangingChars="211" w:hanging="497"/>
    </w:pPr>
    <w:rPr>
      <w:rFonts w:cs="바탕"/>
    </w:rPr>
  </w:style>
  <w:style w:type="paragraph" w:customStyle="1" w:styleId="41">
    <w:name w:val="스타일 제목 4 + (한글) 바탕"/>
    <w:basedOn w:val="4"/>
    <w:autoRedefine/>
    <w:rsid w:val="004F5F56"/>
    <w:pPr>
      <w:tabs>
        <w:tab w:val="clear" w:pos="800"/>
        <w:tab w:val="left" w:pos="1100"/>
      </w:tabs>
      <w:spacing w:before="240"/>
      <w:jc w:val="center"/>
    </w:pPr>
    <w:rPr>
      <w:rFonts w:eastAsia="바탕"/>
      <w:bCs/>
      <w:sz w:val="24"/>
      <w:szCs w:val="24"/>
    </w:rPr>
  </w:style>
  <w:style w:type="paragraph" w:customStyle="1" w:styleId="Text0">
    <w:name w:val="Text"/>
    <w:basedOn w:val="a0"/>
    <w:rsid w:val="00CF0552"/>
    <w:pPr>
      <w:wordWrap/>
      <w:spacing w:line="252" w:lineRule="auto"/>
      <w:ind w:firstLine="202"/>
    </w:pPr>
    <w:rPr>
      <w:rFonts w:eastAsia="바탕"/>
      <w:kern w:val="0"/>
      <w:lang w:eastAsia="en-US"/>
    </w:rPr>
  </w:style>
  <w:style w:type="paragraph" w:customStyle="1" w:styleId="References">
    <w:name w:val="References"/>
    <w:basedOn w:val="a0"/>
    <w:rsid w:val="00592145"/>
    <w:pPr>
      <w:widowControl/>
      <w:numPr>
        <w:numId w:val="4"/>
      </w:numPr>
      <w:wordWrap/>
    </w:pPr>
    <w:rPr>
      <w:rFonts w:eastAsia="바탕"/>
      <w:kern w:val="0"/>
      <w:sz w:val="16"/>
      <w:lang w:eastAsia="en-US"/>
    </w:rPr>
  </w:style>
  <w:style w:type="paragraph" w:customStyle="1" w:styleId="2041">
    <w:name w:val="스타일 목차 2 + 첫 줄:  0.41 글자"/>
    <w:basedOn w:val="22"/>
    <w:autoRedefine/>
    <w:rsid w:val="008A781A"/>
    <w:pPr>
      <w:ind w:left="198" w:firstLineChars="41" w:firstLine="41"/>
    </w:pPr>
    <w:rPr>
      <w:rFonts w:cs="바탕"/>
    </w:rPr>
  </w:style>
  <w:style w:type="paragraph" w:styleId="af1">
    <w:name w:val="Document Map"/>
    <w:basedOn w:val="a0"/>
    <w:semiHidden/>
    <w:rsid w:val="00721701"/>
    <w:pPr>
      <w:shd w:val="clear" w:color="auto" w:fill="000080"/>
    </w:pPr>
    <w:rPr>
      <w:rFonts w:ascii="Arial" w:eastAsia="돋움" w:hAnsi="Arial"/>
    </w:rPr>
  </w:style>
  <w:style w:type="table" w:styleId="af2">
    <w:name w:val="Table Theme"/>
    <w:basedOn w:val="a2"/>
    <w:rsid w:val="001244A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itle"/>
    <w:basedOn w:val="a0"/>
    <w:next w:val="a0"/>
    <w:qFormat/>
    <w:rsid w:val="00837905"/>
    <w:pPr>
      <w:framePr w:w="9360" w:hSpace="187" w:vSpace="187" w:wrap="notBeside" w:vAnchor="text" w:hAnchor="page" w:xAlign="center" w:y="1"/>
      <w:widowControl/>
      <w:wordWrap/>
      <w:autoSpaceDE w:val="0"/>
      <w:autoSpaceDN w:val="0"/>
      <w:jc w:val="center"/>
    </w:pPr>
    <w:rPr>
      <w:rFonts w:eastAsia="바탕"/>
      <w:kern w:val="28"/>
      <w:sz w:val="48"/>
      <w:szCs w:val="48"/>
      <w:lang w:eastAsia="en-US"/>
    </w:rPr>
  </w:style>
  <w:style w:type="paragraph" w:customStyle="1" w:styleId="14">
    <w:name w:val="타이틀1"/>
    <w:basedOn w:val="a0"/>
    <w:autoRedefine/>
    <w:rsid w:val="00034168"/>
    <w:pPr>
      <w:autoSpaceDE w:val="0"/>
      <w:autoSpaceDN w:val="0"/>
      <w:adjustRightInd w:val="0"/>
      <w:snapToGrid w:val="0"/>
      <w:jc w:val="center"/>
    </w:pPr>
    <w:rPr>
      <w:rFonts w:eastAsia="굴림"/>
      <w:b/>
    </w:rPr>
  </w:style>
  <w:style w:type="paragraph" w:customStyle="1" w:styleId="00">
    <w:name w:val="타이틀00"/>
    <w:basedOn w:val="1"/>
    <w:rsid w:val="00034168"/>
    <w:pPr>
      <w:autoSpaceDE w:val="0"/>
      <w:autoSpaceDN w:val="0"/>
      <w:adjustRightInd w:val="0"/>
      <w:snapToGrid w:val="0"/>
    </w:pPr>
    <w:rPr>
      <w:rFonts w:eastAsia="Times New Roman"/>
      <w:sz w:val="32"/>
      <w:szCs w:val="28"/>
    </w:rPr>
  </w:style>
  <w:style w:type="paragraph" w:customStyle="1" w:styleId="FigureCaption">
    <w:name w:val="Figure Caption"/>
    <w:basedOn w:val="a0"/>
    <w:rsid w:val="00784C3E"/>
    <w:pPr>
      <w:widowControl/>
      <w:wordWrap/>
    </w:pPr>
    <w:rPr>
      <w:rFonts w:eastAsia="바탕"/>
      <w:kern w:val="0"/>
      <w:sz w:val="16"/>
      <w:lang w:eastAsia="en-US"/>
    </w:rPr>
  </w:style>
  <w:style w:type="table" w:styleId="af4">
    <w:name w:val="Table Professional"/>
    <w:basedOn w:val="a2"/>
    <w:rsid w:val="00784C3E"/>
    <w:pPr>
      <w:widowControl w:val="0"/>
      <w:wordWrap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5">
    <w:name w:val="Normal (Web)"/>
    <w:basedOn w:val="a0"/>
    <w:uiPriority w:val="99"/>
    <w:rsid w:val="00872A67"/>
    <w:pPr>
      <w:widowControl/>
      <w:wordWrap/>
      <w:spacing w:before="100" w:beforeAutospacing="1" w:after="100" w:afterAutospacing="1"/>
      <w:jc w:val="left"/>
    </w:pPr>
    <w:rPr>
      <w:rFonts w:ascii="굴림" w:eastAsia="굴림" w:hAnsi="굴림" w:cs="굴림"/>
      <w:kern w:val="0"/>
      <w:sz w:val="24"/>
      <w:szCs w:val="24"/>
    </w:rPr>
  </w:style>
  <w:style w:type="table" w:styleId="15">
    <w:name w:val="Table Grid 1"/>
    <w:basedOn w:val="a2"/>
    <w:rsid w:val="00872A67"/>
    <w:pPr>
      <w:widowControl w:val="0"/>
      <w:wordWrap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MTEquationSection">
    <w:name w:val="MTEquationSection"/>
    <w:rsid w:val="0057439B"/>
    <w:rPr>
      <w:vanish/>
      <w:color w:val="FF0000"/>
    </w:rPr>
  </w:style>
  <w:style w:type="paragraph" w:customStyle="1" w:styleId="MTDisplayEquation">
    <w:name w:val="MTDisplayEquation"/>
    <w:basedOn w:val="a0"/>
    <w:next w:val="a0"/>
    <w:autoRedefine/>
    <w:rsid w:val="001C528F"/>
    <w:pPr>
      <w:tabs>
        <w:tab w:val="left" w:pos="6000"/>
      </w:tabs>
      <w:jc w:val="center"/>
      <w:textAlignment w:val="center"/>
    </w:pPr>
    <w:rPr>
      <w:rFonts w:eastAsia="바탕"/>
      <w:szCs w:val="22"/>
    </w:rPr>
  </w:style>
  <w:style w:type="character" w:styleId="af6">
    <w:name w:val="annotation reference"/>
    <w:semiHidden/>
    <w:rsid w:val="00052FBA"/>
    <w:rPr>
      <w:sz w:val="18"/>
      <w:szCs w:val="18"/>
    </w:rPr>
  </w:style>
  <w:style w:type="paragraph" w:styleId="af7">
    <w:name w:val="annotation subject"/>
    <w:basedOn w:val="a8"/>
    <w:next w:val="a8"/>
    <w:semiHidden/>
    <w:rsid w:val="00052FBA"/>
    <w:pPr>
      <w:widowControl w:val="0"/>
      <w:wordWrap w:val="0"/>
      <w:jc w:val="left"/>
    </w:pPr>
    <w:rPr>
      <w:rFonts w:ascii="Times New Roman" w:hAnsi="Times New Roman"/>
      <w:b/>
      <w:bCs/>
      <w:kern w:val="2"/>
      <w:lang w:eastAsia="ko-KR"/>
    </w:rPr>
  </w:style>
  <w:style w:type="paragraph" w:styleId="af8">
    <w:name w:val="Balloon Text"/>
    <w:basedOn w:val="a0"/>
    <w:semiHidden/>
    <w:rsid w:val="00052FBA"/>
    <w:rPr>
      <w:rFonts w:ascii="Arial" w:eastAsia="돋움" w:hAnsi="Arial"/>
      <w:sz w:val="18"/>
      <w:szCs w:val="18"/>
    </w:rPr>
  </w:style>
  <w:style w:type="paragraph" w:customStyle="1" w:styleId="footnote">
    <w:name w:val="footnote"/>
    <w:rsid w:val="000E0DFA"/>
    <w:pPr>
      <w:framePr w:hSpace="187" w:vSpace="187" w:wrap="notBeside" w:vAnchor="text" w:hAnchor="page" w:x="6121" w:y="577"/>
      <w:numPr>
        <w:numId w:val="5"/>
      </w:numPr>
      <w:autoSpaceDE w:val="0"/>
      <w:autoSpaceDN w:val="0"/>
      <w:spacing w:after="40"/>
    </w:pPr>
    <w:rPr>
      <w:rFonts w:eastAsia="바탕"/>
      <w:sz w:val="16"/>
      <w:szCs w:val="16"/>
    </w:rPr>
  </w:style>
  <w:style w:type="paragraph" w:customStyle="1" w:styleId="BasicTexts">
    <w:name w:val="Basic Texts"/>
    <w:basedOn w:val="a0"/>
    <w:rsid w:val="00204196"/>
    <w:pPr>
      <w:wordWrap/>
      <w:autoSpaceDE w:val="0"/>
      <w:autoSpaceDN w:val="0"/>
      <w:spacing w:line="260" w:lineRule="exact"/>
      <w:ind w:firstLine="170"/>
    </w:pPr>
    <w:rPr>
      <w:rFonts w:eastAsia="바탕"/>
      <w:w w:val="105"/>
    </w:rPr>
  </w:style>
  <w:style w:type="table" w:styleId="16">
    <w:name w:val="Table Classic 1"/>
    <w:aliases w:val="00논문표형"/>
    <w:basedOn w:val="a2"/>
    <w:rsid w:val="00A2233F"/>
    <w:pPr>
      <w:widowControl w:val="0"/>
      <w:wordWrap w:val="0"/>
      <w:jc w:val="both"/>
    </w:pPr>
    <w:rPr>
      <w:rFonts w:eastAsia="Times New Roman"/>
      <w:sz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9">
    <w:name w:val="Strong"/>
    <w:uiPriority w:val="22"/>
    <w:qFormat/>
    <w:rsid w:val="00361B2F"/>
    <w:rPr>
      <w:b/>
      <w:bCs/>
    </w:rPr>
  </w:style>
  <w:style w:type="paragraph" w:customStyle="1" w:styleId="afa">
    <w:name w:val="소제목 무괄호 무목차"/>
    <w:basedOn w:val="a0"/>
    <w:rsid w:val="001B745D"/>
    <w:pPr>
      <w:spacing w:before="600" w:after="240" w:line="336" w:lineRule="auto"/>
      <w:jc w:val="center"/>
    </w:pPr>
    <w:rPr>
      <w:b/>
      <w:snapToGrid w:val="0"/>
      <w:kern w:val="0"/>
      <w:sz w:val="24"/>
    </w:rPr>
  </w:style>
  <w:style w:type="paragraph" w:styleId="afb">
    <w:name w:val="Date"/>
    <w:basedOn w:val="a0"/>
    <w:next w:val="a0"/>
    <w:rsid w:val="00720C88"/>
  </w:style>
  <w:style w:type="paragraph" w:customStyle="1" w:styleId="afc">
    <w:name w:val="바탕글"/>
    <w:basedOn w:val="a0"/>
    <w:rsid w:val="007C6CF5"/>
    <w:pPr>
      <w:widowControl/>
      <w:wordWrap/>
      <w:snapToGrid w:val="0"/>
      <w:spacing w:line="384" w:lineRule="auto"/>
    </w:pPr>
    <w:rPr>
      <w:rFonts w:ascii="바탕" w:eastAsia="바탕" w:hAnsi="바탕" w:cs="굴림"/>
      <w:color w:val="000000"/>
      <w:kern w:val="0"/>
    </w:rPr>
  </w:style>
  <w:style w:type="paragraph" w:customStyle="1" w:styleId="Title1">
    <w:name w:val="Title1"/>
    <w:basedOn w:val="a0"/>
    <w:rsid w:val="007C6CF5"/>
    <w:pPr>
      <w:widowControl/>
      <w:wordWrap/>
      <w:snapToGrid w:val="0"/>
      <w:spacing w:line="384" w:lineRule="auto"/>
      <w:jc w:val="center"/>
    </w:pPr>
    <w:rPr>
      <w:rFonts w:ascii="휴먼고딕" w:eastAsia="휴먼고딕" w:cs="굴림"/>
      <w:color w:val="000000"/>
      <w:kern w:val="0"/>
      <w:sz w:val="42"/>
      <w:szCs w:val="42"/>
    </w:rPr>
  </w:style>
  <w:style w:type="paragraph" w:customStyle="1" w:styleId="body0">
    <w:name w:val="body"/>
    <w:basedOn w:val="a0"/>
    <w:rsid w:val="002D6A4D"/>
    <w:pPr>
      <w:widowControl/>
      <w:wordWrap/>
      <w:spacing w:before="100" w:beforeAutospacing="1" w:after="100" w:afterAutospacing="1"/>
      <w:jc w:val="left"/>
    </w:pPr>
    <w:rPr>
      <w:rFonts w:ascii="굴림" w:eastAsia="굴림" w:hAnsi="굴림" w:cs="굴림"/>
      <w:kern w:val="0"/>
      <w:sz w:val="24"/>
      <w:szCs w:val="24"/>
    </w:rPr>
  </w:style>
  <w:style w:type="paragraph" w:customStyle="1" w:styleId="toc">
    <w:name w:val="toc"/>
    <w:basedOn w:val="a0"/>
    <w:rsid w:val="00B4758B"/>
    <w:pPr>
      <w:widowControl/>
      <w:wordWrap/>
      <w:spacing w:before="100" w:beforeAutospacing="1" w:after="100" w:afterAutospacing="1"/>
      <w:jc w:val="left"/>
    </w:pPr>
    <w:rPr>
      <w:rFonts w:ascii="굴림" w:eastAsia="굴림" w:hAnsi="굴림" w:cs="굴림"/>
      <w:kern w:val="0"/>
      <w:sz w:val="24"/>
      <w:szCs w:val="24"/>
    </w:rPr>
  </w:style>
  <w:style w:type="paragraph" w:styleId="afd">
    <w:name w:val="endnote text"/>
    <w:basedOn w:val="a0"/>
    <w:link w:val="Char2"/>
    <w:rsid w:val="007F3387"/>
    <w:pPr>
      <w:snapToGrid w:val="0"/>
      <w:jc w:val="left"/>
    </w:pPr>
  </w:style>
  <w:style w:type="character" w:customStyle="1" w:styleId="Char2">
    <w:name w:val="미주 텍스트 Char"/>
    <w:link w:val="afd"/>
    <w:rsid w:val="007F3387"/>
    <w:rPr>
      <w:kern w:val="2"/>
    </w:rPr>
  </w:style>
  <w:style w:type="character" w:styleId="afe">
    <w:name w:val="endnote reference"/>
    <w:rsid w:val="007F3387"/>
    <w:rPr>
      <w:vertAlign w:val="superscript"/>
    </w:rPr>
  </w:style>
  <w:style w:type="paragraph" w:customStyle="1" w:styleId="aff">
    <w:name w:val="각주"/>
    <w:basedOn w:val="a0"/>
    <w:rsid w:val="00082EA6"/>
    <w:pPr>
      <w:widowControl/>
      <w:wordWrap/>
      <w:snapToGrid w:val="0"/>
      <w:spacing w:line="312" w:lineRule="auto"/>
    </w:pPr>
    <w:rPr>
      <w:rFonts w:ascii="휴먼고딕" w:eastAsia="휴먼고딕" w:hAnsi="HCI Hollyhock" w:cs="굴림"/>
      <w:color w:val="000000"/>
      <w:kern w:val="0"/>
    </w:rPr>
  </w:style>
  <w:style w:type="character" w:customStyle="1" w:styleId="Char0">
    <w:name w:val="바닥글 Char"/>
    <w:link w:val="a9"/>
    <w:uiPriority w:val="99"/>
    <w:rsid w:val="00025051"/>
    <w:rPr>
      <w:kern w:val="2"/>
    </w:rPr>
  </w:style>
  <w:style w:type="character" w:styleId="aff0">
    <w:name w:val="Placeholder Text"/>
    <w:basedOn w:val="a1"/>
    <w:uiPriority w:val="99"/>
    <w:semiHidden/>
    <w:rsid w:val="00132178"/>
    <w:rPr>
      <w:color w:val="808080"/>
    </w:rPr>
  </w:style>
  <w:style w:type="paragraph" w:styleId="aff1">
    <w:name w:val="List Paragraph"/>
    <w:basedOn w:val="a0"/>
    <w:uiPriority w:val="34"/>
    <w:qFormat/>
    <w:rsid w:val="00132178"/>
    <w:pPr>
      <w:autoSpaceDE w:val="0"/>
      <w:autoSpaceDN w:val="0"/>
      <w:spacing w:after="200" w:line="276" w:lineRule="auto"/>
      <w:ind w:leftChars="400" w:left="800"/>
    </w:pPr>
    <w:rPr>
      <w:rFonts w:ascii="맑은 고딕" w:eastAsia="맑은 고딕" w:hAnsi="맑은 고딕"/>
      <w:szCs w:val="22"/>
    </w:rPr>
  </w:style>
  <w:style w:type="table" w:styleId="33">
    <w:name w:val="Table List 3"/>
    <w:basedOn w:val="a2"/>
    <w:rsid w:val="00DE4D25"/>
    <w:pPr>
      <w:widowControl w:val="0"/>
      <w:wordWrap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25">
    <w:name w:val="Table Simple 2"/>
    <w:basedOn w:val="a2"/>
    <w:rsid w:val="006974E4"/>
    <w:pPr>
      <w:widowControl w:val="0"/>
      <w:wordWrap w:val="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har1">
    <w:name w:val="각주 텍스트 Char"/>
    <w:aliases w:val="footnote text Char,ALTS FOOTNOTE Char"/>
    <w:basedOn w:val="a1"/>
    <w:link w:val="ad"/>
    <w:uiPriority w:val="99"/>
    <w:semiHidden/>
    <w:rsid w:val="006974E4"/>
    <w:rPr>
      <w:kern w:val="2"/>
    </w:rPr>
  </w:style>
  <w:style w:type="character" w:styleId="aff2">
    <w:name w:val="line number"/>
    <w:basedOn w:val="a1"/>
    <w:semiHidden/>
    <w:unhideWhenUsed/>
    <w:rsid w:val="00CC0DBA"/>
  </w:style>
  <w:style w:type="character" w:customStyle="1" w:styleId="katex">
    <w:name w:val="katex"/>
    <w:basedOn w:val="a1"/>
    <w:rsid w:val="0020476B"/>
  </w:style>
  <w:style w:type="paragraph" w:styleId="aff3">
    <w:name w:val="Subtitle"/>
    <w:aliases w:val="본문글"/>
    <w:basedOn w:val="a0"/>
    <w:next w:val="a0"/>
    <w:link w:val="Char3"/>
    <w:qFormat/>
    <w:rsid w:val="00DA3856"/>
    <w:pPr>
      <w:spacing w:before="240"/>
    </w:pPr>
  </w:style>
  <w:style w:type="character" w:customStyle="1" w:styleId="Char3">
    <w:name w:val="부제 Char"/>
    <w:aliases w:val="본문글 Char"/>
    <w:basedOn w:val="a1"/>
    <w:link w:val="aff3"/>
    <w:rsid w:val="00DA3856"/>
    <w:rPr>
      <w:kern w:val="2"/>
      <w:sz w:val="22"/>
    </w:rPr>
  </w:style>
  <w:style w:type="character" w:styleId="aff4">
    <w:name w:val="Emphasis"/>
    <w:basedOn w:val="a1"/>
    <w:uiPriority w:val="20"/>
    <w:qFormat/>
    <w:rsid w:val="004E04F6"/>
    <w:rPr>
      <w:i/>
      <w:iCs/>
    </w:rPr>
  </w:style>
  <w:style w:type="paragraph" w:customStyle="1" w:styleId="Compact">
    <w:name w:val="Compact"/>
    <w:basedOn w:val="a4"/>
    <w:qFormat/>
    <w:rsid w:val="00C803A2"/>
    <w:pPr>
      <w:widowControl/>
      <w:wordWrap/>
      <w:spacing w:after="0"/>
      <w:jc w:val="left"/>
    </w:pPr>
    <w:rPr>
      <w:rFonts w:eastAsia="맑은 고딕"/>
      <w:kern w:val="0"/>
      <w:sz w:val="24"/>
      <w:szCs w:val="24"/>
      <w:lang w:eastAsia="zh-CN"/>
    </w:rPr>
  </w:style>
  <w:style w:type="table" w:customStyle="1" w:styleId="Table0">
    <w:name w:val="Table"/>
    <w:semiHidden/>
    <w:unhideWhenUsed/>
    <w:qFormat/>
    <w:rsid w:val="00C803A2"/>
    <w:rPr>
      <w:rFonts w:eastAsia="맑은 고딕"/>
      <w:sz w:val="24"/>
      <w:szCs w:val="24"/>
      <w:lang w:eastAsia="zh-CN"/>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1"/>
    <w:link w:val="SourceCode"/>
    <w:rsid w:val="00C803A2"/>
    <w:rPr>
      <w:rFonts w:ascii="Consolas" w:hAnsi="Consolas"/>
      <w:sz w:val="22"/>
    </w:rPr>
  </w:style>
  <w:style w:type="paragraph" w:customStyle="1" w:styleId="SourceCode">
    <w:name w:val="Source Code"/>
    <w:basedOn w:val="a0"/>
    <w:link w:val="VerbatimChar"/>
    <w:rsid w:val="00C803A2"/>
    <w:pPr>
      <w:widowControl/>
      <w:spacing w:line="480" w:lineRule="auto"/>
      <w:jc w:val="left"/>
    </w:pPr>
    <w:rPr>
      <w:rFonts w:ascii="Consolas" w:hAnsi="Consolas"/>
      <w:kern w:val="0"/>
    </w:rPr>
  </w:style>
  <w:style w:type="paragraph" w:customStyle="1" w:styleId="pdq2pgselectionanchorcontainer">
    <w:name w:val="pdq2pg_selectionanchorcontainer"/>
    <w:basedOn w:val="a0"/>
    <w:rsid w:val="007D488A"/>
    <w:pPr>
      <w:widowControl/>
      <w:wordWrap/>
      <w:spacing w:before="100" w:beforeAutospacing="1" w:after="100" w:afterAutospacing="1"/>
      <w:jc w:val="left"/>
    </w:pPr>
    <w:rPr>
      <w:rFonts w:ascii="굴림" w:eastAsia="굴림" w:hAnsi="굴림" w:cs="굴림"/>
      <w:kern w:val="0"/>
      <w:sz w:val="24"/>
      <w:szCs w:val="24"/>
    </w:rPr>
  </w:style>
  <w:style w:type="paragraph" w:customStyle="1" w:styleId="FirstParagraph">
    <w:name w:val="First Paragraph"/>
    <w:basedOn w:val="a4"/>
    <w:next w:val="a4"/>
    <w:qFormat/>
    <w:rsid w:val="00DA3856"/>
    <w:pPr>
      <w:widowControl/>
      <w:wordWrap/>
      <w:spacing w:before="180"/>
      <w:jc w:val="left"/>
    </w:pPr>
    <w:rPr>
      <w:rFonts w:asciiTheme="minorHAnsi" w:eastAsiaTheme="minorEastAsia" w:hAnsiTheme="minorHAnsi" w:cstheme="minorBidi"/>
      <w:kern w:val="0"/>
      <w:sz w:val="24"/>
      <w:szCs w:val="24"/>
      <w:lang w:eastAsia="zh-CN"/>
    </w:rPr>
  </w:style>
  <w:style w:type="paragraph" w:styleId="aff5">
    <w:name w:val="Block Text"/>
    <w:basedOn w:val="a4"/>
    <w:next w:val="a4"/>
    <w:uiPriority w:val="9"/>
    <w:unhideWhenUsed/>
    <w:qFormat/>
    <w:rsid w:val="00DA3856"/>
    <w:pPr>
      <w:widowControl/>
      <w:wordWrap/>
      <w:spacing w:before="100" w:after="100"/>
      <w:ind w:left="480" w:right="480"/>
      <w:jc w:val="left"/>
    </w:pPr>
    <w:rPr>
      <w:rFonts w:asciiTheme="minorHAnsi" w:eastAsiaTheme="minorEastAsia" w:hAnsiTheme="minorHAnsi" w:cstheme="minorBidi"/>
      <w:kern w:val="0"/>
      <w:sz w:val="24"/>
      <w:szCs w:val="24"/>
      <w:lang w:eastAsia="zh-CN"/>
    </w:rPr>
  </w:style>
  <w:style w:type="paragraph" w:customStyle="1" w:styleId="isselectedend">
    <w:name w:val="isselectedend"/>
    <w:basedOn w:val="a0"/>
    <w:rsid w:val="00C83D6F"/>
    <w:pPr>
      <w:widowControl/>
      <w:wordWrap/>
      <w:spacing w:before="100" w:beforeAutospacing="1" w:after="100" w:afterAutospacing="1"/>
      <w:jc w:val="left"/>
    </w:pPr>
    <w:rPr>
      <w:rFonts w:ascii="굴림" w:eastAsia="굴림" w:hAnsi="굴림" w:cs="굴림"/>
      <w:kern w:val="0"/>
      <w:sz w:val="24"/>
      <w:szCs w:val="24"/>
    </w:rPr>
  </w:style>
  <w:style w:type="character" w:customStyle="1" w:styleId="mord">
    <w:name w:val="mord"/>
    <w:basedOn w:val="a1"/>
    <w:rsid w:val="008B277B"/>
  </w:style>
  <w:style w:type="character" w:customStyle="1" w:styleId="mspace">
    <w:name w:val="mspace"/>
    <w:basedOn w:val="a1"/>
    <w:rsid w:val="008B277B"/>
  </w:style>
  <w:style w:type="character" w:customStyle="1" w:styleId="mrel">
    <w:name w:val="mrel"/>
    <w:basedOn w:val="a1"/>
    <w:rsid w:val="008B277B"/>
  </w:style>
  <w:style w:type="character" w:customStyle="1" w:styleId="mopen">
    <w:name w:val="mopen"/>
    <w:basedOn w:val="a1"/>
    <w:rsid w:val="008B277B"/>
  </w:style>
  <w:style w:type="character" w:customStyle="1" w:styleId="mclose">
    <w:name w:val="mclose"/>
    <w:basedOn w:val="a1"/>
    <w:rsid w:val="008B277B"/>
  </w:style>
  <w:style w:type="character" w:customStyle="1" w:styleId="mbin">
    <w:name w:val="mbin"/>
    <w:basedOn w:val="a1"/>
    <w:rsid w:val="008B277B"/>
  </w:style>
  <w:style w:type="character" w:customStyle="1" w:styleId="mpunct">
    <w:name w:val="mpunct"/>
    <w:basedOn w:val="a1"/>
    <w:rsid w:val="008B277B"/>
  </w:style>
  <w:style w:type="character" w:customStyle="1" w:styleId="Char">
    <w:name w:val="본문 Char"/>
    <w:basedOn w:val="a1"/>
    <w:link w:val="a4"/>
    <w:rsid w:val="007F6C04"/>
    <w:rPr>
      <w:kern w:val="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5487">
      <w:bodyDiv w:val="1"/>
      <w:marLeft w:val="0"/>
      <w:marRight w:val="0"/>
      <w:marTop w:val="0"/>
      <w:marBottom w:val="0"/>
      <w:divBdr>
        <w:top w:val="none" w:sz="0" w:space="0" w:color="auto"/>
        <w:left w:val="none" w:sz="0" w:space="0" w:color="auto"/>
        <w:bottom w:val="none" w:sz="0" w:space="0" w:color="auto"/>
        <w:right w:val="none" w:sz="0" w:space="0" w:color="auto"/>
      </w:divBdr>
    </w:div>
    <w:div w:id="19406090">
      <w:bodyDiv w:val="1"/>
      <w:marLeft w:val="0"/>
      <w:marRight w:val="0"/>
      <w:marTop w:val="0"/>
      <w:marBottom w:val="0"/>
      <w:divBdr>
        <w:top w:val="none" w:sz="0" w:space="0" w:color="auto"/>
        <w:left w:val="none" w:sz="0" w:space="0" w:color="auto"/>
        <w:bottom w:val="none" w:sz="0" w:space="0" w:color="auto"/>
        <w:right w:val="none" w:sz="0" w:space="0" w:color="auto"/>
      </w:divBdr>
    </w:div>
    <w:div w:id="24838692">
      <w:bodyDiv w:val="1"/>
      <w:marLeft w:val="0"/>
      <w:marRight w:val="0"/>
      <w:marTop w:val="0"/>
      <w:marBottom w:val="0"/>
      <w:divBdr>
        <w:top w:val="none" w:sz="0" w:space="0" w:color="auto"/>
        <w:left w:val="none" w:sz="0" w:space="0" w:color="auto"/>
        <w:bottom w:val="none" w:sz="0" w:space="0" w:color="auto"/>
        <w:right w:val="none" w:sz="0" w:space="0" w:color="auto"/>
      </w:divBdr>
    </w:div>
    <w:div w:id="41293104">
      <w:bodyDiv w:val="1"/>
      <w:marLeft w:val="0"/>
      <w:marRight w:val="0"/>
      <w:marTop w:val="0"/>
      <w:marBottom w:val="0"/>
      <w:divBdr>
        <w:top w:val="none" w:sz="0" w:space="0" w:color="auto"/>
        <w:left w:val="none" w:sz="0" w:space="0" w:color="auto"/>
        <w:bottom w:val="none" w:sz="0" w:space="0" w:color="auto"/>
        <w:right w:val="none" w:sz="0" w:space="0" w:color="auto"/>
      </w:divBdr>
    </w:div>
    <w:div w:id="47611391">
      <w:bodyDiv w:val="1"/>
      <w:marLeft w:val="0"/>
      <w:marRight w:val="0"/>
      <w:marTop w:val="0"/>
      <w:marBottom w:val="0"/>
      <w:divBdr>
        <w:top w:val="none" w:sz="0" w:space="0" w:color="auto"/>
        <w:left w:val="none" w:sz="0" w:space="0" w:color="auto"/>
        <w:bottom w:val="none" w:sz="0" w:space="0" w:color="auto"/>
        <w:right w:val="none" w:sz="0" w:space="0" w:color="auto"/>
      </w:divBdr>
    </w:div>
    <w:div w:id="111946248">
      <w:bodyDiv w:val="1"/>
      <w:marLeft w:val="0"/>
      <w:marRight w:val="0"/>
      <w:marTop w:val="0"/>
      <w:marBottom w:val="0"/>
      <w:divBdr>
        <w:top w:val="none" w:sz="0" w:space="0" w:color="auto"/>
        <w:left w:val="none" w:sz="0" w:space="0" w:color="auto"/>
        <w:bottom w:val="none" w:sz="0" w:space="0" w:color="auto"/>
        <w:right w:val="none" w:sz="0" w:space="0" w:color="auto"/>
      </w:divBdr>
    </w:div>
    <w:div w:id="116685363">
      <w:bodyDiv w:val="1"/>
      <w:marLeft w:val="0"/>
      <w:marRight w:val="0"/>
      <w:marTop w:val="0"/>
      <w:marBottom w:val="0"/>
      <w:divBdr>
        <w:top w:val="none" w:sz="0" w:space="0" w:color="auto"/>
        <w:left w:val="none" w:sz="0" w:space="0" w:color="auto"/>
        <w:bottom w:val="none" w:sz="0" w:space="0" w:color="auto"/>
        <w:right w:val="none" w:sz="0" w:space="0" w:color="auto"/>
      </w:divBdr>
      <w:divsChild>
        <w:div w:id="1841965836">
          <w:marLeft w:val="0"/>
          <w:marRight w:val="0"/>
          <w:marTop w:val="0"/>
          <w:marBottom w:val="0"/>
          <w:divBdr>
            <w:top w:val="none" w:sz="0" w:space="0" w:color="auto"/>
            <w:left w:val="none" w:sz="0" w:space="0" w:color="auto"/>
            <w:bottom w:val="none" w:sz="0" w:space="0" w:color="auto"/>
            <w:right w:val="none" w:sz="0" w:space="0" w:color="auto"/>
          </w:divBdr>
        </w:div>
      </w:divsChild>
    </w:div>
    <w:div w:id="129636014">
      <w:bodyDiv w:val="1"/>
      <w:marLeft w:val="0"/>
      <w:marRight w:val="0"/>
      <w:marTop w:val="0"/>
      <w:marBottom w:val="0"/>
      <w:divBdr>
        <w:top w:val="none" w:sz="0" w:space="0" w:color="auto"/>
        <w:left w:val="none" w:sz="0" w:space="0" w:color="auto"/>
        <w:bottom w:val="none" w:sz="0" w:space="0" w:color="auto"/>
        <w:right w:val="none" w:sz="0" w:space="0" w:color="auto"/>
      </w:divBdr>
    </w:div>
    <w:div w:id="135224251">
      <w:bodyDiv w:val="1"/>
      <w:marLeft w:val="0"/>
      <w:marRight w:val="0"/>
      <w:marTop w:val="0"/>
      <w:marBottom w:val="0"/>
      <w:divBdr>
        <w:top w:val="none" w:sz="0" w:space="0" w:color="auto"/>
        <w:left w:val="none" w:sz="0" w:space="0" w:color="auto"/>
        <w:bottom w:val="none" w:sz="0" w:space="0" w:color="auto"/>
        <w:right w:val="none" w:sz="0" w:space="0" w:color="auto"/>
      </w:divBdr>
    </w:div>
    <w:div w:id="156578834">
      <w:bodyDiv w:val="1"/>
      <w:marLeft w:val="0"/>
      <w:marRight w:val="0"/>
      <w:marTop w:val="0"/>
      <w:marBottom w:val="0"/>
      <w:divBdr>
        <w:top w:val="none" w:sz="0" w:space="0" w:color="auto"/>
        <w:left w:val="none" w:sz="0" w:space="0" w:color="auto"/>
        <w:bottom w:val="none" w:sz="0" w:space="0" w:color="auto"/>
        <w:right w:val="none" w:sz="0" w:space="0" w:color="auto"/>
      </w:divBdr>
      <w:divsChild>
        <w:div w:id="749891859">
          <w:marLeft w:val="0"/>
          <w:marRight w:val="0"/>
          <w:marTop w:val="0"/>
          <w:marBottom w:val="0"/>
          <w:divBdr>
            <w:top w:val="none" w:sz="0" w:space="0" w:color="auto"/>
            <w:left w:val="none" w:sz="0" w:space="0" w:color="auto"/>
            <w:bottom w:val="none" w:sz="0" w:space="0" w:color="auto"/>
            <w:right w:val="none" w:sz="0" w:space="0" w:color="auto"/>
          </w:divBdr>
        </w:div>
      </w:divsChild>
    </w:div>
    <w:div w:id="165826891">
      <w:bodyDiv w:val="1"/>
      <w:marLeft w:val="0"/>
      <w:marRight w:val="0"/>
      <w:marTop w:val="0"/>
      <w:marBottom w:val="0"/>
      <w:divBdr>
        <w:top w:val="none" w:sz="0" w:space="0" w:color="auto"/>
        <w:left w:val="none" w:sz="0" w:space="0" w:color="auto"/>
        <w:bottom w:val="none" w:sz="0" w:space="0" w:color="auto"/>
        <w:right w:val="none" w:sz="0" w:space="0" w:color="auto"/>
      </w:divBdr>
    </w:div>
    <w:div w:id="209154785">
      <w:bodyDiv w:val="1"/>
      <w:marLeft w:val="0"/>
      <w:marRight w:val="0"/>
      <w:marTop w:val="0"/>
      <w:marBottom w:val="0"/>
      <w:divBdr>
        <w:top w:val="none" w:sz="0" w:space="0" w:color="auto"/>
        <w:left w:val="none" w:sz="0" w:space="0" w:color="auto"/>
        <w:bottom w:val="none" w:sz="0" w:space="0" w:color="auto"/>
        <w:right w:val="none" w:sz="0" w:space="0" w:color="auto"/>
      </w:divBdr>
    </w:div>
    <w:div w:id="216211149">
      <w:bodyDiv w:val="1"/>
      <w:marLeft w:val="0"/>
      <w:marRight w:val="0"/>
      <w:marTop w:val="0"/>
      <w:marBottom w:val="0"/>
      <w:divBdr>
        <w:top w:val="none" w:sz="0" w:space="0" w:color="auto"/>
        <w:left w:val="none" w:sz="0" w:space="0" w:color="auto"/>
        <w:bottom w:val="none" w:sz="0" w:space="0" w:color="auto"/>
        <w:right w:val="none" w:sz="0" w:space="0" w:color="auto"/>
      </w:divBdr>
    </w:div>
    <w:div w:id="224339863">
      <w:bodyDiv w:val="1"/>
      <w:marLeft w:val="0"/>
      <w:marRight w:val="0"/>
      <w:marTop w:val="0"/>
      <w:marBottom w:val="0"/>
      <w:divBdr>
        <w:top w:val="none" w:sz="0" w:space="0" w:color="auto"/>
        <w:left w:val="none" w:sz="0" w:space="0" w:color="auto"/>
        <w:bottom w:val="none" w:sz="0" w:space="0" w:color="auto"/>
        <w:right w:val="none" w:sz="0" w:space="0" w:color="auto"/>
      </w:divBdr>
    </w:div>
    <w:div w:id="248656482">
      <w:bodyDiv w:val="1"/>
      <w:marLeft w:val="0"/>
      <w:marRight w:val="0"/>
      <w:marTop w:val="0"/>
      <w:marBottom w:val="0"/>
      <w:divBdr>
        <w:top w:val="none" w:sz="0" w:space="0" w:color="auto"/>
        <w:left w:val="none" w:sz="0" w:space="0" w:color="auto"/>
        <w:bottom w:val="none" w:sz="0" w:space="0" w:color="auto"/>
        <w:right w:val="none" w:sz="0" w:space="0" w:color="auto"/>
      </w:divBdr>
    </w:div>
    <w:div w:id="254897024">
      <w:bodyDiv w:val="1"/>
      <w:marLeft w:val="0"/>
      <w:marRight w:val="0"/>
      <w:marTop w:val="0"/>
      <w:marBottom w:val="0"/>
      <w:divBdr>
        <w:top w:val="none" w:sz="0" w:space="0" w:color="auto"/>
        <w:left w:val="none" w:sz="0" w:space="0" w:color="auto"/>
        <w:bottom w:val="none" w:sz="0" w:space="0" w:color="auto"/>
        <w:right w:val="none" w:sz="0" w:space="0" w:color="auto"/>
      </w:divBdr>
    </w:div>
    <w:div w:id="259267166">
      <w:bodyDiv w:val="1"/>
      <w:marLeft w:val="0"/>
      <w:marRight w:val="0"/>
      <w:marTop w:val="0"/>
      <w:marBottom w:val="0"/>
      <w:divBdr>
        <w:top w:val="none" w:sz="0" w:space="0" w:color="auto"/>
        <w:left w:val="none" w:sz="0" w:space="0" w:color="auto"/>
        <w:bottom w:val="none" w:sz="0" w:space="0" w:color="auto"/>
        <w:right w:val="none" w:sz="0" w:space="0" w:color="auto"/>
      </w:divBdr>
    </w:div>
    <w:div w:id="269166371">
      <w:bodyDiv w:val="1"/>
      <w:marLeft w:val="0"/>
      <w:marRight w:val="0"/>
      <w:marTop w:val="0"/>
      <w:marBottom w:val="0"/>
      <w:divBdr>
        <w:top w:val="none" w:sz="0" w:space="0" w:color="auto"/>
        <w:left w:val="none" w:sz="0" w:space="0" w:color="auto"/>
        <w:bottom w:val="none" w:sz="0" w:space="0" w:color="auto"/>
        <w:right w:val="none" w:sz="0" w:space="0" w:color="auto"/>
      </w:divBdr>
    </w:div>
    <w:div w:id="276372577">
      <w:bodyDiv w:val="1"/>
      <w:marLeft w:val="0"/>
      <w:marRight w:val="0"/>
      <w:marTop w:val="0"/>
      <w:marBottom w:val="0"/>
      <w:divBdr>
        <w:top w:val="none" w:sz="0" w:space="0" w:color="auto"/>
        <w:left w:val="none" w:sz="0" w:space="0" w:color="auto"/>
        <w:bottom w:val="none" w:sz="0" w:space="0" w:color="auto"/>
        <w:right w:val="none" w:sz="0" w:space="0" w:color="auto"/>
      </w:divBdr>
    </w:div>
    <w:div w:id="297884226">
      <w:bodyDiv w:val="1"/>
      <w:marLeft w:val="0"/>
      <w:marRight w:val="0"/>
      <w:marTop w:val="0"/>
      <w:marBottom w:val="0"/>
      <w:divBdr>
        <w:top w:val="none" w:sz="0" w:space="0" w:color="auto"/>
        <w:left w:val="none" w:sz="0" w:space="0" w:color="auto"/>
        <w:bottom w:val="none" w:sz="0" w:space="0" w:color="auto"/>
        <w:right w:val="none" w:sz="0" w:space="0" w:color="auto"/>
      </w:divBdr>
      <w:divsChild>
        <w:div w:id="1745756203">
          <w:marLeft w:val="0"/>
          <w:marRight w:val="0"/>
          <w:marTop w:val="0"/>
          <w:marBottom w:val="0"/>
          <w:divBdr>
            <w:top w:val="none" w:sz="0" w:space="0" w:color="auto"/>
            <w:left w:val="none" w:sz="0" w:space="0" w:color="auto"/>
            <w:bottom w:val="none" w:sz="0" w:space="0" w:color="auto"/>
            <w:right w:val="none" w:sz="0" w:space="0" w:color="auto"/>
          </w:divBdr>
        </w:div>
      </w:divsChild>
    </w:div>
    <w:div w:id="299774103">
      <w:bodyDiv w:val="1"/>
      <w:marLeft w:val="0"/>
      <w:marRight w:val="0"/>
      <w:marTop w:val="0"/>
      <w:marBottom w:val="0"/>
      <w:divBdr>
        <w:top w:val="none" w:sz="0" w:space="0" w:color="auto"/>
        <w:left w:val="none" w:sz="0" w:space="0" w:color="auto"/>
        <w:bottom w:val="none" w:sz="0" w:space="0" w:color="auto"/>
        <w:right w:val="none" w:sz="0" w:space="0" w:color="auto"/>
      </w:divBdr>
    </w:div>
    <w:div w:id="316426364">
      <w:bodyDiv w:val="1"/>
      <w:marLeft w:val="0"/>
      <w:marRight w:val="0"/>
      <w:marTop w:val="0"/>
      <w:marBottom w:val="0"/>
      <w:divBdr>
        <w:top w:val="none" w:sz="0" w:space="0" w:color="auto"/>
        <w:left w:val="none" w:sz="0" w:space="0" w:color="auto"/>
        <w:bottom w:val="none" w:sz="0" w:space="0" w:color="auto"/>
        <w:right w:val="none" w:sz="0" w:space="0" w:color="auto"/>
      </w:divBdr>
    </w:div>
    <w:div w:id="331418211">
      <w:bodyDiv w:val="1"/>
      <w:marLeft w:val="0"/>
      <w:marRight w:val="0"/>
      <w:marTop w:val="0"/>
      <w:marBottom w:val="0"/>
      <w:divBdr>
        <w:top w:val="none" w:sz="0" w:space="0" w:color="auto"/>
        <w:left w:val="none" w:sz="0" w:space="0" w:color="auto"/>
        <w:bottom w:val="none" w:sz="0" w:space="0" w:color="auto"/>
        <w:right w:val="none" w:sz="0" w:space="0" w:color="auto"/>
      </w:divBdr>
    </w:div>
    <w:div w:id="366491366">
      <w:bodyDiv w:val="1"/>
      <w:marLeft w:val="0"/>
      <w:marRight w:val="0"/>
      <w:marTop w:val="0"/>
      <w:marBottom w:val="0"/>
      <w:divBdr>
        <w:top w:val="none" w:sz="0" w:space="0" w:color="auto"/>
        <w:left w:val="none" w:sz="0" w:space="0" w:color="auto"/>
        <w:bottom w:val="none" w:sz="0" w:space="0" w:color="auto"/>
        <w:right w:val="none" w:sz="0" w:space="0" w:color="auto"/>
      </w:divBdr>
    </w:div>
    <w:div w:id="369109366">
      <w:bodyDiv w:val="1"/>
      <w:marLeft w:val="0"/>
      <w:marRight w:val="0"/>
      <w:marTop w:val="0"/>
      <w:marBottom w:val="0"/>
      <w:divBdr>
        <w:top w:val="none" w:sz="0" w:space="0" w:color="auto"/>
        <w:left w:val="none" w:sz="0" w:space="0" w:color="auto"/>
        <w:bottom w:val="none" w:sz="0" w:space="0" w:color="auto"/>
        <w:right w:val="none" w:sz="0" w:space="0" w:color="auto"/>
      </w:divBdr>
    </w:div>
    <w:div w:id="377436070">
      <w:bodyDiv w:val="1"/>
      <w:marLeft w:val="0"/>
      <w:marRight w:val="0"/>
      <w:marTop w:val="0"/>
      <w:marBottom w:val="0"/>
      <w:divBdr>
        <w:top w:val="none" w:sz="0" w:space="0" w:color="auto"/>
        <w:left w:val="none" w:sz="0" w:space="0" w:color="auto"/>
        <w:bottom w:val="none" w:sz="0" w:space="0" w:color="auto"/>
        <w:right w:val="none" w:sz="0" w:space="0" w:color="auto"/>
      </w:divBdr>
    </w:div>
    <w:div w:id="386949919">
      <w:bodyDiv w:val="1"/>
      <w:marLeft w:val="0"/>
      <w:marRight w:val="0"/>
      <w:marTop w:val="0"/>
      <w:marBottom w:val="0"/>
      <w:divBdr>
        <w:top w:val="none" w:sz="0" w:space="0" w:color="auto"/>
        <w:left w:val="none" w:sz="0" w:space="0" w:color="auto"/>
        <w:bottom w:val="none" w:sz="0" w:space="0" w:color="auto"/>
        <w:right w:val="none" w:sz="0" w:space="0" w:color="auto"/>
      </w:divBdr>
    </w:div>
    <w:div w:id="392968654">
      <w:bodyDiv w:val="1"/>
      <w:marLeft w:val="0"/>
      <w:marRight w:val="0"/>
      <w:marTop w:val="0"/>
      <w:marBottom w:val="0"/>
      <w:divBdr>
        <w:top w:val="none" w:sz="0" w:space="0" w:color="auto"/>
        <w:left w:val="none" w:sz="0" w:space="0" w:color="auto"/>
        <w:bottom w:val="none" w:sz="0" w:space="0" w:color="auto"/>
        <w:right w:val="none" w:sz="0" w:space="0" w:color="auto"/>
      </w:divBdr>
    </w:div>
    <w:div w:id="396168488">
      <w:bodyDiv w:val="1"/>
      <w:marLeft w:val="0"/>
      <w:marRight w:val="0"/>
      <w:marTop w:val="0"/>
      <w:marBottom w:val="0"/>
      <w:divBdr>
        <w:top w:val="none" w:sz="0" w:space="0" w:color="auto"/>
        <w:left w:val="none" w:sz="0" w:space="0" w:color="auto"/>
        <w:bottom w:val="none" w:sz="0" w:space="0" w:color="auto"/>
        <w:right w:val="none" w:sz="0" w:space="0" w:color="auto"/>
      </w:divBdr>
    </w:div>
    <w:div w:id="402676691">
      <w:bodyDiv w:val="1"/>
      <w:marLeft w:val="0"/>
      <w:marRight w:val="0"/>
      <w:marTop w:val="0"/>
      <w:marBottom w:val="0"/>
      <w:divBdr>
        <w:top w:val="none" w:sz="0" w:space="0" w:color="auto"/>
        <w:left w:val="none" w:sz="0" w:space="0" w:color="auto"/>
        <w:bottom w:val="none" w:sz="0" w:space="0" w:color="auto"/>
        <w:right w:val="none" w:sz="0" w:space="0" w:color="auto"/>
      </w:divBdr>
    </w:div>
    <w:div w:id="427625685">
      <w:bodyDiv w:val="1"/>
      <w:marLeft w:val="0"/>
      <w:marRight w:val="0"/>
      <w:marTop w:val="0"/>
      <w:marBottom w:val="0"/>
      <w:divBdr>
        <w:top w:val="none" w:sz="0" w:space="0" w:color="auto"/>
        <w:left w:val="none" w:sz="0" w:space="0" w:color="auto"/>
        <w:bottom w:val="none" w:sz="0" w:space="0" w:color="auto"/>
        <w:right w:val="none" w:sz="0" w:space="0" w:color="auto"/>
      </w:divBdr>
    </w:div>
    <w:div w:id="433789564">
      <w:bodyDiv w:val="1"/>
      <w:marLeft w:val="0"/>
      <w:marRight w:val="0"/>
      <w:marTop w:val="0"/>
      <w:marBottom w:val="0"/>
      <w:divBdr>
        <w:top w:val="none" w:sz="0" w:space="0" w:color="auto"/>
        <w:left w:val="none" w:sz="0" w:space="0" w:color="auto"/>
        <w:bottom w:val="none" w:sz="0" w:space="0" w:color="auto"/>
        <w:right w:val="none" w:sz="0" w:space="0" w:color="auto"/>
      </w:divBdr>
    </w:div>
    <w:div w:id="454056621">
      <w:bodyDiv w:val="1"/>
      <w:marLeft w:val="0"/>
      <w:marRight w:val="0"/>
      <w:marTop w:val="0"/>
      <w:marBottom w:val="0"/>
      <w:divBdr>
        <w:top w:val="none" w:sz="0" w:space="0" w:color="auto"/>
        <w:left w:val="none" w:sz="0" w:space="0" w:color="auto"/>
        <w:bottom w:val="none" w:sz="0" w:space="0" w:color="auto"/>
        <w:right w:val="none" w:sz="0" w:space="0" w:color="auto"/>
      </w:divBdr>
      <w:divsChild>
        <w:div w:id="2043750209">
          <w:marLeft w:val="0"/>
          <w:marRight w:val="0"/>
          <w:marTop w:val="0"/>
          <w:marBottom w:val="0"/>
          <w:divBdr>
            <w:top w:val="none" w:sz="0" w:space="0" w:color="auto"/>
            <w:left w:val="none" w:sz="0" w:space="0" w:color="auto"/>
            <w:bottom w:val="none" w:sz="0" w:space="0" w:color="auto"/>
            <w:right w:val="none" w:sz="0" w:space="0" w:color="auto"/>
          </w:divBdr>
          <w:divsChild>
            <w:div w:id="1214468061">
              <w:marLeft w:val="0"/>
              <w:marRight w:val="0"/>
              <w:marTop w:val="0"/>
              <w:marBottom w:val="0"/>
              <w:divBdr>
                <w:top w:val="none" w:sz="0" w:space="0" w:color="auto"/>
                <w:left w:val="none" w:sz="0" w:space="0" w:color="auto"/>
                <w:bottom w:val="none" w:sz="0" w:space="0" w:color="auto"/>
                <w:right w:val="none" w:sz="0" w:space="0" w:color="auto"/>
              </w:divBdr>
            </w:div>
          </w:divsChild>
        </w:div>
        <w:div w:id="1081180083">
          <w:marLeft w:val="0"/>
          <w:marRight w:val="0"/>
          <w:marTop w:val="0"/>
          <w:marBottom w:val="0"/>
          <w:divBdr>
            <w:top w:val="none" w:sz="0" w:space="0" w:color="auto"/>
            <w:left w:val="none" w:sz="0" w:space="0" w:color="auto"/>
            <w:bottom w:val="none" w:sz="0" w:space="0" w:color="auto"/>
            <w:right w:val="none" w:sz="0" w:space="0" w:color="auto"/>
          </w:divBdr>
          <w:divsChild>
            <w:div w:id="4234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420">
      <w:bodyDiv w:val="1"/>
      <w:marLeft w:val="0"/>
      <w:marRight w:val="0"/>
      <w:marTop w:val="0"/>
      <w:marBottom w:val="0"/>
      <w:divBdr>
        <w:top w:val="none" w:sz="0" w:space="0" w:color="auto"/>
        <w:left w:val="none" w:sz="0" w:space="0" w:color="auto"/>
        <w:bottom w:val="none" w:sz="0" w:space="0" w:color="auto"/>
        <w:right w:val="none" w:sz="0" w:space="0" w:color="auto"/>
      </w:divBdr>
      <w:divsChild>
        <w:div w:id="1048989182">
          <w:marLeft w:val="0"/>
          <w:marRight w:val="0"/>
          <w:marTop w:val="0"/>
          <w:marBottom w:val="0"/>
          <w:divBdr>
            <w:top w:val="none" w:sz="0" w:space="0" w:color="auto"/>
            <w:left w:val="none" w:sz="0" w:space="0" w:color="auto"/>
            <w:bottom w:val="none" w:sz="0" w:space="0" w:color="auto"/>
            <w:right w:val="none" w:sz="0" w:space="0" w:color="auto"/>
          </w:divBdr>
        </w:div>
      </w:divsChild>
    </w:div>
    <w:div w:id="486555849">
      <w:bodyDiv w:val="1"/>
      <w:marLeft w:val="0"/>
      <w:marRight w:val="0"/>
      <w:marTop w:val="0"/>
      <w:marBottom w:val="0"/>
      <w:divBdr>
        <w:top w:val="none" w:sz="0" w:space="0" w:color="auto"/>
        <w:left w:val="none" w:sz="0" w:space="0" w:color="auto"/>
        <w:bottom w:val="none" w:sz="0" w:space="0" w:color="auto"/>
        <w:right w:val="none" w:sz="0" w:space="0" w:color="auto"/>
      </w:divBdr>
    </w:div>
    <w:div w:id="495995275">
      <w:bodyDiv w:val="1"/>
      <w:marLeft w:val="0"/>
      <w:marRight w:val="0"/>
      <w:marTop w:val="0"/>
      <w:marBottom w:val="0"/>
      <w:divBdr>
        <w:top w:val="none" w:sz="0" w:space="0" w:color="auto"/>
        <w:left w:val="none" w:sz="0" w:space="0" w:color="auto"/>
        <w:bottom w:val="none" w:sz="0" w:space="0" w:color="auto"/>
        <w:right w:val="none" w:sz="0" w:space="0" w:color="auto"/>
      </w:divBdr>
    </w:div>
    <w:div w:id="506141024">
      <w:bodyDiv w:val="1"/>
      <w:marLeft w:val="0"/>
      <w:marRight w:val="0"/>
      <w:marTop w:val="0"/>
      <w:marBottom w:val="0"/>
      <w:divBdr>
        <w:top w:val="none" w:sz="0" w:space="0" w:color="auto"/>
        <w:left w:val="none" w:sz="0" w:space="0" w:color="auto"/>
        <w:bottom w:val="none" w:sz="0" w:space="0" w:color="auto"/>
        <w:right w:val="none" w:sz="0" w:space="0" w:color="auto"/>
      </w:divBdr>
      <w:divsChild>
        <w:div w:id="556017437">
          <w:marLeft w:val="0"/>
          <w:marRight w:val="0"/>
          <w:marTop w:val="0"/>
          <w:marBottom w:val="0"/>
          <w:divBdr>
            <w:top w:val="none" w:sz="0" w:space="0" w:color="auto"/>
            <w:left w:val="none" w:sz="0" w:space="0" w:color="auto"/>
            <w:bottom w:val="none" w:sz="0" w:space="0" w:color="auto"/>
            <w:right w:val="none" w:sz="0" w:space="0" w:color="auto"/>
          </w:divBdr>
        </w:div>
      </w:divsChild>
    </w:div>
    <w:div w:id="506676536">
      <w:bodyDiv w:val="1"/>
      <w:marLeft w:val="0"/>
      <w:marRight w:val="0"/>
      <w:marTop w:val="0"/>
      <w:marBottom w:val="0"/>
      <w:divBdr>
        <w:top w:val="none" w:sz="0" w:space="0" w:color="auto"/>
        <w:left w:val="none" w:sz="0" w:space="0" w:color="auto"/>
        <w:bottom w:val="none" w:sz="0" w:space="0" w:color="auto"/>
        <w:right w:val="none" w:sz="0" w:space="0" w:color="auto"/>
      </w:divBdr>
    </w:div>
    <w:div w:id="508376674">
      <w:bodyDiv w:val="1"/>
      <w:marLeft w:val="0"/>
      <w:marRight w:val="0"/>
      <w:marTop w:val="0"/>
      <w:marBottom w:val="0"/>
      <w:divBdr>
        <w:top w:val="none" w:sz="0" w:space="0" w:color="auto"/>
        <w:left w:val="none" w:sz="0" w:space="0" w:color="auto"/>
        <w:bottom w:val="none" w:sz="0" w:space="0" w:color="auto"/>
        <w:right w:val="none" w:sz="0" w:space="0" w:color="auto"/>
      </w:divBdr>
    </w:div>
    <w:div w:id="513349501">
      <w:bodyDiv w:val="1"/>
      <w:marLeft w:val="0"/>
      <w:marRight w:val="0"/>
      <w:marTop w:val="0"/>
      <w:marBottom w:val="0"/>
      <w:divBdr>
        <w:top w:val="none" w:sz="0" w:space="0" w:color="auto"/>
        <w:left w:val="none" w:sz="0" w:space="0" w:color="auto"/>
        <w:bottom w:val="none" w:sz="0" w:space="0" w:color="auto"/>
        <w:right w:val="none" w:sz="0" w:space="0" w:color="auto"/>
      </w:divBdr>
    </w:div>
    <w:div w:id="521280923">
      <w:bodyDiv w:val="1"/>
      <w:marLeft w:val="0"/>
      <w:marRight w:val="0"/>
      <w:marTop w:val="0"/>
      <w:marBottom w:val="0"/>
      <w:divBdr>
        <w:top w:val="none" w:sz="0" w:space="0" w:color="auto"/>
        <w:left w:val="none" w:sz="0" w:space="0" w:color="auto"/>
        <w:bottom w:val="none" w:sz="0" w:space="0" w:color="auto"/>
        <w:right w:val="none" w:sz="0" w:space="0" w:color="auto"/>
      </w:divBdr>
    </w:div>
    <w:div w:id="527959678">
      <w:bodyDiv w:val="1"/>
      <w:marLeft w:val="0"/>
      <w:marRight w:val="0"/>
      <w:marTop w:val="0"/>
      <w:marBottom w:val="0"/>
      <w:divBdr>
        <w:top w:val="none" w:sz="0" w:space="0" w:color="auto"/>
        <w:left w:val="none" w:sz="0" w:space="0" w:color="auto"/>
        <w:bottom w:val="none" w:sz="0" w:space="0" w:color="auto"/>
        <w:right w:val="none" w:sz="0" w:space="0" w:color="auto"/>
      </w:divBdr>
    </w:div>
    <w:div w:id="541939680">
      <w:bodyDiv w:val="1"/>
      <w:marLeft w:val="0"/>
      <w:marRight w:val="0"/>
      <w:marTop w:val="0"/>
      <w:marBottom w:val="0"/>
      <w:divBdr>
        <w:top w:val="none" w:sz="0" w:space="0" w:color="auto"/>
        <w:left w:val="none" w:sz="0" w:space="0" w:color="auto"/>
        <w:bottom w:val="none" w:sz="0" w:space="0" w:color="auto"/>
        <w:right w:val="none" w:sz="0" w:space="0" w:color="auto"/>
      </w:divBdr>
    </w:div>
    <w:div w:id="554895157">
      <w:bodyDiv w:val="1"/>
      <w:marLeft w:val="0"/>
      <w:marRight w:val="0"/>
      <w:marTop w:val="0"/>
      <w:marBottom w:val="0"/>
      <w:divBdr>
        <w:top w:val="none" w:sz="0" w:space="0" w:color="auto"/>
        <w:left w:val="none" w:sz="0" w:space="0" w:color="auto"/>
        <w:bottom w:val="none" w:sz="0" w:space="0" w:color="auto"/>
        <w:right w:val="none" w:sz="0" w:space="0" w:color="auto"/>
      </w:divBdr>
    </w:div>
    <w:div w:id="555120348">
      <w:bodyDiv w:val="1"/>
      <w:marLeft w:val="0"/>
      <w:marRight w:val="0"/>
      <w:marTop w:val="0"/>
      <w:marBottom w:val="0"/>
      <w:divBdr>
        <w:top w:val="none" w:sz="0" w:space="0" w:color="auto"/>
        <w:left w:val="none" w:sz="0" w:space="0" w:color="auto"/>
        <w:bottom w:val="none" w:sz="0" w:space="0" w:color="auto"/>
        <w:right w:val="none" w:sz="0" w:space="0" w:color="auto"/>
      </w:divBdr>
    </w:div>
    <w:div w:id="576984044">
      <w:bodyDiv w:val="1"/>
      <w:marLeft w:val="0"/>
      <w:marRight w:val="0"/>
      <w:marTop w:val="0"/>
      <w:marBottom w:val="0"/>
      <w:divBdr>
        <w:top w:val="none" w:sz="0" w:space="0" w:color="auto"/>
        <w:left w:val="none" w:sz="0" w:space="0" w:color="auto"/>
        <w:bottom w:val="none" w:sz="0" w:space="0" w:color="auto"/>
        <w:right w:val="none" w:sz="0" w:space="0" w:color="auto"/>
      </w:divBdr>
    </w:div>
    <w:div w:id="577518772">
      <w:bodyDiv w:val="1"/>
      <w:marLeft w:val="0"/>
      <w:marRight w:val="0"/>
      <w:marTop w:val="0"/>
      <w:marBottom w:val="0"/>
      <w:divBdr>
        <w:top w:val="none" w:sz="0" w:space="0" w:color="auto"/>
        <w:left w:val="none" w:sz="0" w:space="0" w:color="auto"/>
        <w:bottom w:val="none" w:sz="0" w:space="0" w:color="auto"/>
        <w:right w:val="none" w:sz="0" w:space="0" w:color="auto"/>
      </w:divBdr>
    </w:div>
    <w:div w:id="582185944">
      <w:bodyDiv w:val="1"/>
      <w:marLeft w:val="0"/>
      <w:marRight w:val="0"/>
      <w:marTop w:val="0"/>
      <w:marBottom w:val="0"/>
      <w:divBdr>
        <w:top w:val="none" w:sz="0" w:space="0" w:color="auto"/>
        <w:left w:val="none" w:sz="0" w:space="0" w:color="auto"/>
        <w:bottom w:val="none" w:sz="0" w:space="0" w:color="auto"/>
        <w:right w:val="none" w:sz="0" w:space="0" w:color="auto"/>
      </w:divBdr>
    </w:div>
    <w:div w:id="584653824">
      <w:bodyDiv w:val="1"/>
      <w:marLeft w:val="0"/>
      <w:marRight w:val="0"/>
      <w:marTop w:val="0"/>
      <w:marBottom w:val="0"/>
      <w:divBdr>
        <w:top w:val="none" w:sz="0" w:space="0" w:color="auto"/>
        <w:left w:val="none" w:sz="0" w:space="0" w:color="auto"/>
        <w:bottom w:val="none" w:sz="0" w:space="0" w:color="auto"/>
        <w:right w:val="none" w:sz="0" w:space="0" w:color="auto"/>
      </w:divBdr>
    </w:div>
    <w:div w:id="587622158">
      <w:bodyDiv w:val="1"/>
      <w:marLeft w:val="0"/>
      <w:marRight w:val="0"/>
      <w:marTop w:val="0"/>
      <w:marBottom w:val="0"/>
      <w:divBdr>
        <w:top w:val="none" w:sz="0" w:space="0" w:color="auto"/>
        <w:left w:val="none" w:sz="0" w:space="0" w:color="auto"/>
        <w:bottom w:val="none" w:sz="0" w:space="0" w:color="auto"/>
        <w:right w:val="none" w:sz="0" w:space="0" w:color="auto"/>
      </w:divBdr>
    </w:div>
    <w:div w:id="621031636">
      <w:bodyDiv w:val="1"/>
      <w:marLeft w:val="0"/>
      <w:marRight w:val="0"/>
      <w:marTop w:val="0"/>
      <w:marBottom w:val="0"/>
      <w:divBdr>
        <w:top w:val="none" w:sz="0" w:space="0" w:color="auto"/>
        <w:left w:val="none" w:sz="0" w:space="0" w:color="auto"/>
        <w:bottom w:val="none" w:sz="0" w:space="0" w:color="auto"/>
        <w:right w:val="none" w:sz="0" w:space="0" w:color="auto"/>
      </w:divBdr>
    </w:div>
    <w:div w:id="626277107">
      <w:bodyDiv w:val="1"/>
      <w:marLeft w:val="0"/>
      <w:marRight w:val="0"/>
      <w:marTop w:val="0"/>
      <w:marBottom w:val="0"/>
      <w:divBdr>
        <w:top w:val="none" w:sz="0" w:space="0" w:color="auto"/>
        <w:left w:val="none" w:sz="0" w:space="0" w:color="auto"/>
        <w:bottom w:val="none" w:sz="0" w:space="0" w:color="auto"/>
        <w:right w:val="none" w:sz="0" w:space="0" w:color="auto"/>
      </w:divBdr>
    </w:div>
    <w:div w:id="637415469">
      <w:bodyDiv w:val="1"/>
      <w:marLeft w:val="0"/>
      <w:marRight w:val="0"/>
      <w:marTop w:val="0"/>
      <w:marBottom w:val="0"/>
      <w:divBdr>
        <w:top w:val="none" w:sz="0" w:space="0" w:color="auto"/>
        <w:left w:val="none" w:sz="0" w:space="0" w:color="auto"/>
        <w:bottom w:val="none" w:sz="0" w:space="0" w:color="auto"/>
        <w:right w:val="none" w:sz="0" w:space="0" w:color="auto"/>
      </w:divBdr>
    </w:div>
    <w:div w:id="640774535">
      <w:bodyDiv w:val="1"/>
      <w:marLeft w:val="0"/>
      <w:marRight w:val="0"/>
      <w:marTop w:val="0"/>
      <w:marBottom w:val="0"/>
      <w:divBdr>
        <w:top w:val="none" w:sz="0" w:space="0" w:color="auto"/>
        <w:left w:val="none" w:sz="0" w:space="0" w:color="auto"/>
        <w:bottom w:val="none" w:sz="0" w:space="0" w:color="auto"/>
        <w:right w:val="none" w:sz="0" w:space="0" w:color="auto"/>
      </w:divBdr>
    </w:div>
    <w:div w:id="649871073">
      <w:bodyDiv w:val="1"/>
      <w:marLeft w:val="0"/>
      <w:marRight w:val="0"/>
      <w:marTop w:val="0"/>
      <w:marBottom w:val="0"/>
      <w:divBdr>
        <w:top w:val="none" w:sz="0" w:space="0" w:color="auto"/>
        <w:left w:val="none" w:sz="0" w:space="0" w:color="auto"/>
        <w:bottom w:val="none" w:sz="0" w:space="0" w:color="auto"/>
        <w:right w:val="none" w:sz="0" w:space="0" w:color="auto"/>
      </w:divBdr>
    </w:div>
    <w:div w:id="686828861">
      <w:bodyDiv w:val="1"/>
      <w:marLeft w:val="0"/>
      <w:marRight w:val="0"/>
      <w:marTop w:val="0"/>
      <w:marBottom w:val="0"/>
      <w:divBdr>
        <w:top w:val="none" w:sz="0" w:space="0" w:color="auto"/>
        <w:left w:val="none" w:sz="0" w:space="0" w:color="auto"/>
        <w:bottom w:val="none" w:sz="0" w:space="0" w:color="auto"/>
        <w:right w:val="none" w:sz="0" w:space="0" w:color="auto"/>
      </w:divBdr>
    </w:div>
    <w:div w:id="689182154">
      <w:bodyDiv w:val="1"/>
      <w:marLeft w:val="0"/>
      <w:marRight w:val="0"/>
      <w:marTop w:val="0"/>
      <w:marBottom w:val="0"/>
      <w:divBdr>
        <w:top w:val="none" w:sz="0" w:space="0" w:color="auto"/>
        <w:left w:val="none" w:sz="0" w:space="0" w:color="auto"/>
        <w:bottom w:val="none" w:sz="0" w:space="0" w:color="auto"/>
        <w:right w:val="none" w:sz="0" w:space="0" w:color="auto"/>
      </w:divBdr>
    </w:div>
    <w:div w:id="693002341">
      <w:bodyDiv w:val="1"/>
      <w:marLeft w:val="0"/>
      <w:marRight w:val="0"/>
      <w:marTop w:val="0"/>
      <w:marBottom w:val="0"/>
      <w:divBdr>
        <w:top w:val="none" w:sz="0" w:space="0" w:color="auto"/>
        <w:left w:val="none" w:sz="0" w:space="0" w:color="auto"/>
        <w:bottom w:val="none" w:sz="0" w:space="0" w:color="auto"/>
        <w:right w:val="none" w:sz="0" w:space="0" w:color="auto"/>
      </w:divBdr>
    </w:div>
    <w:div w:id="696613592">
      <w:bodyDiv w:val="1"/>
      <w:marLeft w:val="0"/>
      <w:marRight w:val="0"/>
      <w:marTop w:val="0"/>
      <w:marBottom w:val="0"/>
      <w:divBdr>
        <w:top w:val="none" w:sz="0" w:space="0" w:color="auto"/>
        <w:left w:val="none" w:sz="0" w:space="0" w:color="auto"/>
        <w:bottom w:val="none" w:sz="0" w:space="0" w:color="auto"/>
        <w:right w:val="none" w:sz="0" w:space="0" w:color="auto"/>
      </w:divBdr>
    </w:div>
    <w:div w:id="708652870">
      <w:bodyDiv w:val="1"/>
      <w:marLeft w:val="0"/>
      <w:marRight w:val="0"/>
      <w:marTop w:val="0"/>
      <w:marBottom w:val="0"/>
      <w:divBdr>
        <w:top w:val="none" w:sz="0" w:space="0" w:color="auto"/>
        <w:left w:val="none" w:sz="0" w:space="0" w:color="auto"/>
        <w:bottom w:val="none" w:sz="0" w:space="0" w:color="auto"/>
        <w:right w:val="none" w:sz="0" w:space="0" w:color="auto"/>
      </w:divBdr>
    </w:div>
    <w:div w:id="722757750">
      <w:bodyDiv w:val="1"/>
      <w:marLeft w:val="0"/>
      <w:marRight w:val="0"/>
      <w:marTop w:val="0"/>
      <w:marBottom w:val="0"/>
      <w:divBdr>
        <w:top w:val="none" w:sz="0" w:space="0" w:color="auto"/>
        <w:left w:val="none" w:sz="0" w:space="0" w:color="auto"/>
        <w:bottom w:val="none" w:sz="0" w:space="0" w:color="auto"/>
        <w:right w:val="none" w:sz="0" w:space="0" w:color="auto"/>
      </w:divBdr>
    </w:div>
    <w:div w:id="762336139">
      <w:bodyDiv w:val="1"/>
      <w:marLeft w:val="0"/>
      <w:marRight w:val="0"/>
      <w:marTop w:val="0"/>
      <w:marBottom w:val="0"/>
      <w:divBdr>
        <w:top w:val="none" w:sz="0" w:space="0" w:color="auto"/>
        <w:left w:val="none" w:sz="0" w:space="0" w:color="auto"/>
        <w:bottom w:val="none" w:sz="0" w:space="0" w:color="auto"/>
        <w:right w:val="none" w:sz="0" w:space="0" w:color="auto"/>
      </w:divBdr>
    </w:div>
    <w:div w:id="775947896">
      <w:bodyDiv w:val="1"/>
      <w:marLeft w:val="0"/>
      <w:marRight w:val="0"/>
      <w:marTop w:val="0"/>
      <w:marBottom w:val="0"/>
      <w:divBdr>
        <w:top w:val="none" w:sz="0" w:space="0" w:color="auto"/>
        <w:left w:val="none" w:sz="0" w:space="0" w:color="auto"/>
        <w:bottom w:val="none" w:sz="0" w:space="0" w:color="auto"/>
        <w:right w:val="none" w:sz="0" w:space="0" w:color="auto"/>
      </w:divBdr>
    </w:div>
    <w:div w:id="787896971">
      <w:bodyDiv w:val="1"/>
      <w:marLeft w:val="0"/>
      <w:marRight w:val="0"/>
      <w:marTop w:val="0"/>
      <w:marBottom w:val="0"/>
      <w:divBdr>
        <w:top w:val="none" w:sz="0" w:space="0" w:color="auto"/>
        <w:left w:val="none" w:sz="0" w:space="0" w:color="auto"/>
        <w:bottom w:val="none" w:sz="0" w:space="0" w:color="auto"/>
        <w:right w:val="none" w:sz="0" w:space="0" w:color="auto"/>
      </w:divBdr>
    </w:div>
    <w:div w:id="815486457">
      <w:bodyDiv w:val="1"/>
      <w:marLeft w:val="0"/>
      <w:marRight w:val="0"/>
      <w:marTop w:val="0"/>
      <w:marBottom w:val="0"/>
      <w:divBdr>
        <w:top w:val="none" w:sz="0" w:space="0" w:color="auto"/>
        <w:left w:val="none" w:sz="0" w:space="0" w:color="auto"/>
        <w:bottom w:val="none" w:sz="0" w:space="0" w:color="auto"/>
        <w:right w:val="none" w:sz="0" w:space="0" w:color="auto"/>
      </w:divBdr>
    </w:div>
    <w:div w:id="824399440">
      <w:bodyDiv w:val="1"/>
      <w:marLeft w:val="0"/>
      <w:marRight w:val="0"/>
      <w:marTop w:val="0"/>
      <w:marBottom w:val="0"/>
      <w:divBdr>
        <w:top w:val="none" w:sz="0" w:space="0" w:color="auto"/>
        <w:left w:val="none" w:sz="0" w:space="0" w:color="auto"/>
        <w:bottom w:val="none" w:sz="0" w:space="0" w:color="auto"/>
        <w:right w:val="none" w:sz="0" w:space="0" w:color="auto"/>
      </w:divBdr>
    </w:div>
    <w:div w:id="829713106">
      <w:bodyDiv w:val="1"/>
      <w:marLeft w:val="0"/>
      <w:marRight w:val="0"/>
      <w:marTop w:val="0"/>
      <w:marBottom w:val="0"/>
      <w:divBdr>
        <w:top w:val="none" w:sz="0" w:space="0" w:color="auto"/>
        <w:left w:val="none" w:sz="0" w:space="0" w:color="auto"/>
        <w:bottom w:val="none" w:sz="0" w:space="0" w:color="auto"/>
        <w:right w:val="none" w:sz="0" w:space="0" w:color="auto"/>
      </w:divBdr>
    </w:div>
    <w:div w:id="846015301">
      <w:bodyDiv w:val="1"/>
      <w:marLeft w:val="0"/>
      <w:marRight w:val="0"/>
      <w:marTop w:val="0"/>
      <w:marBottom w:val="0"/>
      <w:divBdr>
        <w:top w:val="none" w:sz="0" w:space="0" w:color="auto"/>
        <w:left w:val="none" w:sz="0" w:space="0" w:color="auto"/>
        <w:bottom w:val="none" w:sz="0" w:space="0" w:color="auto"/>
        <w:right w:val="none" w:sz="0" w:space="0" w:color="auto"/>
      </w:divBdr>
    </w:div>
    <w:div w:id="898636621">
      <w:bodyDiv w:val="1"/>
      <w:marLeft w:val="0"/>
      <w:marRight w:val="0"/>
      <w:marTop w:val="0"/>
      <w:marBottom w:val="0"/>
      <w:divBdr>
        <w:top w:val="none" w:sz="0" w:space="0" w:color="auto"/>
        <w:left w:val="none" w:sz="0" w:space="0" w:color="auto"/>
        <w:bottom w:val="none" w:sz="0" w:space="0" w:color="auto"/>
        <w:right w:val="none" w:sz="0" w:space="0" w:color="auto"/>
      </w:divBdr>
    </w:div>
    <w:div w:id="908733534">
      <w:bodyDiv w:val="1"/>
      <w:marLeft w:val="0"/>
      <w:marRight w:val="0"/>
      <w:marTop w:val="0"/>
      <w:marBottom w:val="0"/>
      <w:divBdr>
        <w:top w:val="none" w:sz="0" w:space="0" w:color="auto"/>
        <w:left w:val="none" w:sz="0" w:space="0" w:color="auto"/>
        <w:bottom w:val="none" w:sz="0" w:space="0" w:color="auto"/>
        <w:right w:val="none" w:sz="0" w:space="0" w:color="auto"/>
      </w:divBdr>
    </w:div>
    <w:div w:id="919825429">
      <w:bodyDiv w:val="1"/>
      <w:marLeft w:val="0"/>
      <w:marRight w:val="0"/>
      <w:marTop w:val="0"/>
      <w:marBottom w:val="0"/>
      <w:divBdr>
        <w:top w:val="none" w:sz="0" w:space="0" w:color="auto"/>
        <w:left w:val="none" w:sz="0" w:space="0" w:color="auto"/>
        <w:bottom w:val="none" w:sz="0" w:space="0" w:color="auto"/>
        <w:right w:val="none" w:sz="0" w:space="0" w:color="auto"/>
      </w:divBdr>
    </w:div>
    <w:div w:id="924606199">
      <w:bodyDiv w:val="1"/>
      <w:marLeft w:val="0"/>
      <w:marRight w:val="0"/>
      <w:marTop w:val="0"/>
      <w:marBottom w:val="0"/>
      <w:divBdr>
        <w:top w:val="none" w:sz="0" w:space="0" w:color="auto"/>
        <w:left w:val="none" w:sz="0" w:space="0" w:color="auto"/>
        <w:bottom w:val="none" w:sz="0" w:space="0" w:color="auto"/>
        <w:right w:val="none" w:sz="0" w:space="0" w:color="auto"/>
      </w:divBdr>
    </w:div>
    <w:div w:id="925765309">
      <w:bodyDiv w:val="1"/>
      <w:marLeft w:val="0"/>
      <w:marRight w:val="0"/>
      <w:marTop w:val="0"/>
      <w:marBottom w:val="0"/>
      <w:divBdr>
        <w:top w:val="none" w:sz="0" w:space="0" w:color="auto"/>
        <w:left w:val="none" w:sz="0" w:space="0" w:color="auto"/>
        <w:bottom w:val="none" w:sz="0" w:space="0" w:color="auto"/>
        <w:right w:val="none" w:sz="0" w:space="0" w:color="auto"/>
      </w:divBdr>
    </w:div>
    <w:div w:id="938365657">
      <w:bodyDiv w:val="1"/>
      <w:marLeft w:val="0"/>
      <w:marRight w:val="0"/>
      <w:marTop w:val="0"/>
      <w:marBottom w:val="0"/>
      <w:divBdr>
        <w:top w:val="none" w:sz="0" w:space="0" w:color="auto"/>
        <w:left w:val="none" w:sz="0" w:space="0" w:color="auto"/>
        <w:bottom w:val="none" w:sz="0" w:space="0" w:color="auto"/>
        <w:right w:val="none" w:sz="0" w:space="0" w:color="auto"/>
      </w:divBdr>
    </w:div>
    <w:div w:id="953293533">
      <w:bodyDiv w:val="1"/>
      <w:marLeft w:val="0"/>
      <w:marRight w:val="0"/>
      <w:marTop w:val="0"/>
      <w:marBottom w:val="0"/>
      <w:divBdr>
        <w:top w:val="none" w:sz="0" w:space="0" w:color="auto"/>
        <w:left w:val="none" w:sz="0" w:space="0" w:color="auto"/>
        <w:bottom w:val="none" w:sz="0" w:space="0" w:color="auto"/>
        <w:right w:val="none" w:sz="0" w:space="0" w:color="auto"/>
      </w:divBdr>
    </w:div>
    <w:div w:id="975336739">
      <w:bodyDiv w:val="1"/>
      <w:marLeft w:val="0"/>
      <w:marRight w:val="0"/>
      <w:marTop w:val="0"/>
      <w:marBottom w:val="0"/>
      <w:divBdr>
        <w:top w:val="none" w:sz="0" w:space="0" w:color="auto"/>
        <w:left w:val="none" w:sz="0" w:space="0" w:color="auto"/>
        <w:bottom w:val="none" w:sz="0" w:space="0" w:color="auto"/>
        <w:right w:val="none" w:sz="0" w:space="0" w:color="auto"/>
      </w:divBdr>
    </w:div>
    <w:div w:id="981737401">
      <w:bodyDiv w:val="1"/>
      <w:marLeft w:val="0"/>
      <w:marRight w:val="0"/>
      <w:marTop w:val="0"/>
      <w:marBottom w:val="0"/>
      <w:divBdr>
        <w:top w:val="none" w:sz="0" w:space="0" w:color="auto"/>
        <w:left w:val="none" w:sz="0" w:space="0" w:color="auto"/>
        <w:bottom w:val="none" w:sz="0" w:space="0" w:color="auto"/>
        <w:right w:val="none" w:sz="0" w:space="0" w:color="auto"/>
      </w:divBdr>
    </w:div>
    <w:div w:id="997151118">
      <w:bodyDiv w:val="1"/>
      <w:marLeft w:val="0"/>
      <w:marRight w:val="0"/>
      <w:marTop w:val="0"/>
      <w:marBottom w:val="0"/>
      <w:divBdr>
        <w:top w:val="none" w:sz="0" w:space="0" w:color="auto"/>
        <w:left w:val="none" w:sz="0" w:space="0" w:color="auto"/>
        <w:bottom w:val="none" w:sz="0" w:space="0" w:color="auto"/>
        <w:right w:val="none" w:sz="0" w:space="0" w:color="auto"/>
      </w:divBdr>
    </w:div>
    <w:div w:id="1007903850">
      <w:bodyDiv w:val="1"/>
      <w:marLeft w:val="0"/>
      <w:marRight w:val="0"/>
      <w:marTop w:val="0"/>
      <w:marBottom w:val="0"/>
      <w:divBdr>
        <w:top w:val="none" w:sz="0" w:space="0" w:color="auto"/>
        <w:left w:val="none" w:sz="0" w:space="0" w:color="auto"/>
        <w:bottom w:val="none" w:sz="0" w:space="0" w:color="auto"/>
        <w:right w:val="none" w:sz="0" w:space="0" w:color="auto"/>
      </w:divBdr>
    </w:div>
    <w:div w:id="1020546693">
      <w:bodyDiv w:val="1"/>
      <w:marLeft w:val="0"/>
      <w:marRight w:val="0"/>
      <w:marTop w:val="0"/>
      <w:marBottom w:val="0"/>
      <w:divBdr>
        <w:top w:val="none" w:sz="0" w:space="0" w:color="auto"/>
        <w:left w:val="none" w:sz="0" w:space="0" w:color="auto"/>
        <w:bottom w:val="none" w:sz="0" w:space="0" w:color="auto"/>
        <w:right w:val="none" w:sz="0" w:space="0" w:color="auto"/>
      </w:divBdr>
    </w:div>
    <w:div w:id="1030761933">
      <w:bodyDiv w:val="1"/>
      <w:marLeft w:val="0"/>
      <w:marRight w:val="0"/>
      <w:marTop w:val="0"/>
      <w:marBottom w:val="0"/>
      <w:divBdr>
        <w:top w:val="none" w:sz="0" w:space="0" w:color="auto"/>
        <w:left w:val="none" w:sz="0" w:space="0" w:color="auto"/>
        <w:bottom w:val="none" w:sz="0" w:space="0" w:color="auto"/>
        <w:right w:val="none" w:sz="0" w:space="0" w:color="auto"/>
      </w:divBdr>
    </w:div>
    <w:div w:id="1031761437">
      <w:bodyDiv w:val="1"/>
      <w:marLeft w:val="0"/>
      <w:marRight w:val="0"/>
      <w:marTop w:val="0"/>
      <w:marBottom w:val="0"/>
      <w:divBdr>
        <w:top w:val="none" w:sz="0" w:space="0" w:color="auto"/>
        <w:left w:val="none" w:sz="0" w:space="0" w:color="auto"/>
        <w:bottom w:val="none" w:sz="0" w:space="0" w:color="auto"/>
        <w:right w:val="none" w:sz="0" w:space="0" w:color="auto"/>
      </w:divBdr>
      <w:divsChild>
        <w:div w:id="1805417742">
          <w:marLeft w:val="0"/>
          <w:marRight w:val="0"/>
          <w:marTop w:val="0"/>
          <w:marBottom w:val="0"/>
          <w:divBdr>
            <w:top w:val="none" w:sz="0" w:space="0" w:color="auto"/>
            <w:left w:val="none" w:sz="0" w:space="0" w:color="auto"/>
            <w:bottom w:val="none" w:sz="0" w:space="0" w:color="auto"/>
            <w:right w:val="none" w:sz="0" w:space="0" w:color="auto"/>
          </w:divBdr>
        </w:div>
      </w:divsChild>
    </w:div>
    <w:div w:id="1047800114">
      <w:bodyDiv w:val="1"/>
      <w:marLeft w:val="0"/>
      <w:marRight w:val="0"/>
      <w:marTop w:val="0"/>
      <w:marBottom w:val="0"/>
      <w:divBdr>
        <w:top w:val="none" w:sz="0" w:space="0" w:color="auto"/>
        <w:left w:val="none" w:sz="0" w:space="0" w:color="auto"/>
        <w:bottom w:val="none" w:sz="0" w:space="0" w:color="auto"/>
        <w:right w:val="none" w:sz="0" w:space="0" w:color="auto"/>
      </w:divBdr>
    </w:div>
    <w:div w:id="1051343065">
      <w:bodyDiv w:val="1"/>
      <w:marLeft w:val="0"/>
      <w:marRight w:val="0"/>
      <w:marTop w:val="0"/>
      <w:marBottom w:val="0"/>
      <w:divBdr>
        <w:top w:val="none" w:sz="0" w:space="0" w:color="auto"/>
        <w:left w:val="none" w:sz="0" w:space="0" w:color="auto"/>
        <w:bottom w:val="none" w:sz="0" w:space="0" w:color="auto"/>
        <w:right w:val="none" w:sz="0" w:space="0" w:color="auto"/>
      </w:divBdr>
    </w:div>
    <w:div w:id="1055860775">
      <w:bodyDiv w:val="1"/>
      <w:marLeft w:val="0"/>
      <w:marRight w:val="0"/>
      <w:marTop w:val="0"/>
      <w:marBottom w:val="0"/>
      <w:divBdr>
        <w:top w:val="none" w:sz="0" w:space="0" w:color="auto"/>
        <w:left w:val="none" w:sz="0" w:space="0" w:color="auto"/>
        <w:bottom w:val="none" w:sz="0" w:space="0" w:color="auto"/>
        <w:right w:val="none" w:sz="0" w:space="0" w:color="auto"/>
      </w:divBdr>
    </w:div>
    <w:div w:id="1069964776">
      <w:bodyDiv w:val="1"/>
      <w:marLeft w:val="0"/>
      <w:marRight w:val="0"/>
      <w:marTop w:val="0"/>
      <w:marBottom w:val="0"/>
      <w:divBdr>
        <w:top w:val="none" w:sz="0" w:space="0" w:color="auto"/>
        <w:left w:val="none" w:sz="0" w:space="0" w:color="auto"/>
        <w:bottom w:val="none" w:sz="0" w:space="0" w:color="auto"/>
        <w:right w:val="none" w:sz="0" w:space="0" w:color="auto"/>
      </w:divBdr>
    </w:div>
    <w:div w:id="1073503132">
      <w:bodyDiv w:val="1"/>
      <w:marLeft w:val="0"/>
      <w:marRight w:val="0"/>
      <w:marTop w:val="0"/>
      <w:marBottom w:val="0"/>
      <w:divBdr>
        <w:top w:val="none" w:sz="0" w:space="0" w:color="auto"/>
        <w:left w:val="none" w:sz="0" w:space="0" w:color="auto"/>
        <w:bottom w:val="none" w:sz="0" w:space="0" w:color="auto"/>
        <w:right w:val="none" w:sz="0" w:space="0" w:color="auto"/>
      </w:divBdr>
    </w:div>
    <w:div w:id="1116632781">
      <w:bodyDiv w:val="1"/>
      <w:marLeft w:val="0"/>
      <w:marRight w:val="0"/>
      <w:marTop w:val="0"/>
      <w:marBottom w:val="0"/>
      <w:divBdr>
        <w:top w:val="none" w:sz="0" w:space="0" w:color="auto"/>
        <w:left w:val="none" w:sz="0" w:space="0" w:color="auto"/>
        <w:bottom w:val="none" w:sz="0" w:space="0" w:color="auto"/>
        <w:right w:val="none" w:sz="0" w:space="0" w:color="auto"/>
      </w:divBdr>
    </w:div>
    <w:div w:id="1121146055">
      <w:bodyDiv w:val="1"/>
      <w:marLeft w:val="0"/>
      <w:marRight w:val="0"/>
      <w:marTop w:val="0"/>
      <w:marBottom w:val="0"/>
      <w:divBdr>
        <w:top w:val="none" w:sz="0" w:space="0" w:color="auto"/>
        <w:left w:val="none" w:sz="0" w:space="0" w:color="auto"/>
        <w:bottom w:val="none" w:sz="0" w:space="0" w:color="auto"/>
        <w:right w:val="none" w:sz="0" w:space="0" w:color="auto"/>
      </w:divBdr>
    </w:div>
    <w:div w:id="1133981128">
      <w:bodyDiv w:val="1"/>
      <w:marLeft w:val="0"/>
      <w:marRight w:val="0"/>
      <w:marTop w:val="0"/>
      <w:marBottom w:val="0"/>
      <w:divBdr>
        <w:top w:val="none" w:sz="0" w:space="0" w:color="auto"/>
        <w:left w:val="none" w:sz="0" w:space="0" w:color="auto"/>
        <w:bottom w:val="none" w:sz="0" w:space="0" w:color="auto"/>
        <w:right w:val="none" w:sz="0" w:space="0" w:color="auto"/>
      </w:divBdr>
    </w:div>
    <w:div w:id="1148715674">
      <w:bodyDiv w:val="1"/>
      <w:marLeft w:val="0"/>
      <w:marRight w:val="0"/>
      <w:marTop w:val="0"/>
      <w:marBottom w:val="0"/>
      <w:divBdr>
        <w:top w:val="none" w:sz="0" w:space="0" w:color="auto"/>
        <w:left w:val="none" w:sz="0" w:space="0" w:color="auto"/>
        <w:bottom w:val="none" w:sz="0" w:space="0" w:color="auto"/>
        <w:right w:val="none" w:sz="0" w:space="0" w:color="auto"/>
      </w:divBdr>
    </w:div>
    <w:div w:id="1176724842">
      <w:bodyDiv w:val="1"/>
      <w:marLeft w:val="0"/>
      <w:marRight w:val="0"/>
      <w:marTop w:val="0"/>
      <w:marBottom w:val="0"/>
      <w:divBdr>
        <w:top w:val="none" w:sz="0" w:space="0" w:color="auto"/>
        <w:left w:val="none" w:sz="0" w:space="0" w:color="auto"/>
        <w:bottom w:val="none" w:sz="0" w:space="0" w:color="auto"/>
        <w:right w:val="none" w:sz="0" w:space="0" w:color="auto"/>
      </w:divBdr>
    </w:div>
    <w:div w:id="1178235273">
      <w:bodyDiv w:val="1"/>
      <w:marLeft w:val="0"/>
      <w:marRight w:val="0"/>
      <w:marTop w:val="0"/>
      <w:marBottom w:val="0"/>
      <w:divBdr>
        <w:top w:val="none" w:sz="0" w:space="0" w:color="auto"/>
        <w:left w:val="none" w:sz="0" w:space="0" w:color="auto"/>
        <w:bottom w:val="none" w:sz="0" w:space="0" w:color="auto"/>
        <w:right w:val="none" w:sz="0" w:space="0" w:color="auto"/>
      </w:divBdr>
    </w:div>
    <w:div w:id="1205168274">
      <w:bodyDiv w:val="1"/>
      <w:marLeft w:val="0"/>
      <w:marRight w:val="0"/>
      <w:marTop w:val="0"/>
      <w:marBottom w:val="0"/>
      <w:divBdr>
        <w:top w:val="none" w:sz="0" w:space="0" w:color="auto"/>
        <w:left w:val="none" w:sz="0" w:space="0" w:color="auto"/>
        <w:bottom w:val="none" w:sz="0" w:space="0" w:color="auto"/>
        <w:right w:val="none" w:sz="0" w:space="0" w:color="auto"/>
      </w:divBdr>
      <w:divsChild>
        <w:div w:id="249629881">
          <w:marLeft w:val="0"/>
          <w:marRight w:val="0"/>
          <w:marTop w:val="0"/>
          <w:marBottom w:val="0"/>
          <w:divBdr>
            <w:top w:val="none" w:sz="0" w:space="0" w:color="auto"/>
            <w:left w:val="none" w:sz="0" w:space="0" w:color="auto"/>
            <w:bottom w:val="none" w:sz="0" w:space="0" w:color="auto"/>
            <w:right w:val="none" w:sz="0" w:space="0" w:color="auto"/>
          </w:divBdr>
        </w:div>
        <w:div w:id="287593800">
          <w:marLeft w:val="0"/>
          <w:marRight w:val="0"/>
          <w:marTop w:val="0"/>
          <w:marBottom w:val="0"/>
          <w:divBdr>
            <w:top w:val="none" w:sz="0" w:space="0" w:color="auto"/>
            <w:left w:val="none" w:sz="0" w:space="0" w:color="auto"/>
            <w:bottom w:val="none" w:sz="0" w:space="0" w:color="auto"/>
            <w:right w:val="none" w:sz="0" w:space="0" w:color="auto"/>
          </w:divBdr>
        </w:div>
        <w:div w:id="1313022347">
          <w:marLeft w:val="0"/>
          <w:marRight w:val="0"/>
          <w:marTop w:val="0"/>
          <w:marBottom w:val="0"/>
          <w:divBdr>
            <w:top w:val="none" w:sz="0" w:space="0" w:color="auto"/>
            <w:left w:val="none" w:sz="0" w:space="0" w:color="auto"/>
            <w:bottom w:val="none" w:sz="0" w:space="0" w:color="auto"/>
            <w:right w:val="none" w:sz="0" w:space="0" w:color="auto"/>
          </w:divBdr>
        </w:div>
        <w:div w:id="1330015429">
          <w:marLeft w:val="0"/>
          <w:marRight w:val="0"/>
          <w:marTop w:val="0"/>
          <w:marBottom w:val="0"/>
          <w:divBdr>
            <w:top w:val="none" w:sz="0" w:space="0" w:color="auto"/>
            <w:left w:val="none" w:sz="0" w:space="0" w:color="auto"/>
            <w:bottom w:val="none" w:sz="0" w:space="0" w:color="auto"/>
            <w:right w:val="none" w:sz="0" w:space="0" w:color="auto"/>
          </w:divBdr>
        </w:div>
        <w:div w:id="1672444478">
          <w:marLeft w:val="0"/>
          <w:marRight w:val="0"/>
          <w:marTop w:val="0"/>
          <w:marBottom w:val="0"/>
          <w:divBdr>
            <w:top w:val="none" w:sz="0" w:space="0" w:color="auto"/>
            <w:left w:val="none" w:sz="0" w:space="0" w:color="auto"/>
            <w:bottom w:val="none" w:sz="0" w:space="0" w:color="auto"/>
            <w:right w:val="none" w:sz="0" w:space="0" w:color="auto"/>
          </w:divBdr>
        </w:div>
        <w:div w:id="1801192058">
          <w:marLeft w:val="0"/>
          <w:marRight w:val="0"/>
          <w:marTop w:val="0"/>
          <w:marBottom w:val="0"/>
          <w:divBdr>
            <w:top w:val="none" w:sz="0" w:space="0" w:color="auto"/>
            <w:left w:val="none" w:sz="0" w:space="0" w:color="auto"/>
            <w:bottom w:val="none" w:sz="0" w:space="0" w:color="auto"/>
            <w:right w:val="none" w:sz="0" w:space="0" w:color="auto"/>
          </w:divBdr>
        </w:div>
        <w:div w:id="1855993389">
          <w:marLeft w:val="0"/>
          <w:marRight w:val="0"/>
          <w:marTop w:val="0"/>
          <w:marBottom w:val="0"/>
          <w:divBdr>
            <w:top w:val="none" w:sz="0" w:space="0" w:color="auto"/>
            <w:left w:val="none" w:sz="0" w:space="0" w:color="auto"/>
            <w:bottom w:val="none" w:sz="0" w:space="0" w:color="auto"/>
            <w:right w:val="none" w:sz="0" w:space="0" w:color="auto"/>
          </w:divBdr>
        </w:div>
        <w:div w:id="1887637314">
          <w:marLeft w:val="0"/>
          <w:marRight w:val="0"/>
          <w:marTop w:val="0"/>
          <w:marBottom w:val="0"/>
          <w:divBdr>
            <w:top w:val="none" w:sz="0" w:space="0" w:color="auto"/>
            <w:left w:val="none" w:sz="0" w:space="0" w:color="auto"/>
            <w:bottom w:val="none" w:sz="0" w:space="0" w:color="auto"/>
            <w:right w:val="none" w:sz="0" w:space="0" w:color="auto"/>
          </w:divBdr>
        </w:div>
        <w:div w:id="2016107568">
          <w:marLeft w:val="0"/>
          <w:marRight w:val="0"/>
          <w:marTop w:val="0"/>
          <w:marBottom w:val="0"/>
          <w:divBdr>
            <w:top w:val="none" w:sz="0" w:space="0" w:color="auto"/>
            <w:left w:val="none" w:sz="0" w:space="0" w:color="auto"/>
            <w:bottom w:val="none" w:sz="0" w:space="0" w:color="auto"/>
            <w:right w:val="none" w:sz="0" w:space="0" w:color="auto"/>
          </w:divBdr>
        </w:div>
      </w:divsChild>
    </w:div>
    <w:div w:id="1212570431">
      <w:bodyDiv w:val="1"/>
      <w:marLeft w:val="0"/>
      <w:marRight w:val="0"/>
      <w:marTop w:val="0"/>
      <w:marBottom w:val="0"/>
      <w:divBdr>
        <w:top w:val="none" w:sz="0" w:space="0" w:color="auto"/>
        <w:left w:val="none" w:sz="0" w:space="0" w:color="auto"/>
        <w:bottom w:val="none" w:sz="0" w:space="0" w:color="auto"/>
        <w:right w:val="none" w:sz="0" w:space="0" w:color="auto"/>
      </w:divBdr>
    </w:div>
    <w:div w:id="1223565155">
      <w:bodyDiv w:val="1"/>
      <w:marLeft w:val="0"/>
      <w:marRight w:val="0"/>
      <w:marTop w:val="0"/>
      <w:marBottom w:val="0"/>
      <w:divBdr>
        <w:top w:val="none" w:sz="0" w:space="0" w:color="auto"/>
        <w:left w:val="none" w:sz="0" w:space="0" w:color="auto"/>
        <w:bottom w:val="none" w:sz="0" w:space="0" w:color="auto"/>
        <w:right w:val="none" w:sz="0" w:space="0" w:color="auto"/>
      </w:divBdr>
    </w:div>
    <w:div w:id="1238858871">
      <w:bodyDiv w:val="1"/>
      <w:marLeft w:val="0"/>
      <w:marRight w:val="0"/>
      <w:marTop w:val="0"/>
      <w:marBottom w:val="0"/>
      <w:divBdr>
        <w:top w:val="none" w:sz="0" w:space="0" w:color="auto"/>
        <w:left w:val="none" w:sz="0" w:space="0" w:color="auto"/>
        <w:bottom w:val="none" w:sz="0" w:space="0" w:color="auto"/>
        <w:right w:val="none" w:sz="0" w:space="0" w:color="auto"/>
      </w:divBdr>
    </w:div>
    <w:div w:id="1253054001">
      <w:bodyDiv w:val="1"/>
      <w:marLeft w:val="0"/>
      <w:marRight w:val="0"/>
      <w:marTop w:val="0"/>
      <w:marBottom w:val="0"/>
      <w:divBdr>
        <w:top w:val="none" w:sz="0" w:space="0" w:color="auto"/>
        <w:left w:val="none" w:sz="0" w:space="0" w:color="auto"/>
        <w:bottom w:val="none" w:sz="0" w:space="0" w:color="auto"/>
        <w:right w:val="none" w:sz="0" w:space="0" w:color="auto"/>
      </w:divBdr>
      <w:divsChild>
        <w:div w:id="133724294">
          <w:marLeft w:val="0"/>
          <w:marRight w:val="0"/>
          <w:marTop w:val="0"/>
          <w:marBottom w:val="0"/>
          <w:divBdr>
            <w:top w:val="none" w:sz="0" w:space="0" w:color="auto"/>
            <w:left w:val="none" w:sz="0" w:space="0" w:color="auto"/>
            <w:bottom w:val="none" w:sz="0" w:space="0" w:color="auto"/>
            <w:right w:val="none" w:sz="0" w:space="0" w:color="auto"/>
          </w:divBdr>
        </w:div>
      </w:divsChild>
    </w:div>
    <w:div w:id="1273395166">
      <w:bodyDiv w:val="1"/>
      <w:marLeft w:val="0"/>
      <w:marRight w:val="0"/>
      <w:marTop w:val="0"/>
      <w:marBottom w:val="0"/>
      <w:divBdr>
        <w:top w:val="none" w:sz="0" w:space="0" w:color="auto"/>
        <w:left w:val="none" w:sz="0" w:space="0" w:color="auto"/>
        <w:bottom w:val="none" w:sz="0" w:space="0" w:color="auto"/>
        <w:right w:val="none" w:sz="0" w:space="0" w:color="auto"/>
      </w:divBdr>
    </w:div>
    <w:div w:id="1274941871">
      <w:bodyDiv w:val="1"/>
      <w:marLeft w:val="0"/>
      <w:marRight w:val="0"/>
      <w:marTop w:val="0"/>
      <w:marBottom w:val="0"/>
      <w:divBdr>
        <w:top w:val="none" w:sz="0" w:space="0" w:color="auto"/>
        <w:left w:val="none" w:sz="0" w:space="0" w:color="auto"/>
        <w:bottom w:val="none" w:sz="0" w:space="0" w:color="auto"/>
        <w:right w:val="none" w:sz="0" w:space="0" w:color="auto"/>
      </w:divBdr>
    </w:div>
    <w:div w:id="1321233716">
      <w:bodyDiv w:val="1"/>
      <w:marLeft w:val="0"/>
      <w:marRight w:val="0"/>
      <w:marTop w:val="0"/>
      <w:marBottom w:val="0"/>
      <w:divBdr>
        <w:top w:val="none" w:sz="0" w:space="0" w:color="auto"/>
        <w:left w:val="none" w:sz="0" w:space="0" w:color="auto"/>
        <w:bottom w:val="none" w:sz="0" w:space="0" w:color="auto"/>
        <w:right w:val="none" w:sz="0" w:space="0" w:color="auto"/>
      </w:divBdr>
    </w:div>
    <w:div w:id="1321345175">
      <w:bodyDiv w:val="1"/>
      <w:marLeft w:val="0"/>
      <w:marRight w:val="0"/>
      <w:marTop w:val="0"/>
      <w:marBottom w:val="0"/>
      <w:divBdr>
        <w:top w:val="none" w:sz="0" w:space="0" w:color="auto"/>
        <w:left w:val="none" w:sz="0" w:space="0" w:color="auto"/>
        <w:bottom w:val="none" w:sz="0" w:space="0" w:color="auto"/>
        <w:right w:val="none" w:sz="0" w:space="0" w:color="auto"/>
      </w:divBdr>
    </w:div>
    <w:div w:id="1322003968">
      <w:bodyDiv w:val="1"/>
      <w:marLeft w:val="0"/>
      <w:marRight w:val="0"/>
      <w:marTop w:val="0"/>
      <w:marBottom w:val="0"/>
      <w:divBdr>
        <w:top w:val="none" w:sz="0" w:space="0" w:color="auto"/>
        <w:left w:val="none" w:sz="0" w:space="0" w:color="auto"/>
        <w:bottom w:val="none" w:sz="0" w:space="0" w:color="auto"/>
        <w:right w:val="none" w:sz="0" w:space="0" w:color="auto"/>
      </w:divBdr>
    </w:div>
    <w:div w:id="1335768467">
      <w:bodyDiv w:val="1"/>
      <w:marLeft w:val="0"/>
      <w:marRight w:val="0"/>
      <w:marTop w:val="0"/>
      <w:marBottom w:val="0"/>
      <w:divBdr>
        <w:top w:val="none" w:sz="0" w:space="0" w:color="auto"/>
        <w:left w:val="none" w:sz="0" w:space="0" w:color="auto"/>
        <w:bottom w:val="none" w:sz="0" w:space="0" w:color="auto"/>
        <w:right w:val="none" w:sz="0" w:space="0" w:color="auto"/>
      </w:divBdr>
    </w:div>
    <w:div w:id="1367021334">
      <w:bodyDiv w:val="1"/>
      <w:marLeft w:val="0"/>
      <w:marRight w:val="0"/>
      <w:marTop w:val="0"/>
      <w:marBottom w:val="0"/>
      <w:divBdr>
        <w:top w:val="none" w:sz="0" w:space="0" w:color="auto"/>
        <w:left w:val="none" w:sz="0" w:space="0" w:color="auto"/>
        <w:bottom w:val="none" w:sz="0" w:space="0" w:color="auto"/>
        <w:right w:val="none" w:sz="0" w:space="0" w:color="auto"/>
      </w:divBdr>
    </w:div>
    <w:div w:id="1376345251">
      <w:bodyDiv w:val="1"/>
      <w:marLeft w:val="0"/>
      <w:marRight w:val="0"/>
      <w:marTop w:val="0"/>
      <w:marBottom w:val="0"/>
      <w:divBdr>
        <w:top w:val="none" w:sz="0" w:space="0" w:color="auto"/>
        <w:left w:val="none" w:sz="0" w:space="0" w:color="auto"/>
        <w:bottom w:val="none" w:sz="0" w:space="0" w:color="auto"/>
        <w:right w:val="none" w:sz="0" w:space="0" w:color="auto"/>
      </w:divBdr>
    </w:div>
    <w:div w:id="1383942623">
      <w:bodyDiv w:val="1"/>
      <w:marLeft w:val="0"/>
      <w:marRight w:val="0"/>
      <w:marTop w:val="0"/>
      <w:marBottom w:val="0"/>
      <w:divBdr>
        <w:top w:val="none" w:sz="0" w:space="0" w:color="auto"/>
        <w:left w:val="none" w:sz="0" w:space="0" w:color="auto"/>
        <w:bottom w:val="none" w:sz="0" w:space="0" w:color="auto"/>
        <w:right w:val="none" w:sz="0" w:space="0" w:color="auto"/>
      </w:divBdr>
    </w:div>
    <w:div w:id="1416707832">
      <w:bodyDiv w:val="1"/>
      <w:marLeft w:val="0"/>
      <w:marRight w:val="0"/>
      <w:marTop w:val="0"/>
      <w:marBottom w:val="0"/>
      <w:divBdr>
        <w:top w:val="none" w:sz="0" w:space="0" w:color="auto"/>
        <w:left w:val="none" w:sz="0" w:space="0" w:color="auto"/>
        <w:bottom w:val="none" w:sz="0" w:space="0" w:color="auto"/>
        <w:right w:val="none" w:sz="0" w:space="0" w:color="auto"/>
      </w:divBdr>
    </w:div>
    <w:div w:id="1417559635">
      <w:bodyDiv w:val="1"/>
      <w:marLeft w:val="0"/>
      <w:marRight w:val="0"/>
      <w:marTop w:val="0"/>
      <w:marBottom w:val="0"/>
      <w:divBdr>
        <w:top w:val="none" w:sz="0" w:space="0" w:color="auto"/>
        <w:left w:val="none" w:sz="0" w:space="0" w:color="auto"/>
        <w:bottom w:val="none" w:sz="0" w:space="0" w:color="auto"/>
        <w:right w:val="none" w:sz="0" w:space="0" w:color="auto"/>
      </w:divBdr>
    </w:div>
    <w:div w:id="1436903564">
      <w:bodyDiv w:val="1"/>
      <w:marLeft w:val="0"/>
      <w:marRight w:val="0"/>
      <w:marTop w:val="0"/>
      <w:marBottom w:val="0"/>
      <w:divBdr>
        <w:top w:val="none" w:sz="0" w:space="0" w:color="auto"/>
        <w:left w:val="none" w:sz="0" w:space="0" w:color="auto"/>
        <w:bottom w:val="none" w:sz="0" w:space="0" w:color="auto"/>
        <w:right w:val="none" w:sz="0" w:space="0" w:color="auto"/>
      </w:divBdr>
    </w:div>
    <w:div w:id="1437092154">
      <w:bodyDiv w:val="1"/>
      <w:marLeft w:val="0"/>
      <w:marRight w:val="0"/>
      <w:marTop w:val="0"/>
      <w:marBottom w:val="0"/>
      <w:divBdr>
        <w:top w:val="none" w:sz="0" w:space="0" w:color="auto"/>
        <w:left w:val="none" w:sz="0" w:space="0" w:color="auto"/>
        <w:bottom w:val="none" w:sz="0" w:space="0" w:color="auto"/>
        <w:right w:val="none" w:sz="0" w:space="0" w:color="auto"/>
      </w:divBdr>
    </w:div>
    <w:div w:id="1440371227">
      <w:bodyDiv w:val="1"/>
      <w:marLeft w:val="0"/>
      <w:marRight w:val="0"/>
      <w:marTop w:val="0"/>
      <w:marBottom w:val="0"/>
      <w:divBdr>
        <w:top w:val="none" w:sz="0" w:space="0" w:color="auto"/>
        <w:left w:val="none" w:sz="0" w:space="0" w:color="auto"/>
        <w:bottom w:val="none" w:sz="0" w:space="0" w:color="auto"/>
        <w:right w:val="none" w:sz="0" w:space="0" w:color="auto"/>
      </w:divBdr>
    </w:div>
    <w:div w:id="1446536398">
      <w:bodyDiv w:val="1"/>
      <w:marLeft w:val="0"/>
      <w:marRight w:val="0"/>
      <w:marTop w:val="0"/>
      <w:marBottom w:val="0"/>
      <w:divBdr>
        <w:top w:val="none" w:sz="0" w:space="0" w:color="auto"/>
        <w:left w:val="none" w:sz="0" w:space="0" w:color="auto"/>
        <w:bottom w:val="none" w:sz="0" w:space="0" w:color="auto"/>
        <w:right w:val="none" w:sz="0" w:space="0" w:color="auto"/>
      </w:divBdr>
    </w:div>
    <w:div w:id="1477725248">
      <w:bodyDiv w:val="1"/>
      <w:marLeft w:val="0"/>
      <w:marRight w:val="0"/>
      <w:marTop w:val="0"/>
      <w:marBottom w:val="0"/>
      <w:divBdr>
        <w:top w:val="none" w:sz="0" w:space="0" w:color="auto"/>
        <w:left w:val="none" w:sz="0" w:space="0" w:color="auto"/>
        <w:bottom w:val="none" w:sz="0" w:space="0" w:color="auto"/>
        <w:right w:val="none" w:sz="0" w:space="0" w:color="auto"/>
      </w:divBdr>
      <w:divsChild>
        <w:div w:id="2145730650">
          <w:marLeft w:val="0"/>
          <w:marRight w:val="0"/>
          <w:marTop w:val="0"/>
          <w:marBottom w:val="0"/>
          <w:divBdr>
            <w:top w:val="none" w:sz="0" w:space="0" w:color="auto"/>
            <w:left w:val="none" w:sz="0" w:space="0" w:color="auto"/>
            <w:bottom w:val="none" w:sz="0" w:space="0" w:color="auto"/>
            <w:right w:val="none" w:sz="0" w:space="0" w:color="auto"/>
          </w:divBdr>
        </w:div>
      </w:divsChild>
    </w:div>
    <w:div w:id="1491630146">
      <w:bodyDiv w:val="1"/>
      <w:marLeft w:val="0"/>
      <w:marRight w:val="0"/>
      <w:marTop w:val="0"/>
      <w:marBottom w:val="0"/>
      <w:divBdr>
        <w:top w:val="none" w:sz="0" w:space="0" w:color="auto"/>
        <w:left w:val="none" w:sz="0" w:space="0" w:color="auto"/>
        <w:bottom w:val="none" w:sz="0" w:space="0" w:color="auto"/>
        <w:right w:val="none" w:sz="0" w:space="0" w:color="auto"/>
      </w:divBdr>
    </w:div>
    <w:div w:id="1504776616">
      <w:bodyDiv w:val="1"/>
      <w:marLeft w:val="0"/>
      <w:marRight w:val="0"/>
      <w:marTop w:val="0"/>
      <w:marBottom w:val="0"/>
      <w:divBdr>
        <w:top w:val="none" w:sz="0" w:space="0" w:color="auto"/>
        <w:left w:val="none" w:sz="0" w:space="0" w:color="auto"/>
        <w:bottom w:val="none" w:sz="0" w:space="0" w:color="auto"/>
        <w:right w:val="none" w:sz="0" w:space="0" w:color="auto"/>
      </w:divBdr>
    </w:div>
    <w:div w:id="1510874418">
      <w:bodyDiv w:val="1"/>
      <w:marLeft w:val="0"/>
      <w:marRight w:val="0"/>
      <w:marTop w:val="0"/>
      <w:marBottom w:val="0"/>
      <w:divBdr>
        <w:top w:val="none" w:sz="0" w:space="0" w:color="auto"/>
        <w:left w:val="none" w:sz="0" w:space="0" w:color="auto"/>
        <w:bottom w:val="none" w:sz="0" w:space="0" w:color="auto"/>
        <w:right w:val="none" w:sz="0" w:space="0" w:color="auto"/>
      </w:divBdr>
    </w:div>
    <w:div w:id="1528130600">
      <w:bodyDiv w:val="1"/>
      <w:marLeft w:val="0"/>
      <w:marRight w:val="0"/>
      <w:marTop w:val="0"/>
      <w:marBottom w:val="0"/>
      <w:divBdr>
        <w:top w:val="none" w:sz="0" w:space="0" w:color="auto"/>
        <w:left w:val="none" w:sz="0" w:space="0" w:color="auto"/>
        <w:bottom w:val="none" w:sz="0" w:space="0" w:color="auto"/>
        <w:right w:val="none" w:sz="0" w:space="0" w:color="auto"/>
      </w:divBdr>
    </w:div>
    <w:div w:id="1531213739">
      <w:bodyDiv w:val="1"/>
      <w:marLeft w:val="0"/>
      <w:marRight w:val="0"/>
      <w:marTop w:val="0"/>
      <w:marBottom w:val="0"/>
      <w:divBdr>
        <w:top w:val="none" w:sz="0" w:space="0" w:color="auto"/>
        <w:left w:val="none" w:sz="0" w:space="0" w:color="auto"/>
        <w:bottom w:val="none" w:sz="0" w:space="0" w:color="auto"/>
        <w:right w:val="none" w:sz="0" w:space="0" w:color="auto"/>
      </w:divBdr>
    </w:div>
    <w:div w:id="1538618035">
      <w:bodyDiv w:val="1"/>
      <w:marLeft w:val="0"/>
      <w:marRight w:val="0"/>
      <w:marTop w:val="0"/>
      <w:marBottom w:val="0"/>
      <w:divBdr>
        <w:top w:val="none" w:sz="0" w:space="0" w:color="auto"/>
        <w:left w:val="none" w:sz="0" w:space="0" w:color="auto"/>
        <w:bottom w:val="none" w:sz="0" w:space="0" w:color="auto"/>
        <w:right w:val="none" w:sz="0" w:space="0" w:color="auto"/>
      </w:divBdr>
    </w:div>
    <w:div w:id="1544368069">
      <w:bodyDiv w:val="1"/>
      <w:marLeft w:val="0"/>
      <w:marRight w:val="0"/>
      <w:marTop w:val="0"/>
      <w:marBottom w:val="0"/>
      <w:divBdr>
        <w:top w:val="none" w:sz="0" w:space="0" w:color="auto"/>
        <w:left w:val="none" w:sz="0" w:space="0" w:color="auto"/>
        <w:bottom w:val="none" w:sz="0" w:space="0" w:color="auto"/>
        <w:right w:val="none" w:sz="0" w:space="0" w:color="auto"/>
      </w:divBdr>
    </w:div>
    <w:div w:id="1546215695">
      <w:bodyDiv w:val="1"/>
      <w:marLeft w:val="0"/>
      <w:marRight w:val="0"/>
      <w:marTop w:val="0"/>
      <w:marBottom w:val="0"/>
      <w:divBdr>
        <w:top w:val="none" w:sz="0" w:space="0" w:color="auto"/>
        <w:left w:val="none" w:sz="0" w:space="0" w:color="auto"/>
        <w:bottom w:val="none" w:sz="0" w:space="0" w:color="auto"/>
        <w:right w:val="none" w:sz="0" w:space="0" w:color="auto"/>
      </w:divBdr>
    </w:div>
    <w:div w:id="1551989349">
      <w:bodyDiv w:val="1"/>
      <w:marLeft w:val="0"/>
      <w:marRight w:val="0"/>
      <w:marTop w:val="0"/>
      <w:marBottom w:val="0"/>
      <w:divBdr>
        <w:top w:val="none" w:sz="0" w:space="0" w:color="auto"/>
        <w:left w:val="none" w:sz="0" w:space="0" w:color="auto"/>
        <w:bottom w:val="none" w:sz="0" w:space="0" w:color="auto"/>
        <w:right w:val="none" w:sz="0" w:space="0" w:color="auto"/>
      </w:divBdr>
    </w:div>
    <w:div w:id="1560556271">
      <w:bodyDiv w:val="1"/>
      <w:marLeft w:val="0"/>
      <w:marRight w:val="0"/>
      <w:marTop w:val="0"/>
      <w:marBottom w:val="0"/>
      <w:divBdr>
        <w:top w:val="none" w:sz="0" w:space="0" w:color="auto"/>
        <w:left w:val="none" w:sz="0" w:space="0" w:color="auto"/>
        <w:bottom w:val="none" w:sz="0" w:space="0" w:color="auto"/>
        <w:right w:val="none" w:sz="0" w:space="0" w:color="auto"/>
      </w:divBdr>
    </w:div>
    <w:div w:id="1566452636">
      <w:bodyDiv w:val="1"/>
      <w:marLeft w:val="0"/>
      <w:marRight w:val="0"/>
      <w:marTop w:val="0"/>
      <w:marBottom w:val="0"/>
      <w:divBdr>
        <w:top w:val="none" w:sz="0" w:space="0" w:color="auto"/>
        <w:left w:val="none" w:sz="0" w:space="0" w:color="auto"/>
        <w:bottom w:val="none" w:sz="0" w:space="0" w:color="auto"/>
        <w:right w:val="none" w:sz="0" w:space="0" w:color="auto"/>
      </w:divBdr>
    </w:div>
    <w:div w:id="1566993395">
      <w:bodyDiv w:val="1"/>
      <w:marLeft w:val="0"/>
      <w:marRight w:val="0"/>
      <w:marTop w:val="0"/>
      <w:marBottom w:val="0"/>
      <w:divBdr>
        <w:top w:val="none" w:sz="0" w:space="0" w:color="auto"/>
        <w:left w:val="none" w:sz="0" w:space="0" w:color="auto"/>
        <w:bottom w:val="none" w:sz="0" w:space="0" w:color="auto"/>
        <w:right w:val="none" w:sz="0" w:space="0" w:color="auto"/>
      </w:divBdr>
    </w:div>
    <w:div w:id="1576626244">
      <w:bodyDiv w:val="1"/>
      <w:marLeft w:val="0"/>
      <w:marRight w:val="0"/>
      <w:marTop w:val="0"/>
      <w:marBottom w:val="0"/>
      <w:divBdr>
        <w:top w:val="none" w:sz="0" w:space="0" w:color="auto"/>
        <w:left w:val="none" w:sz="0" w:space="0" w:color="auto"/>
        <w:bottom w:val="none" w:sz="0" w:space="0" w:color="auto"/>
        <w:right w:val="none" w:sz="0" w:space="0" w:color="auto"/>
      </w:divBdr>
    </w:div>
    <w:div w:id="1582333386">
      <w:bodyDiv w:val="1"/>
      <w:marLeft w:val="0"/>
      <w:marRight w:val="0"/>
      <w:marTop w:val="0"/>
      <w:marBottom w:val="0"/>
      <w:divBdr>
        <w:top w:val="none" w:sz="0" w:space="0" w:color="auto"/>
        <w:left w:val="none" w:sz="0" w:space="0" w:color="auto"/>
        <w:bottom w:val="none" w:sz="0" w:space="0" w:color="auto"/>
        <w:right w:val="none" w:sz="0" w:space="0" w:color="auto"/>
      </w:divBdr>
    </w:div>
    <w:div w:id="1597640160">
      <w:bodyDiv w:val="1"/>
      <w:marLeft w:val="0"/>
      <w:marRight w:val="0"/>
      <w:marTop w:val="0"/>
      <w:marBottom w:val="0"/>
      <w:divBdr>
        <w:top w:val="none" w:sz="0" w:space="0" w:color="auto"/>
        <w:left w:val="none" w:sz="0" w:space="0" w:color="auto"/>
        <w:bottom w:val="none" w:sz="0" w:space="0" w:color="auto"/>
        <w:right w:val="none" w:sz="0" w:space="0" w:color="auto"/>
      </w:divBdr>
    </w:div>
    <w:div w:id="1601185460">
      <w:bodyDiv w:val="1"/>
      <w:marLeft w:val="0"/>
      <w:marRight w:val="0"/>
      <w:marTop w:val="0"/>
      <w:marBottom w:val="0"/>
      <w:divBdr>
        <w:top w:val="none" w:sz="0" w:space="0" w:color="auto"/>
        <w:left w:val="none" w:sz="0" w:space="0" w:color="auto"/>
        <w:bottom w:val="none" w:sz="0" w:space="0" w:color="auto"/>
        <w:right w:val="none" w:sz="0" w:space="0" w:color="auto"/>
      </w:divBdr>
    </w:div>
    <w:div w:id="1602420927">
      <w:bodyDiv w:val="1"/>
      <w:marLeft w:val="0"/>
      <w:marRight w:val="0"/>
      <w:marTop w:val="0"/>
      <w:marBottom w:val="0"/>
      <w:divBdr>
        <w:top w:val="none" w:sz="0" w:space="0" w:color="auto"/>
        <w:left w:val="none" w:sz="0" w:space="0" w:color="auto"/>
        <w:bottom w:val="none" w:sz="0" w:space="0" w:color="auto"/>
        <w:right w:val="none" w:sz="0" w:space="0" w:color="auto"/>
      </w:divBdr>
    </w:div>
    <w:div w:id="1608077962">
      <w:bodyDiv w:val="1"/>
      <w:marLeft w:val="0"/>
      <w:marRight w:val="0"/>
      <w:marTop w:val="0"/>
      <w:marBottom w:val="0"/>
      <w:divBdr>
        <w:top w:val="none" w:sz="0" w:space="0" w:color="auto"/>
        <w:left w:val="none" w:sz="0" w:space="0" w:color="auto"/>
        <w:bottom w:val="none" w:sz="0" w:space="0" w:color="auto"/>
        <w:right w:val="none" w:sz="0" w:space="0" w:color="auto"/>
      </w:divBdr>
    </w:div>
    <w:div w:id="1617060044">
      <w:bodyDiv w:val="1"/>
      <w:marLeft w:val="0"/>
      <w:marRight w:val="0"/>
      <w:marTop w:val="0"/>
      <w:marBottom w:val="0"/>
      <w:divBdr>
        <w:top w:val="none" w:sz="0" w:space="0" w:color="auto"/>
        <w:left w:val="none" w:sz="0" w:space="0" w:color="auto"/>
        <w:bottom w:val="none" w:sz="0" w:space="0" w:color="auto"/>
        <w:right w:val="none" w:sz="0" w:space="0" w:color="auto"/>
      </w:divBdr>
    </w:div>
    <w:div w:id="1617324923">
      <w:bodyDiv w:val="1"/>
      <w:marLeft w:val="0"/>
      <w:marRight w:val="0"/>
      <w:marTop w:val="0"/>
      <w:marBottom w:val="0"/>
      <w:divBdr>
        <w:top w:val="none" w:sz="0" w:space="0" w:color="auto"/>
        <w:left w:val="none" w:sz="0" w:space="0" w:color="auto"/>
        <w:bottom w:val="none" w:sz="0" w:space="0" w:color="auto"/>
        <w:right w:val="none" w:sz="0" w:space="0" w:color="auto"/>
      </w:divBdr>
    </w:div>
    <w:div w:id="1624844161">
      <w:bodyDiv w:val="1"/>
      <w:marLeft w:val="0"/>
      <w:marRight w:val="0"/>
      <w:marTop w:val="0"/>
      <w:marBottom w:val="0"/>
      <w:divBdr>
        <w:top w:val="none" w:sz="0" w:space="0" w:color="auto"/>
        <w:left w:val="none" w:sz="0" w:space="0" w:color="auto"/>
        <w:bottom w:val="none" w:sz="0" w:space="0" w:color="auto"/>
        <w:right w:val="none" w:sz="0" w:space="0" w:color="auto"/>
      </w:divBdr>
    </w:div>
    <w:div w:id="1626694318">
      <w:bodyDiv w:val="1"/>
      <w:marLeft w:val="0"/>
      <w:marRight w:val="0"/>
      <w:marTop w:val="0"/>
      <w:marBottom w:val="0"/>
      <w:divBdr>
        <w:top w:val="none" w:sz="0" w:space="0" w:color="auto"/>
        <w:left w:val="none" w:sz="0" w:space="0" w:color="auto"/>
        <w:bottom w:val="none" w:sz="0" w:space="0" w:color="auto"/>
        <w:right w:val="none" w:sz="0" w:space="0" w:color="auto"/>
      </w:divBdr>
    </w:div>
    <w:div w:id="1630547879">
      <w:bodyDiv w:val="1"/>
      <w:marLeft w:val="0"/>
      <w:marRight w:val="0"/>
      <w:marTop w:val="0"/>
      <w:marBottom w:val="0"/>
      <w:divBdr>
        <w:top w:val="none" w:sz="0" w:space="0" w:color="auto"/>
        <w:left w:val="none" w:sz="0" w:space="0" w:color="auto"/>
        <w:bottom w:val="none" w:sz="0" w:space="0" w:color="auto"/>
        <w:right w:val="none" w:sz="0" w:space="0" w:color="auto"/>
      </w:divBdr>
    </w:div>
    <w:div w:id="1645310190">
      <w:bodyDiv w:val="1"/>
      <w:marLeft w:val="0"/>
      <w:marRight w:val="0"/>
      <w:marTop w:val="0"/>
      <w:marBottom w:val="0"/>
      <w:divBdr>
        <w:top w:val="none" w:sz="0" w:space="0" w:color="auto"/>
        <w:left w:val="none" w:sz="0" w:space="0" w:color="auto"/>
        <w:bottom w:val="none" w:sz="0" w:space="0" w:color="auto"/>
        <w:right w:val="none" w:sz="0" w:space="0" w:color="auto"/>
      </w:divBdr>
    </w:div>
    <w:div w:id="1655449263">
      <w:bodyDiv w:val="1"/>
      <w:marLeft w:val="0"/>
      <w:marRight w:val="0"/>
      <w:marTop w:val="0"/>
      <w:marBottom w:val="0"/>
      <w:divBdr>
        <w:top w:val="none" w:sz="0" w:space="0" w:color="auto"/>
        <w:left w:val="none" w:sz="0" w:space="0" w:color="auto"/>
        <w:bottom w:val="none" w:sz="0" w:space="0" w:color="auto"/>
        <w:right w:val="none" w:sz="0" w:space="0" w:color="auto"/>
      </w:divBdr>
    </w:div>
    <w:div w:id="1656951130">
      <w:bodyDiv w:val="1"/>
      <w:marLeft w:val="0"/>
      <w:marRight w:val="0"/>
      <w:marTop w:val="0"/>
      <w:marBottom w:val="0"/>
      <w:divBdr>
        <w:top w:val="none" w:sz="0" w:space="0" w:color="auto"/>
        <w:left w:val="none" w:sz="0" w:space="0" w:color="auto"/>
        <w:bottom w:val="none" w:sz="0" w:space="0" w:color="auto"/>
        <w:right w:val="none" w:sz="0" w:space="0" w:color="auto"/>
      </w:divBdr>
    </w:div>
    <w:div w:id="1658265749">
      <w:bodyDiv w:val="1"/>
      <w:marLeft w:val="0"/>
      <w:marRight w:val="0"/>
      <w:marTop w:val="0"/>
      <w:marBottom w:val="0"/>
      <w:divBdr>
        <w:top w:val="none" w:sz="0" w:space="0" w:color="auto"/>
        <w:left w:val="none" w:sz="0" w:space="0" w:color="auto"/>
        <w:bottom w:val="none" w:sz="0" w:space="0" w:color="auto"/>
        <w:right w:val="none" w:sz="0" w:space="0" w:color="auto"/>
      </w:divBdr>
    </w:div>
    <w:div w:id="1681814045">
      <w:bodyDiv w:val="1"/>
      <w:marLeft w:val="0"/>
      <w:marRight w:val="0"/>
      <w:marTop w:val="0"/>
      <w:marBottom w:val="0"/>
      <w:divBdr>
        <w:top w:val="none" w:sz="0" w:space="0" w:color="auto"/>
        <w:left w:val="none" w:sz="0" w:space="0" w:color="auto"/>
        <w:bottom w:val="none" w:sz="0" w:space="0" w:color="auto"/>
        <w:right w:val="none" w:sz="0" w:space="0" w:color="auto"/>
      </w:divBdr>
    </w:div>
    <w:div w:id="1727871118">
      <w:bodyDiv w:val="1"/>
      <w:marLeft w:val="0"/>
      <w:marRight w:val="0"/>
      <w:marTop w:val="0"/>
      <w:marBottom w:val="0"/>
      <w:divBdr>
        <w:top w:val="none" w:sz="0" w:space="0" w:color="auto"/>
        <w:left w:val="none" w:sz="0" w:space="0" w:color="auto"/>
        <w:bottom w:val="none" w:sz="0" w:space="0" w:color="auto"/>
        <w:right w:val="none" w:sz="0" w:space="0" w:color="auto"/>
      </w:divBdr>
    </w:div>
    <w:div w:id="1737630709">
      <w:bodyDiv w:val="1"/>
      <w:marLeft w:val="0"/>
      <w:marRight w:val="0"/>
      <w:marTop w:val="0"/>
      <w:marBottom w:val="0"/>
      <w:divBdr>
        <w:top w:val="none" w:sz="0" w:space="0" w:color="auto"/>
        <w:left w:val="none" w:sz="0" w:space="0" w:color="auto"/>
        <w:bottom w:val="none" w:sz="0" w:space="0" w:color="auto"/>
        <w:right w:val="none" w:sz="0" w:space="0" w:color="auto"/>
      </w:divBdr>
    </w:div>
    <w:div w:id="1740327367">
      <w:bodyDiv w:val="1"/>
      <w:marLeft w:val="0"/>
      <w:marRight w:val="0"/>
      <w:marTop w:val="0"/>
      <w:marBottom w:val="0"/>
      <w:divBdr>
        <w:top w:val="none" w:sz="0" w:space="0" w:color="auto"/>
        <w:left w:val="none" w:sz="0" w:space="0" w:color="auto"/>
        <w:bottom w:val="none" w:sz="0" w:space="0" w:color="auto"/>
        <w:right w:val="none" w:sz="0" w:space="0" w:color="auto"/>
      </w:divBdr>
    </w:div>
    <w:div w:id="1742553994">
      <w:bodyDiv w:val="1"/>
      <w:marLeft w:val="0"/>
      <w:marRight w:val="0"/>
      <w:marTop w:val="0"/>
      <w:marBottom w:val="0"/>
      <w:divBdr>
        <w:top w:val="none" w:sz="0" w:space="0" w:color="auto"/>
        <w:left w:val="none" w:sz="0" w:space="0" w:color="auto"/>
        <w:bottom w:val="none" w:sz="0" w:space="0" w:color="auto"/>
        <w:right w:val="none" w:sz="0" w:space="0" w:color="auto"/>
      </w:divBdr>
    </w:div>
    <w:div w:id="1748069830">
      <w:bodyDiv w:val="1"/>
      <w:marLeft w:val="0"/>
      <w:marRight w:val="0"/>
      <w:marTop w:val="0"/>
      <w:marBottom w:val="0"/>
      <w:divBdr>
        <w:top w:val="none" w:sz="0" w:space="0" w:color="auto"/>
        <w:left w:val="none" w:sz="0" w:space="0" w:color="auto"/>
        <w:bottom w:val="none" w:sz="0" w:space="0" w:color="auto"/>
        <w:right w:val="none" w:sz="0" w:space="0" w:color="auto"/>
      </w:divBdr>
    </w:div>
    <w:div w:id="1760834436">
      <w:bodyDiv w:val="1"/>
      <w:marLeft w:val="0"/>
      <w:marRight w:val="0"/>
      <w:marTop w:val="0"/>
      <w:marBottom w:val="0"/>
      <w:divBdr>
        <w:top w:val="none" w:sz="0" w:space="0" w:color="auto"/>
        <w:left w:val="none" w:sz="0" w:space="0" w:color="auto"/>
        <w:bottom w:val="none" w:sz="0" w:space="0" w:color="auto"/>
        <w:right w:val="none" w:sz="0" w:space="0" w:color="auto"/>
      </w:divBdr>
    </w:div>
    <w:div w:id="1768652420">
      <w:bodyDiv w:val="1"/>
      <w:marLeft w:val="0"/>
      <w:marRight w:val="0"/>
      <w:marTop w:val="0"/>
      <w:marBottom w:val="0"/>
      <w:divBdr>
        <w:top w:val="none" w:sz="0" w:space="0" w:color="auto"/>
        <w:left w:val="none" w:sz="0" w:space="0" w:color="auto"/>
        <w:bottom w:val="none" w:sz="0" w:space="0" w:color="auto"/>
        <w:right w:val="none" w:sz="0" w:space="0" w:color="auto"/>
      </w:divBdr>
    </w:div>
    <w:div w:id="1783256532">
      <w:bodyDiv w:val="1"/>
      <w:marLeft w:val="0"/>
      <w:marRight w:val="0"/>
      <w:marTop w:val="0"/>
      <w:marBottom w:val="0"/>
      <w:divBdr>
        <w:top w:val="none" w:sz="0" w:space="0" w:color="auto"/>
        <w:left w:val="none" w:sz="0" w:space="0" w:color="auto"/>
        <w:bottom w:val="none" w:sz="0" w:space="0" w:color="auto"/>
        <w:right w:val="none" w:sz="0" w:space="0" w:color="auto"/>
      </w:divBdr>
    </w:div>
    <w:div w:id="1789615729">
      <w:bodyDiv w:val="1"/>
      <w:marLeft w:val="0"/>
      <w:marRight w:val="0"/>
      <w:marTop w:val="0"/>
      <w:marBottom w:val="0"/>
      <w:divBdr>
        <w:top w:val="none" w:sz="0" w:space="0" w:color="auto"/>
        <w:left w:val="none" w:sz="0" w:space="0" w:color="auto"/>
        <w:bottom w:val="none" w:sz="0" w:space="0" w:color="auto"/>
        <w:right w:val="none" w:sz="0" w:space="0" w:color="auto"/>
      </w:divBdr>
    </w:div>
    <w:div w:id="1789742735">
      <w:bodyDiv w:val="1"/>
      <w:marLeft w:val="0"/>
      <w:marRight w:val="0"/>
      <w:marTop w:val="0"/>
      <w:marBottom w:val="0"/>
      <w:divBdr>
        <w:top w:val="none" w:sz="0" w:space="0" w:color="auto"/>
        <w:left w:val="none" w:sz="0" w:space="0" w:color="auto"/>
        <w:bottom w:val="none" w:sz="0" w:space="0" w:color="auto"/>
        <w:right w:val="none" w:sz="0" w:space="0" w:color="auto"/>
      </w:divBdr>
    </w:div>
    <w:div w:id="1796631416">
      <w:bodyDiv w:val="1"/>
      <w:marLeft w:val="0"/>
      <w:marRight w:val="0"/>
      <w:marTop w:val="0"/>
      <w:marBottom w:val="0"/>
      <w:divBdr>
        <w:top w:val="none" w:sz="0" w:space="0" w:color="auto"/>
        <w:left w:val="none" w:sz="0" w:space="0" w:color="auto"/>
        <w:bottom w:val="none" w:sz="0" w:space="0" w:color="auto"/>
        <w:right w:val="none" w:sz="0" w:space="0" w:color="auto"/>
      </w:divBdr>
    </w:div>
    <w:div w:id="1799253808">
      <w:bodyDiv w:val="1"/>
      <w:marLeft w:val="0"/>
      <w:marRight w:val="0"/>
      <w:marTop w:val="0"/>
      <w:marBottom w:val="0"/>
      <w:divBdr>
        <w:top w:val="none" w:sz="0" w:space="0" w:color="auto"/>
        <w:left w:val="none" w:sz="0" w:space="0" w:color="auto"/>
        <w:bottom w:val="none" w:sz="0" w:space="0" w:color="auto"/>
        <w:right w:val="none" w:sz="0" w:space="0" w:color="auto"/>
      </w:divBdr>
    </w:div>
    <w:div w:id="1799684500">
      <w:bodyDiv w:val="1"/>
      <w:marLeft w:val="0"/>
      <w:marRight w:val="0"/>
      <w:marTop w:val="0"/>
      <w:marBottom w:val="0"/>
      <w:divBdr>
        <w:top w:val="none" w:sz="0" w:space="0" w:color="auto"/>
        <w:left w:val="none" w:sz="0" w:space="0" w:color="auto"/>
        <w:bottom w:val="none" w:sz="0" w:space="0" w:color="auto"/>
        <w:right w:val="none" w:sz="0" w:space="0" w:color="auto"/>
      </w:divBdr>
    </w:div>
    <w:div w:id="1806921669">
      <w:bodyDiv w:val="1"/>
      <w:marLeft w:val="0"/>
      <w:marRight w:val="0"/>
      <w:marTop w:val="0"/>
      <w:marBottom w:val="0"/>
      <w:divBdr>
        <w:top w:val="none" w:sz="0" w:space="0" w:color="auto"/>
        <w:left w:val="none" w:sz="0" w:space="0" w:color="auto"/>
        <w:bottom w:val="none" w:sz="0" w:space="0" w:color="auto"/>
        <w:right w:val="none" w:sz="0" w:space="0" w:color="auto"/>
      </w:divBdr>
    </w:div>
    <w:div w:id="1808859251">
      <w:bodyDiv w:val="1"/>
      <w:marLeft w:val="0"/>
      <w:marRight w:val="0"/>
      <w:marTop w:val="0"/>
      <w:marBottom w:val="0"/>
      <w:divBdr>
        <w:top w:val="none" w:sz="0" w:space="0" w:color="auto"/>
        <w:left w:val="none" w:sz="0" w:space="0" w:color="auto"/>
        <w:bottom w:val="none" w:sz="0" w:space="0" w:color="auto"/>
        <w:right w:val="none" w:sz="0" w:space="0" w:color="auto"/>
      </w:divBdr>
    </w:div>
    <w:div w:id="1832594720">
      <w:bodyDiv w:val="1"/>
      <w:marLeft w:val="0"/>
      <w:marRight w:val="0"/>
      <w:marTop w:val="0"/>
      <w:marBottom w:val="0"/>
      <w:divBdr>
        <w:top w:val="none" w:sz="0" w:space="0" w:color="auto"/>
        <w:left w:val="none" w:sz="0" w:space="0" w:color="auto"/>
        <w:bottom w:val="none" w:sz="0" w:space="0" w:color="auto"/>
        <w:right w:val="none" w:sz="0" w:space="0" w:color="auto"/>
      </w:divBdr>
    </w:div>
    <w:div w:id="1837531031">
      <w:bodyDiv w:val="1"/>
      <w:marLeft w:val="0"/>
      <w:marRight w:val="0"/>
      <w:marTop w:val="0"/>
      <w:marBottom w:val="0"/>
      <w:divBdr>
        <w:top w:val="none" w:sz="0" w:space="0" w:color="auto"/>
        <w:left w:val="none" w:sz="0" w:space="0" w:color="auto"/>
        <w:bottom w:val="none" w:sz="0" w:space="0" w:color="auto"/>
        <w:right w:val="none" w:sz="0" w:space="0" w:color="auto"/>
      </w:divBdr>
    </w:div>
    <w:div w:id="1841846723">
      <w:bodyDiv w:val="1"/>
      <w:marLeft w:val="0"/>
      <w:marRight w:val="0"/>
      <w:marTop w:val="0"/>
      <w:marBottom w:val="0"/>
      <w:divBdr>
        <w:top w:val="none" w:sz="0" w:space="0" w:color="auto"/>
        <w:left w:val="none" w:sz="0" w:space="0" w:color="auto"/>
        <w:bottom w:val="none" w:sz="0" w:space="0" w:color="auto"/>
        <w:right w:val="none" w:sz="0" w:space="0" w:color="auto"/>
      </w:divBdr>
    </w:div>
    <w:div w:id="1878160758">
      <w:bodyDiv w:val="1"/>
      <w:marLeft w:val="0"/>
      <w:marRight w:val="0"/>
      <w:marTop w:val="0"/>
      <w:marBottom w:val="0"/>
      <w:divBdr>
        <w:top w:val="none" w:sz="0" w:space="0" w:color="auto"/>
        <w:left w:val="none" w:sz="0" w:space="0" w:color="auto"/>
        <w:bottom w:val="none" w:sz="0" w:space="0" w:color="auto"/>
        <w:right w:val="none" w:sz="0" w:space="0" w:color="auto"/>
      </w:divBdr>
    </w:div>
    <w:div w:id="1893299000">
      <w:bodyDiv w:val="1"/>
      <w:marLeft w:val="0"/>
      <w:marRight w:val="0"/>
      <w:marTop w:val="0"/>
      <w:marBottom w:val="0"/>
      <w:divBdr>
        <w:top w:val="none" w:sz="0" w:space="0" w:color="auto"/>
        <w:left w:val="none" w:sz="0" w:space="0" w:color="auto"/>
        <w:bottom w:val="none" w:sz="0" w:space="0" w:color="auto"/>
        <w:right w:val="none" w:sz="0" w:space="0" w:color="auto"/>
      </w:divBdr>
    </w:div>
    <w:div w:id="1897889339">
      <w:bodyDiv w:val="1"/>
      <w:marLeft w:val="0"/>
      <w:marRight w:val="0"/>
      <w:marTop w:val="0"/>
      <w:marBottom w:val="0"/>
      <w:divBdr>
        <w:top w:val="none" w:sz="0" w:space="0" w:color="auto"/>
        <w:left w:val="none" w:sz="0" w:space="0" w:color="auto"/>
        <w:bottom w:val="none" w:sz="0" w:space="0" w:color="auto"/>
        <w:right w:val="none" w:sz="0" w:space="0" w:color="auto"/>
      </w:divBdr>
    </w:div>
    <w:div w:id="1903367559">
      <w:bodyDiv w:val="1"/>
      <w:marLeft w:val="0"/>
      <w:marRight w:val="0"/>
      <w:marTop w:val="0"/>
      <w:marBottom w:val="0"/>
      <w:divBdr>
        <w:top w:val="none" w:sz="0" w:space="0" w:color="auto"/>
        <w:left w:val="none" w:sz="0" w:space="0" w:color="auto"/>
        <w:bottom w:val="none" w:sz="0" w:space="0" w:color="auto"/>
        <w:right w:val="none" w:sz="0" w:space="0" w:color="auto"/>
      </w:divBdr>
    </w:div>
    <w:div w:id="1904827061">
      <w:bodyDiv w:val="1"/>
      <w:marLeft w:val="0"/>
      <w:marRight w:val="0"/>
      <w:marTop w:val="0"/>
      <w:marBottom w:val="0"/>
      <w:divBdr>
        <w:top w:val="none" w:sz="0" w:space="0" w:color="auto"/>
        <w:left w:val="none" w:sz="0" w:space="0" w:color="auto"/>
        <w:bottom w:val="none" w:sz="0" w:space="0" w:color="auto"/>
        <w:right w:val="none" w:sz="0" w:space="0" w:color="auto"/>
      </w:divBdr>
    </w:div>
    <w:div w:id="1907766177">
      <w:bodyDiv w:val="1"/>
      <w:marLeft w:val="0"/>
      <w:marRight w:val="0"/>
      <w:marTop w:val="0"/>
      <w:marBottom w:val="0"/>
      <w:divBdr>
        <w:top w:val="none" w:sz="0" w:space="0" w:color="auto"/>
        <w:left w:val="none" w:sz="0" w:space="0" w:color="auto"/>
        <w:bottom w:val="none" w:sz="0" w:space="0" w:color="auto"/>
        <w:right w:val="none" w:sz="0" w:space="0" w:color="auto"/>
      </w:divBdr>
    </w:div>
    <w:div w:id="1915776263">
      <w:bodyDiv w:val="1"/>
      <w:marLeft w:val="0"/>
      <w:marRight w:val="0"/>
      <w:marTop w:val="0"/>
      <w:marBottom w:val="0"/>
      <w:divBdr>
        <w:top w:val="none" w:sz="0" w:space="0" w:color="auto"/>
        <w:left w:val="none" w:sz="0" w:space="0" w:color="auto"/>
        <w:bottom w:val="none" w:sz="0" w:space="0" w:color="auto"/>
        <w:right w:val="none" w:sz="0" w:space="0" w:color="auto"/>
      </w:divBdr>
      <w:divsChild>
        <w:div w:id="505746945">
          <w:marLeft w:val="0"/>
          <w:marRight w:val="0"/>
          <w:marTop w:val="0"/>
          <w:marBottom w:val="0"/>
          <w:divBdr>
            <w:top w:val="none" w:sz="0" w:space="0" w:color="auto"/>
            <w:left w:val="none" w:sz="0" w:space="0" w:color="auto"/>
            <w:bottom w:val="none" w:sz="0" w:space="0" w:color="auto"/>
            <w:right w:val="none" w:sz="0" w:space="0" w:color="auto"/>
          </w:divBdr>
        </w:div>
        <w:div w:id="875239866">
          <w:marLeft w:val="0"/>
          <w:marRight w:val="0"/>
          <w:marTop w:val="0"/>
          <w:marBottom w:val="0"/>
          <w:divBdr>
            <w:top w:val="none" w:sz="0" w:space="0" w:color="auto"/>
            <w:left w:val="none" w:sz="0" w:space="0" w:color="auto"/>
            <w:bottom w:val="none" w:sz="0" w:space="0" w:color="auto"/>
            <w:right w:val="none" w:sz="0" w:space="0" w:color="auto"/>
          </w:divBdr>
        </w:div>
        <w:div w:id="1083912937">
          <w:marLeft w:val="0"/>
          <w:marRight w:val="0"/>
          <w:marTop w:val="0"/>
          <w:marBottom w:val="0"/>
          <w:divBdr>
            <w:top w:val="none" w:sz="0" w:space="0" w:color="auto"/>
            <w:left w:val="none" w:sz="0" w:space="0" w:color="auto"/>
            <w:bottom w:val="none" w:sz="0" w:space="0" w:color="auto"/>
            <w:right w:val="none" w:sz="0" w:space="0" w:color="auto"/>
          </w:divBdr>
        </w:div>
        <w:div w:id="1267273651">
          <w:marLeft w:val="0"/>
          <w:marRight w:val="0"/>
          <w:marTop w:val="0"/>
          <w:marBottom w:val="0"/>
          <w:divBdr>
            <w:top w:val="none" w:sz="0" w:space="0" w:color="auto"/>
            <w:left w:val="none" w:sz="0" w:space="0" w:color="auto"/>
            <w:bottom w:val="none" w:sz="0" w:space="0" w:color="auto"/>
            <w:right w:val="none" w:sz="0" w:space="0" w:color="auto"/>
          </w:divBdr>
        </w:div>
        <w:div w:id="1356730959">
          <w:marLeft w:val="0"/>
          <w:marRight w:val="0"/>
          <w:marTop w:val="0"/>
          <w:marBottom w:val="0"/>
          <w:divBdr>
            <w:top w:val="none" w:sz="0" w:space="0" w:color="auto"/>
            <w:left w:val="none" w:sz="0" w:space="0" w:color="auto"/>
            <w:bottom w:val="none" w:sz="0" w:space="0" w:color="auto"/>
            <w:right w:val="none" w:sz="0" w:space="0" w:color="auto"/>
          </w:divBdr>
        </w:div>
        <w:div w:id="1419474865">
          <w:marLeft w:val="0"/>
          <w:marRight w:val="0"/>
          <w:marTop w:val="0"/>
          <w:marBottom w:val="0"/>
          <w:divBdr>
            <w:top w:val="none" w:sz="0" w:space="0" w:color="auto"/>
            <w:left w:val="none" w:sz="0" w:space="0" w:color="auto"/>
            <w:bottom w:val="none" w:sz="0" w:space="0" w:color="auto"/>
            <w:right w:val="none" w:sz="0" w:space="0" w:color="auto"/>
          </w:divBdr>
        </w:div>
        <w:div w:id="1713383957">
          <w:marLeft w:val="0"/>
          <w:marRight w:val="0"/>
          <w:marTop w:val="0"/>
          <w:marBottom w:val="0"/>
          <w:divBdr>
            <w:top w:val="none" w:sz="0" w:space="0" w:color="auto"/>
            <w:left w:val="none" w:sz="0" w:space="0" w:color="auto"/>
            <w:bottom w:val="none" w:sz="0" w:space="0" w:color="auto"/>
            <w:right w:val="none" w:sz="0" w:space="0" w:color="auto"/>
          </w:divBdr>
        </w:div>
        <w:div w:id="1947032985">
          <w:marLeft w:val="0"/>
          <w:marRight w:val="0"/>
          <w:marTop w:val="0"/>
          <w:marBottom w:val="0"/>
          <w:divBdr>
            <w:top w:val="none" w:sz="0" w:space="0" w:color="auto"/>
            <w:left w:val="none" w:sz="0" w:space="0" w:color="auto"/>
            <w:bottom w:val="none" w:sz="0" w:space="0" w:color="auto"/>
            <w:right w:val="none" w:sz="0" w:space="0" w:color="auto"/>
          </w:divBdr>
        </w:div>
        <w:div w:id="1991474907">
          <w:marLeft w:val="0"/>
          <w:marRight w:val="0"/>
          <w:marTop w:val="0"/>
          <w:marBottom w:val="0"/>
          <w:divBdr>
            <w:top w:val="none" w:sz="0" w:space="0" w:color="auto"/>
            <w:left w:val="none" w:sz="0" w:space="0" w:color="auto"/>
            <w:bottom w:val="none" w:sz="0" w:space="0" w:color="auto"/>
            <w:right w:val="none" w:sz="0" w:space="0" w:color="auto"/>
          </w:divBdr>
        </w:div>
      </w:divsChild>
    </w:div>
    <w:div w:id="1920484183">
      <w:bodyDiv w:val="1"/>
      <w:marLeft w:val="0"/>
      <w:marRight w:val="0"/>
      <w:marTop w:val="0"/>
      <w:marBottom w:val="0"/>
      <w:divBdr>
        <w:top w:val="none" w:sz="0" w:space="0" w:color="auto"/>
        <w:left w:val="none" w:sz="0" w:space="0" w:color="auto"/>
        <w:bottom w:val="none" w:sz="0" w:space="0" w:color="auto"/>
        <w:right w:val="none" w:sz="0" w:space="0" w:color="auto"/>
      </w:divBdr>
    </w:div>
    <w:div w:id="1924677319">
      <w:bodyDiv w:val="1"/>
      <w:marLeft w:val="0"/>
      <w:marRight w:val="0"/>
      <w:marTop w:val="0"/>
      <w:marBottom w:val="0"/>
      <w:divBdr>
        <w:top w:val="none" w:sz="0" w:space="0" w:color="auto"/>
        <w:left w:val="none" w:sz="0" w:space="0" w:color="auto"/>
        <w:bottom w:val="none" w:sz="0" w:space="0" w:color="auto"/>
        <w:right w:val="none" w:sz="0" w:space="0" w:color="auto"/>
      </w:divBdr>
    </w:div>
    <w:div w:id="1936353575">
      <w:bodyDiv w:val="1"/>
      <w:marLeft w:val="0"/>
      <w:marRight w:val="0"/>
      <w:marTop w:val="0"/>
      <w:marBottom w:val="0"/>
      <w:divBdr>
        <w:top w:val="none" w:sz="0" w:space="0" w:color="auto"/>
        <w:left w:val="none" w:sz="0" w:space="0" w:color="auto"/>
        <w:bottom w:val="none" w:sz="0" w:space="0" w:color="auto"/>
        <w:right w:val="none" w:sz="0" w:space="0" w:color="auto"/>
      </w:divBdr>
    </w:div>
    <w:div w:id="1942645136">
      <w:bodyDiv w:val="1"/>
      <w:marLeft w:val="0"/>
      <w:marRight w:val="0"/>
      <w:marTop w:val="0"/>
      <w:marBottom w:val="0"/>
      <w:divBdr>
        <w:top w:val="none" w:sz="0" w:space="0" w:color="auto"/>
        <w:left w:val="none" w:sz="0" w:space="0" w:color="auto"/>
        <w:bottom w:val="none" w:sz="0" w:space="0" w:color="auto"/>
        <w:right w:val="none" w:sz="0" w:space="0" w:color="auto"/>
      </w:divBdr>
    </w:div>
    <w:div w:id="1944456085">
      <w:bodyDiv w:val="1"/>
      <w:marLeft w:val="0"/>
      <w:marRight w:val="0"/>
      <w:marTop w:val="0"/>
      <w:marBottom w:val="0"/>
      <w:divBdr>
        <w:top w:val="none" w:sz="0" w:space="0" w:color="auto"/>
        <w:left w:val="none" w:sz="0" w:space="0" w:color="auto"/>
        <w:bottom w:val="none" w:sz="0" w:space="0" w:color="auto"/>
        <w:right w:val="none" w:sz="0" w:space="0" w:color="auto"/>
      </w:divBdr>
    </w:div>
    <w:div w:id="1947806949">
      <w:bodyDiv w:val="1"/>
      <w:marLeft w:val="0"/>
      <w:marRight w:val="0"/>
      <w:marTop w:val="0"/>
      <w:marBottom w:val="0"/>
      <w:divBdr>
        <w:top w:val="none" w:sz="0" w:space="0" w:color="auto"/>
        <w:left w:val="none" w:sz="0" w:space="0" w:color="auto"/>
        <w:bottom w:val="none" w:sz="0" w:space="0" w:color="auto"/>
        <w:right w:val="none" w:sz="0" w:space="0" w:color="auto"/>
      </w:divBdr>
    </w:div>
    <w:div w:id="1959295260">
      <w:bodyDiv w:val="1"/>
      <w:marLeft w:val="0"/>
      <w:marRight w:val="0"/>
      <w:marTop w:val="0"/>
      <w:marBottom w:val="0"/>
      <w:divBdr>
        <w:top w:val="none" w:sz="0" w:space="0" w:color="auto"/>
        <w:left w:val="none" w:sz="0" w:space="0" w:color="auto"/>
        <w:bottom w:val="none" w:sz="0" w:space="0" w:color="auto"/>
        <w:right w:val="none" w:sz="0" w:space="0" w:color="auto"/>
      </w:divBdr>
    </w:div>
    <w:div w:id="1959608202">
      <w:bodyDiv w:val="1"/>
      <w:marLeft w:val="0"/>
      <w:marRight w:val="0"/>
      <w:marTop w:val="0"/>
      <w:marBottom w:val="0"/>
      <w:divBdr>
        <w:top w:val="none" w:sz="0" w:space="0" w:color="auto"/>
        <w:left w:val="none" w:sz="0" w:space="0" w:color="auto"/>
        <w:bottom w:val="none" w:sz="0" w:space="0" w:color="auto"/>
        <w:right w:val="none" w:sz="0" w:space="0" w:color="auto"/>
      </w:divBdr>
    </w:div>
    <w:div w:id="1966497540">
      <w:bodyDiv w:val="1"/>
      <w:marLeft w:val="0"/>
      <w:marRight w:val="0"/>
      <w:marTop w:val="0"/>
      <w:marBottom w:val="0"/>
      <w:divBdr>
        <w:top w:val="none" w:sz="0" w:space="0" w:color="auto"/>
        <w:left w:val="none" w:sz="0" w:space="0" w:color="auto"/>
        <w:bottom w:val="none" w:sz="0" w:space="0" w:color="auto"/>
        <w:right w:val="none" w:sz="0" w:space="0" w:color="auto"/>
      </w:divBdr>
    </w:div>
    <w:div w:id="1998221356">
      <w:bodyDiv w:val="1"/>
      <w:marLeft w:val="0"/>
      <w:marRight w:val="0"/>
      <w:marTop w:val="0"/>
      <w:marBottom w:val="0"/>
      <w:divBdr>
        <w:top w:val="none" w:sz="0" w:space="0" w:color="auto"/>
        <w:left w:val="none" w:sz="0" w:space="0" w:color="auto"/>
        <w:bottom w:val="none" w:sz="0" w:space="0" w:color="auto"/>
        <w:right w:val="none" w:sz="0" w:space="0" w:color="auto"/>
      </w:divBdr>
    </w:div>
    <w:div w:id="1998609270">
      <w:bodyDiv w:val="1"/>
      <w:marLeft w:val="0"/>
      <w:marRight w:val="0"/>
      <w:marTop w:val="0"/>
      <w:marBottom w:val="0"/>
      <w:divBdr>
        <w:top w:val="none" w:sz="0" w:space="0" w:color="auto"/>
        <w:left w:val="none" w:sz="0" w:space="0" w:color="auto"/>
        <w:bottom w:val="none" w:sz="0" w:space="0" w:color="auto"/>
        <w:right w:val="none" w:sz="0" w:space="0" w:color="auto"/>
      </w:divBdr>
    </w:div>
    <w:div w:id="2001497083">
      <w:bodyDiv w:val="1"/>
      <w:marLeft w:val="0"/>
      <w:marRight w:val="0"/>
      <w:marTop w:val="0"/>
      <w:marBottom w:val="0"/>
      <w:divBdr>
        <w:top w:val="none" w:sz="0" w:space="0" w:color="auto"/>
        <w:left w:val="none" w:sz="0" w:space="0" w:color="auto"/>
        <w:bottom w:val="none" w:sz="0" w:space="0" w:color="auto"/>
        <w:right w:val="none" w:sz="0" w:space="0" w:color="auto"/>
      </w:divBdr>
    </w:div>
    <w:div w:id="2002587196">
      <w:bodyDiv w:val="1"/>
      <w:marLeft w:val="0"/>
      <w:marRight w:val="0"/>
      <w:marTop w:val="0"/>
      <w:marBottom w:val="0"/>
      <w:divBdr>
        <w:top w:val="none" w:sz="0" w:space="0" w:color="auto"/>
        <w:left w:val="none" w:sz="0" w:space="0" w:color="auto"/>
        <w:bottom w:val="none" w:sz="0" w:space="0" w:color="auto"/>
        <w:right w:val="none" w:sz="0" w:space="0" w:color="auto"/>
      </w:divBdr>
      <w:divsChild>
        <w:div w:id="639193434">
          <w:marLeft w:val="0"/>
          <w:marRight w:val="0"/>
          <w:marTop w:val="0"/>
          <w:marBottom w:val="0"/>
          <w:divBdr>
            <w:top w:val="none" w:sz="0" w:space="0" w:color="auto"/>
            <w:left w:val="none" w:sz="0" w:space="0" w:color="auto"/>
            <w:bottom w:val="none" w:sz="0" w:space="0" w:color="auto"/>
            <w:right w:val="none" w:sz="0" w:space="0" w:color="auto"/>
          </w:divBdr>
        </w:div>
      </w:divsChild>
    </w:div>
    <w:div w:id="2006593613">
      <w:bodyDiv w:val="1"/>
      <w:marLeft w:val="0"/>
      <w:marRight w:val="0"/>
      <w:marTop w:val="0"/>
      <w:marBottom w:val="0"/>
      <w:divBdr>
        <w:top w:val="none" w:sz="0" w:space="0" w:color="auto"/>
        <w:left w:val="none" w:sz="0" w:space="0" w:color="auto"/>
        <w:bottom w:val="none" w:sz="0" w:space="0" w:color="auto"/>
        <w:right w:val="none" w:sz="0" w:space="0" w:color="auto"/>
      </w:divBdr>
    </w:div>
    <w:div w:id="2009599881">
      <w:bodyDiv w:val="1"/>
      <w:marLeft w:val="0"/>
      <w:marRight w:val="0"/>
      <w:marTop w:val="0"/>
      <w:marBottom w:val="0"/>
      <w:divBdr>
        <w:top w:val="none" w:sz="0" w:space="0" w:color="auto"/>
        <w:left w:val="none" w:sz="0" w:space="0" w:color="auto"/>
        <w:bottom w:val="none" w:sz="0" w:space="0" w:color="auto"/>
        <w:right w:val="none" w:sz="0" w:space="0" w:color="auto"/>
      </w:divBdr>
    </w:div>
    <w:div w:id="2019427239">
      <w:bodyDiv w:val="1"/>
      <w:marLeft w:val="0"/>
      <w:marRight w:val="0"/>
      <w:marTop w:val="0"/>
      <w:marBottom w:val="0"/>
      <w:divBdr>
        <w:top w:val="none" w:sz="0" w:space="0" w:color="auto"/>
        <w:left w:val="none" w:sz="0" w:space="0" w:color="auto"/>
        <w:bottom w:val="none" w:sz="0" w:space="0" w:color="auto"/>
        <w:right w:val="none" w:sz="0" w:space="0" w:color="auto"/>
      </w:divBdr>
    </w:div>
    <w:div w:id="2046520937">
      <w:bodyDiv w:val="1"/>
      <w:marLeft w:val="0"/>
      <w:marRight w:val="0"/>
      <w:marTop w:val="0"/>
      <w:marBottom w:val="0"/>
      <w:divBdr>
        <w:top w:val="none" w:sz="0" w:space="0" w:color="auto"/>
        <w:left w:val="none" w:sz="0" w:space="0" w:color="auto"/>
        <w:bottom w:val="none" w:sz="0" w:space="0" w:color="auto"/>
        <w:right w:val="none" w:sz="0" w:space="0" w:color="auto"/>
      </w:divBdr>
    </w:div>
    <w:div w:id="2046635186">
      <w:bodyDiv w:val="1"/>
      <w:marLeft w:val="0"/>
      <w:marRight w:val="0"/>
      <w:marTop w:val="0"/>
      <w:marBottom w:val="0"/>
      <w:divBdr>
        <w:top w:val="none" w:sz="0" w:space="0" w:color="auto"/>
        <w:left w:val="none" w:sz="0" w:space="0" w:color="auto"/>
        <w:bottom w:val="none" w:sz="0" w:space="0" w:color="auto"/>
        <w:right w:val="none" w:sz="0" w:space="0" w:color="auto"/>
      </w:divBdr>
    </w:div>
    <w:div w:id="2053647707">
      <w:bodyDiv w:val="1"/>
      <w:marLeft w:val="0"/>
      <w:marRight w:val="0"/>
      <w:marTop w:val="0"/>
      <w:marBottom w:val="0"/>
      <w:divBdr>
        <w:top w:val="none" w:sz="0" w:space="0" w:color="auto"/>
        <w:left w:val="none" w:sz="0" w:space="0" w:color="auto"/>
        <w:bottom w:val="none" w:sz="0" w:space="0" w:color="auto"/>
        <w:right w:val="none" w:sz="0" w:space="0" w:color="auto"/>
      </w:divBdr>
      <w:divsChild>
        <w:div w:id="770710943">
          <w:marLeft w:val="0"/>
          <w:marRight w:val="0"/>
          <w:marTop w:val="0"/>
          <w:marBottom w:val="0"/>
          <w:divBdr>
            <w:top w:val="none" w:sz="0" w:space="0" w:color="auto"/>
            <w:left w:val="none" w:sz="0" w:space="0" w:color="auto"/>
            <w:bottom w:val="none" w:sz="0" w:space="0" w:color="auto"/>
            <w:right w:val="none" w:sz="0" w:space="0" w:color="auto"/>
          </w:divBdr>
        </w:div>
      </w:divsChild>
    </w:div>
    <w:div w:id="2061976149">
      <w:bodyDiv w:val="1"/>
      <w:marLeft w:val="0"/>
      <w:marRight w:val="0"/>
      <w:marTop w:val="0"/>
      <w:marBottom w:val="0"/>
      <w:divBdr>
        <w:top w:val="none" w:sz="0" w:space="0" w:color="auto"/>
        <w:left w:val="none" w:sz="0" w:space="0" w:color="auto"/>
        <w:bottom w:val="none" w:sz="0" w:space="0" w:color="auto"/>
        <w:right w:val="none" w:sz="0" w:space="0" w:color="auto"/>
      </w:divBdr>
    </w:div>
    <w:div w:id="2076010034">
      <w:bodyDiv w:val="1"/>
      <w:marLeft w:val="0"/>
      <w:marRight w:val="0"/>
      <w:marTop w:val="0"/>
      <w:marBottom w:val="0"/>
      <w:divBdr>
        <w:top w:val="none" w:sz="0" w:space="0" w:color="auto"/>
        <w:left w:val="none" w:sz="0" w:space="0" w:color="auto"/>
        <w:bottom w:val="none" w:sz="0" w:space="0" w:color="auto"/>
        <w:right w:val="none" w:sz="0" w:space="0" w:color="auto"/>
      </w:divBdr>
    </w:div>
    <w:div w:id="2076928305">
      <w:bodyDiv w:val="1"/>
      <w:marLeft w:val="0"/>
      <w:marRight w:val="0"/>
      <w:marTop w:val="0"/>
      <w:marBottom w:val="0"/>
      <w:divBdr>
        <w:top w:val="none" w:sz="0" w:space="0" w:color="auto"/>
        <w:left w:val="none" w:sz="0" w:space="0" w:color="auto"/>
        <w:bottom w:val="none" w:sz="0" w:space="0" w:color="auto"/>
        <w:right w:val="none" w:sz="0" w:space="0" w:color="auto"/>
      </w:divBdr>
    </w:div>
    <w:div w:id="2085367863">
      <w:bodyDiv w:val="1"/>
      <w:marLeft w:val="0"/>
      <w:marRight w:val="0"/>
      <w:marTop w:val="0"/>
      <w:marBottom w:val="0"/>
      <w:divBdr>
        <w:top w:val="none" w:sz="0" w:space="0" w:color="auto"/>
        <w:left w:val="none" w:sz="0" w:space="0" w:color="auto"/>
        <w:bottom w:val="none" w:sz="0" w:space="0" w:color="auto"/>
        <w:right w:val="none" w:sz="0" w:space="0" w:color="auto"/>
      </w:divBdr>
    </w:div>
    <w:div w:id="2089881125">
      <w:bodyDiv w:val="1"/>
      <w:marLeft w:val="0"/>
      <w:marRight w:val="0"/>
      <w:marTop w:val="0"/>
      <w:marBottom w:val="0"/>
      <w:divBdr>
        <w:top w:val="none" w:sz="0" w:space="0" w:color="auto"/>
        <w:left w:val="none" w:sz="0" w:space="0" w:color="auto"/>
        <w:bottom w:val="none" w:sz="0" w:space="0" w:color="auto"/>
        <w:right w:val="none" w:sz="0" w:space="0" w:color="auto"/>
      </w:divBdr>
    </w:div>
    <w:div w:id="2107455907">
      <w:bodyDiv w:val="1"/>
      <w:marLeft w:val="0"/>
      <w:marRight w:val="0"/>
      <w:marTop w:val="0"/>
      <w:marBottom w:val="0"/>
      <w:divBdr>
        <w:top w:val="none" w:sz="0" w:space="0" w:color="auto"/>
        <w:left w:val="none" w:sz="0" w:space="0" w:color="auto"/>
        <w:bottom w:val="none" w:sz="0" w:space="0" w:color="auto"/>
        <w:right w:val="none" w:sz="0" w:space="0" w:color="auto"/>
      </w:divBdr>
    </w:div>
    <w:div w:id="2113426869">
      <w:bodyDiv w:val="1"/>
      <w:marLeft w:val="0"/>
      <w:marRight w:val="0"/>
      <w:marTop w:val="0"/>
      <w:marBottom w:val="0"/>
      <w:divBdr>
        <w:top w:val="none" w:sz="0" w:space="0" w:color="auto"/>
        <w:left w:val="none" w:sz="0" w:space="0" w:color="auto"/>
        <w:bottom w:val="none" w:sz="0" w:space="0" w:color="auto"/>
        <w:right w:val="none" w:sz="0" w:space="0" w:color="auto"/>
      </w:divBdr>
    </w:div>
    <w:div w:id="2118209747">
      <w:bodyDiv w:val="1"/>
      <w:marLeft w:val="0"/>
      <w:marRight w:val="0"/>
      <w:marTop w:val="0"/>
      <w:marBottom w:val="0"/>
      <w:divBdr>
        <w:top w:val="none" w:sz="0" w:space="0" w:color="auto"/>
        <w:left w:val="none" w:sz="0" w:space="0" w:color="auto"/>
        <w:bottom w:val="none" w:sz="0" w:space="0" w:color="auto"/>
        <w:right w:val="none" w:sz="0" w:space="0" w:color="auto"/>
      </w:divBdr>
    </w:div>
    <w:div w:id="2126148809">
      <w:bodyDiv w:val="1"/>
      <w:marLeft w:val="0"/>
      <w:marRight w:val="0"/>
      <w:marTop w:val="0"/>
      <w:marBottom w:val="0"/>
      <w:divBdr>
        <w:top w:val="none" w:sz="0" w:space="0" w:color="auto"/>
        <w:left w:val="none" w:sz="0" w:space="0" w:color="auto"/>
        <w:bottom w:val="none" w:sz="0" w:space="0" w:color="auto"/>
        <w:right w:val="none" w:sz="0" w:space="0" w:color="auto"/>
      </w:divBdr>
    </w:div>
    <w:div w:id="214053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5811-6DC9-4458-A534-F2AD91AD2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36</Pages>
  <Words>11987</Words>
  <Characters>68331</Characters>
  <Application>Microsoft Office Word</Application>
  <DocSecurity>0</DocSecurity>
  <Lines>569</Lines>
  <Paragraphs>160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Preparation of Papers for Thesis in ICU</vt:lpstr>
      <vt:lpstr>Preparation of Papers for Thesis in ICU</vt:lpstr>
    </vt:vector>
  </TitlesOfParts>
  <Company>ICU</Company>
  <LinksUpToDate>false</LinksUpToDate>
  <CharactersWithSpaces>80158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Thesis in ICU</dc:title>
  <dc:creator>Jung-Bo Lee</dc:creator>
  <cp:lastModifiedBy>user</cp:lastModifiedBy>
  <cp:revision>11</cp:revision>
  <cp:lastPrinted>2012-12-17T09:24:00Z</cp:lastPrinted>
  <dcterms:created xsi:type="dcterms:W3CDTF">2026-09-01T09:11:00Z</dcterms:created>
  <dcterms:modified xsi:type="dcterms:W3CDTF">2026-09-02T02:29:00Z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