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98E" w:rsidRDefault="0006098E" w:rsidP="00E528F8">
      <w:pPr>
        <w:wordWrap/>
        <w:snapToGrid w:val="0"/>
        <w:spacing w:line="276" w:lineRule="auto"/>
        <w:jc w:val="center"/>
        <w:rPr>
          <w:rFonts w:eastAsia="휴먼고딕"/>
          <w:b/>
          <w:sz w:val="44"/>
        </w:rPr>
      </w:pPr>
      <w:bookmarkStart w:id="0" w:name="_GoBack"/>
      <w:bookmarkEnd w:id="0"/>
      <w:r w:rsidRPr="0006098E">
        <w:rPr>
          <w:rFonts w:eastAsia="휴먼고딕"/>
          <w:b/>
          <w:sz w:val="44"/>
        </w:rPr>
        <w:t xml:space="preserve">Private Equity and Labour Adjustment </w:t>
      </w:r>
    </w:p>
    <w:p w:rsidR="0020476B" w:rsidRPr="0006098E" w:rsidRDefault="0006098E" w:rsidP="00E528F8">
      <w:pPr>
        <w:wordWrap/>
        <w:snapToGrid w:val="0"/>
        <w:spacing w:line="276" w:lineRule="auto"/>
        <w:jc w:val="center"/>
        <w:rPr>
          <w:rFonts w:eastAsia="휴먼고딕"/>
          <w:b/>
          <w:sz w:val="44"/>
        </w:rPr>
      </w:pPr>
      <w:r w:rsidRPr="0006098E">
        <w:rPr>
          <w:rFonts w:eastAsia="휴먼고딕"/>
          <w:b/>
          <w:sz w:val="44"/>
        </w:rPr>
        <w:t>across Pre-Deal Hiring States</w:t>
      </w:r>
    </w:p>
    <w:p w:rsidR="0006098E" w:rsidRDefault="0006098E" w:rsidP="00E528F8">
      <w:pPr>
        <w:wordWrap/>
        <w:spacing w:line="276" w:lineRule="auto"/>
        <w:jc w:val="center"/>
        <w:rPr>
          <w:sz w:val="24"/>
        </w:rPr>
      </w:pPr>
    </w:p>
    <w:p w:rsidR="0020476B" w:rsidRPr="00F2490B" w:rsidRDefault="004E04F6" w:rsidP="00E528F8">
      <w:pPr>
        <w:wordWrap/>
        <w:spacing w:line="276" w:lineRule="auto"/>
        <w:jc w:val="center"/>
        <w:rPr>
          <w:sz w:val="24"/>
        </w:rPr>
      </w:pPr>
      <w:r w:rsidRPr="00F2490B">
        <w:rPr>
          <w:rFonts w:hint="eastAsia"/>
          <w:sz w:val="24"/>
        </w:rPr>
        <w:t>D</w:t>
      </w:r>
      <w:r w:rsidRPr="00F2490B">
        <w:rPr>
          <w:sz w:val="24"/>
        </w:rPr>
        <w:t>aewoong Kang</w:t>
      </w:r>
      <w:r w:rsidR="005109A8">
        <w:rPr>
          <w:sz w:val="24"/>
        </w:rPr>
        <w:t xml:space="preserve"> (</w:t>
      </w:r>
      <w:r w:rsidR="005109A8">
        <w:rPr>
          <w:rFonts w:hint="eastAsia"/>
          <w:sz w:val="24"/>
        </w:rPr>
        <w:t>D</w:t>
      </w:r>
      <w:r w:rsidR="005109A8">
        <w:rPr>
          <w:sz w:val="24"/>
        </w:rPr>
        <w:t>raft Version)</w:t>
      </w:r>
    </w:p>
    <w:p w:rsidR="004E04F6" w:rsidRDefault="004E04F6" w:rsidP="00E528F8">
      <w:pPr>
        <w:wordWrap/>
        <w:rPr>
          <w:rFonts w:eastAsia="휴먼고딕"/>
          <w:b/>
          <w:sz w:val="22"/>
        </w:rPr>
      </w:pPr>
    </w:p>
    <w:p w:rsidR="00CC0DBA" w:rsidRDefault="0020476B" w:rsidP="00E528F8">
      <w:pPr>
        <w:pStyle w:val="3"/>
      </w:pPr>
      <w:r w:rsidRPr="00603389">
        <w:t>ABSTRACT</w:t>
      </w:r>
    </w:p>
    <w:p w:rsidR="00D37F2E" w:rsidRPr="00D37F2E" w:rsidRDefault="0006098E" w:rsidP="00E528F8">
      <w:pPr>
        <w:pStyle w:val="aff3"/>
        <w:wordWrap/>
      </w:pPr>
      <w:r>
        <w:t>Most evidence on heterogeneous real outcomes after private equity investment turns to the deal, the financing environment, or the sponsor. We ask whether recent target-level hiring also predicts subsequent labour adjustment. We link private equity investments to monthly Korean National Pension records and match each target to untreated firms in the same industry, size, prior employment-growth, age, and pre-deal hiring-state cells. A one-interquartile shift towards lower prior hiring is associated with a 0.20-log-point larger treated-minus-control increase in worker inflows. Comparable untreated firms also rebound from low-hiring states, but their gradients are far smaller. The control design is material: under conventional matching, assigned control outcomes covary with the target's hiring state; matching within state terciles nearly eliminates this control-side slope. The result remains in worker-entry counts, which remove employment from the denominator. Low-hiring targets also show more churn but smaller net-employment gains, and the separation response is too imprecise to isolate an exit margin. The heterogeneity is thus concentrated in worker inflows rather than net job growth. The design absorbs observable state-dependent rebound, but it cannot exclude sponsor selection on private information about future demand, financing, or organisational change.</w:t>
      </w:r>
    </w:p>
    <w:p w:rsidR="004E04F6" w:rsidRDefault="004E04F6" w:rsidP="00E528F8">
      <w:pPr>
        <w:wordWrap/>
      </w:pPr>
    </w:p>
    <w:p w:rsidR="004E04F6" w:rsidRPr="00F2490B" w:rsidRDefault="004E04F6" w:rsidP="00E528F8">
      <w:pPr>
        <w:wordWrap/>
        <w:rPr>
          <w:sz w:val="22"/>
          <w:szCs w:val="22"/>
        </w:rPr>
      </w:pPr>
      <w:r>
        <w:t>Keywords: Private equity; Employment; Worker flows; Heterogeneous responses; Administrative data</w:t>
      </w:r>
    </w:p>
    <w:p w:rsidR="004E04F6" w:rsidRPr="00F2490B" w:rsidRDefault="004E04F6" w:rsidP="00E528F8">
      <w:pPr>
        <w:wordWrap/>
        <w:rPr>
          <w:sz w:val="22"/>
          <w:szCs w:val="22"/>
        </w:rPr>
      </w:pPr>
      <w:r>
        <w:t>JEL classification: G34, G24, J23, J63</w:t>
      </w:r>
    </w:p>
    <w:p w:rsidR="00CC0DBA" w:rsidRPr="0020476B" w:rsidRDefault="00CC0DBA" w:rsidP="00E528F8">
      <w:pPr>
        <w:pStyle w:val="afc"/>
        <w:widowControl w:val="0"/>
        <w:spacing w:line="480" w:lineRule="auto"/>
        <w:jc w:val="center"/>
        <w:rPr>
          <w:rFonts w:ascii="Times New Roman" w:hAnsi="Times New Roman" w:cs="Times New Roman"/>
          <w:b/>
          <w:bCs/>
          <w:sz w:val="28"/>
          <w:szCs w:val="28"/>
        </w:rPr>
      </w:pPr>
    </w:p>
    <w:p w:rsidR="00F2490B" w:rsidRDefault="00F2490B" w:rsidP="00E528F8">
      <w:pPr>
        <w:wordWrap/>
        <w:jc w:val="left"/>
        <w:rPr>
          <w:b/>
          <w:sz w:val="28"/>
        </w:rPr>
      </w:pPr>
      <w:r>
        <w:br w:type="page"/>
      </w:r>
    </w:p>
    <w:p w:rsidR="00793834" w:rsidRDefault="00793834" w:rsidP="00E528F8">
      <w:pPr>
        <w:pStyle w:val="3"/>
      </w:pPr>
      <w:r w:rsidRPr="00793834">
        <w:lastRenderedPageBreak/>
        <w:t xml:space="preserve">1. Introduction </w:t>
      </w:r>
    </w:p>
    <w:p w:rsidR="0006098E" w:rsidRPr="0006098E" w:rsidRDefault="0006098E" w:rsidP="00E528F8">
      <w:pPr>
        <w:pStyle w:val="aff3"/>
        <w:wordWrap/>
      </w:pPr>
      <w:r>
        <w:t>Employment after private equity investment varies widely across target firms. Prior work relates this variation to transaction form, financing conditions, and sponsor characteristics (Davis et al. 2014, 2025). We examine a less studied source of heterogeneity: the target's own operating condition before the deal. In particular, does recent hiring history predict how the workforce adjusts after investment? A firm that has hired little for a year enters a transaction from a different position than an otherwise similar firm that has been adding workers steadily. Weak demand, financing constraints, recruiting capacity, organisational delay, or the timing of labour demand could all produce the same history. We do not attempt to recover that latent condition. The narrower question is whether recent hiring provides a useful ordering of subsequent worker inflows.</w:t>
      </w:r>
    </w:p>
    <w:p w:rsidR="0006098E" w:rsidRPr="0006098E" w:rsidRDefault="0006098E" w:rsidP="00E528F8">
      <w:pPr>
        <w:pStyle w:val="aff3"/>
        <w:wordWrap/>
      </w:pPr>
      <w:r>
        <w:t>That ordering creates its own counterfactual problem. Low-hiring firms may rebound without private equity. If the rebound varies with the state used to classify target responses, matching only on industry, size, employment growth, and age can assign systematically different untreated paths to low- and high-hiring targets. The resulting treated-minus-control gradient would then mix variation in target outcomes with variation in the constructed counterfactual.</w:t>
      </w:r>
    </w:p>
    <w:p w:rsidR="00AF3B33" w:rsidRPr="00AF3B33" w:rsidRDefault="00AF3B33" w:rsidP="00E528F8">
      <w:pPr>
        <w:pStyle w:val="aff3"/>
        <w:wordWrap/>
      </w:pPr>
      <w:r>
        <w:t>We address this problem in two steps. The primary design matches targets to untreated firms within a coarse pre-deal hiring-state stratum as well as industry, size, prior employment growth, and age. We then compare the target gradient with an empirical distribution obtained from untreated pseudo-events that undergo the same state construction, matching, outcome transformation, adjustment, and estimation. The first step limits observable state dependence in assigned controls; the second measures the rebound that remains among untreated firms. The data link private equity investments in Korea to monthly National Pension records of insured employment, worker entries, and worker exits. The baseline matched universe contains 379 investment events. Requiring a complete earlier state, complete outcome windows, and controls from the same hiring-state stratum leaves 286 events for the primary gradient analysis. Higher state values denote lower pre-deal hiring intensity, and the outcome is the treated-minus-control change in the log hiring rate over the twelve months after investment relative to the preceding twelve months.</w:t>
      </w:r>
    </w:p>
    <w:p w:rsidR="0006098E" w:rsidRPr="0006098E" w:rsidRDefault="0006098E" w:rsidP="00E528F8">
      <w:pPr>
        <w:pStyle w:val="aff3"/>
        <w:wordWrap/>
      </w:pPr>
      <w:r>
        <w:t xml:space="preserve">The gradient is 0.7101, with a 95 percent treated-event bootstrap interval of [0.3187, 1.1254]. Moving one interquartile range towards lower prior hiring corresponds to a 0.2005-log-point larger matched response [0.0900, 0.3177], or about 22 percent on a multiplicative scale. This is cross-target variation </w:t>
      </w:r>
      <w:r>
        <w:lastRenderedPageBreak/>
        <w:t>in the matched response, not an estimate of the average effect of private equity investment. Low-hiring untreated firms also rebound, but by much less. Across the 1,205 pseudo-events used by the primary procedure, the reference distribution has a mean gradient of 0.1010 and a standard deviation of 0.1538. The target estimate is 0.6091 above that mean, or 3.96 reference-distribution standard deviations; the centred, two-sided empirical p-value is 0.0005. What distinguishes the targets is the size of the relationship relative to untreated firms processed in the same way.</w:t>
      </w:r>
    </w:p>
    <w:p w:rsidR="0006098E" w:rsidRPr="0006098E" w:rsidRDefault="0006098E" w:rsidP="00E528F8">
      <w:pPr>
        <w:pStyle w:val="aff3"/>
        <w:wordWrap/>
      </w:pPr>
      <w:r>
        <w:t>The matching design is consequential. On the same 286 events, conventional matching produces a gradient of 0.4698 and state-balanced matching a gradient of 0.7101. In the unwinsorised decomposition, the treated-side slope is fixed at 0.8425. The control-side slope with respect to the target's state falls from 0.2950 to 0.0056 once the state tercile enters the exact-matching cell. Conventional controls thus supply different untreated paths along the very dimension used to measure heterogeneity. This pattern gives empirical content to a familiar concern in observational heterogeneity analysis: overall covariate balance need not deliver balance within strata of an effect modifier (Dong et al. 2020; Yang et al. 2021). Direct matching on every moderator is neither necessary nor always feasible. But when a proposed moderator also predicts untreated outcomes, its relation to the assigned counterfactual should be reported and, where support permits, reduced by design.</w:t>
      </w:r>
    </w:p>
    <w:p w:rsidR="0006098E" w:rsidRPr="0006098E" w:rsidRDefault="0006098E" w:rsidP="00E528F8">
      <w:pPr>
        <w:pStyle w:val="aff3"/>
        <w:wordWrap/>
      </w:pPr>
      <w:r>
        <w:t>The result is specific to worker inflows rather than an artefact of scaling flows by employment. The state gradient is 0.6315 when the outcome is the log number of worker entries, and 0.6957 in a diagnostic that also includes the change in log employment. Net employment moves differently: it rises relative to matched controls on average, yet its cross-state gradient is -0.0580. Low-hiring targets therefore record larger inflow responses without larger net-employment gains. Churn follows the inflow pattern, whereas the separation gradient is too imprecise to identify a distinct exit or replacement margin.</w:t>
      </w:r>
    </w:p>
    <w:p w:rsidR="0006098E" w:rsidRPr="0006098E" w:rsidRDefault="0006098E" w:rsidP="00E528F8">
      <w:pPr>
        <w:pStyle w:val="aff3"/>
        <w:wordWrap/>
      </w:pPr>
      <w:r>
        <w:t>These margins connect the paper to two strands of private equity research. Davis et al. (2014) show that gross job creation and destruction can be substantial even when net employment changes are modest, while Davis et al. (2025) document heterogeneity by transaction type, market conditions, and sponsor characteristics. Our worker flows are not establishment-level job flows, but they reveal a related limitation of net employment: it can hide where labour adjustment occurs. We add recent target hiring as a pre-deal dimension along which that adjustment is sharply concentrated.</w:t>
      </w:r>
    </w:p>
    <w:p w:rsidR="0006098E" w:rsidRPr="0006098E" w:rsidRDefault="0006098E" w:rsidP="00E528F8">
      <w:pPr>
        <w:pStyle w:val="aff3"/>
        <w:wordWrap/>
      </w:pPr>
      <w:r>
        <w:t xml:space="preserve">Recent low hiring is an empirical state, not a structural diagnosis. Financing constraints, governance or managerial changes, recruiting capacity, product-market opportunities, and non-convex adjustment </w:t>
      </w:r>
      <w:r>
        <w:lastRenderedPageBreak/>
        <w:t>costs all give plausible accounts of the pattern (Boucly et al. 2011; Kaplan and Strömberg 2009; Gompers et al. 2016; Cooper et al. 2015). The observed state does not distinguish among them, and the analysis does not treat it as a persistent firm type or an identified inaction regime. Forward-looking sponsor selection remains the principal threat to causal attribution. A sponsor may choose a low-hiring target after learning about demand, a customer contract, financing, or a management change that is not yet visible in administrative outcomes. Untreated pseudo-events absorb ordinary state-dependent rebound, and the pre-deal diagnostics show no positive divergence of comparable magnitude. Neither exercise can reproduce private information that becomes visible only after investment.</w:t>
      </w:r>
    </w:p>
    <w:p w:rsidR="0006098E" w:rsidRPr="0006098E" w:rsidRDefault="0006098E" w:rsidP="00E528F8">
      <w:pPr>
        <w:pStyle w:val="aff3"/>
        <w:wordWrap/>
      </w:pPr>
      <w:r>
        <w:t>The matched population also bounds the result. It consists mainly of smaller Korean private firms and includes minority growth investments as well as control transactions. The estimates need not extend to large public-to-private buyouts or to settings with different labour markets, pension reporting, and private equity institutions.</w:t>
      </w:r>
    </w:p>
    <w:p w:rsidR="0006098E" w:rsidRPr="0006098E" w:rsidRDefault="0006098E" w:rsidP="00E528F8">
      <w:pPr>
        <w:pStyle w:val="aff3"/>
        <w:wordWrap/>
      </w:pPr>
      <w:r>
        <w:t>The paper's contribution is twofold. Substantively, it shows that recent target hiring identifies where post-investment worker inflows are concentrated, and that this ordering differs from the ordering of net employment. Methodologically, it shows that the moderator also belongs in the counterfactual diagnostic when it predicts untreated paths. The claim is about the location and benchmarking of realised heterogeneity, not a unique organisational mechanism or an unconditional causal effect of private equity ownership. Section 2 develops the link to private equity and labour-adjustment research. Sections 3 and 4 describe the data and design. Section 5 presents the main evidence, Section 6 examines pre-deal dynamics and remaining selection, and Section 7 reports timing and transaction-form checks. Section 8 concludes.</w:t>
      </w:r>
    </w:p>
    <w:p w:rsidR="00704234" w:rsidRDefault="00704234" w:rsidP="00E528F8">
      <w:pPr>
        <w:pStyle w:val="3"/>
      </w:pPr>
      <w:r>
        <w:t>2. Related literature and empirical motivation</w:t>
      </w:r>
    </w:p>
    <w:p w:rsidR="00704234" w:rsidRDefault="00704234" w:rsidP="00E528F8">
      <w:pPr>
        <w:pStyle w:val="3"/>
      </w:pPr>
      <w:r>
        <w:t xml:space="preserve">2.1 </w:t>
      </w:r>
      <w:r w:rsidR="00DB3490" w:rsidRPr="00DB3490">
        <w:t>Private equity, employment, and heterogeneous adjustment</w:t>
      </w:r>
    </w:p>
    <w:p w:rsidR="00DB3490" w:rsidRPr="00DB3490" w:rsidRDefault="00DB3490" w:rsidP="00E528F8">
      <w:pPr>
        <w:pStyle w:val="aff3"/>
        <w:wordWrap/>
      </w:pPr>
      <w:r>
        <w:t xml:space="preserve">Private equity employment effects vary across both transactions and outcomes. Davis et al. (2014) report modest net employment changes alongside much larger gross job creation and destruction around U.S. buyouts. Davis et al. (2025) further show that real responses differ with transaction type, market conditions, and sponsor characteristics. A single average change in employment therefore misses economically important variation in who adjusts and on which margin. Evidence outside the United States </w:t>
      </w:r>
      <w:r>
        <w:lastRenderedPageBreak/>
        <w:t>reaches a similar conclusion from different settings and measures. French targets grow after some leveraged buyouts, Swedish buyouts alter employment composition, and German transactions carry worker-level consequences (Boucly et al. 2011; Olsson and Tåg 2017; Antoni et al. 2019). Studies of Japanese buyouts and Korean restructuring transactions add evidence from Asia (Blind and Lottanti von Mandach 2021; Koo 2016). Differences in coverage, institutions, and measurement make these estimates complements rather than direct replications.</w:t>
      </w:r>
    </w:p>
    <w:p w:rsidR="00DB3490" w:rsidRPr="00DB3490" w:rsidRDefault="00DB3490" w:rsidP="00E528F8">
      <w:pPr>
        <w:pStyle w:val="aff3"/>
        <w:wordWrap/>
      </w:pPr>
      <w:r>
        <w:t>Korean pension records add a measurement margin that transaction databases and annual accounts rarely provide. They report monthly insured-worker entries, exits, and employment for predominantly private firms. We can thus measure recent hiring before the outcome window and distinguish worker movement from the employment stock. Worker flows and job flows are not interchangeable: the former track people entering and leaving an employer, whereas the latter track positions created or destroyed. A firm may turn over many workers with little net change in employment. Related work studies career paths, workplace safety, pay dispersion, labour-market power, and implicit contracts after private equity investment (Agrawal and Tambe 2016; Cohn et al. 2021; Fang et al. 2026; Herkenhoff et al. 2025). We instead ask which pre-treatment target condition orders the realised labour response.</w:t>
      </w:r>
    </w:p>
    <w:p w:rsidR="00DB3490" w:rsidRPr="00DB3490" w:rsidRDefault="00DB3490" w:rsidP="00E528F8">
      <w:pPr>
        <w:pStyle w:val="aff3"/>
        <w:wordWrap/>
      </w:pPr>
      <w:r>
        <w:t>Most heterogeneity research starts with the transaction or the investor. Control rights, financing conditions, strategy, and sponsor experience are natural candidates. Targets receiving similar investments, however, can arrive with very different recent operating histories. We use hiring before the deal as a target-side ordering variable and ask both whether it predicts subsequent worker inflows and whether it also predicts the untreated path used for comparison.</w:t>
      </w:r>
    </w:p>
    <w:p w:rsidR="00704234" w:rsidRPr="00704234" w:rsidRDefault="00704234" w:rsidP="00E528F8">
      <w:pPr>
        <w:pStyle w:val="3"/>
      </w:pPr>
      <w:r w:rsidRPr="00704234">
        <w:t>2.2 Why pre-deal hiring may matter</w:t>
      </w:r>
    </w:p>
    <w:p w:rsidR="00DB3490" w:rsidRPr="00DB3490" w:rsidRDefault="00DB3490" w:rsidP="00E528F8">
      <w:pPr>
        <w:pStyle w:val="aff3"/>
        <w:wordWrap/>
      </w:pPr>
      <w:r>
        <w:t>Low hiring before a deal is observationally compatible with several conditions: weak demand, limited finance, little need to expand, recruiting difficulty, or delayed organisational adjustment. Private equity may coincide with changes on any of these margins. The state is therefore useful as an empirical summary of recent activity, not as a label for one latent mechanism.</w:t>
      </w:r>
    </w:p>
    <w:p w:rsidR="00DB3490" w:rsidRPr="00DB3490" w:rsidRDefault="00DB3490" w:rsidP="00E528F8">
      <w:pPr>
        <w:pStyle w:val="aff3"/>
        <w:wordWrap/>
      </w:pPr>
      <w:r>
        <w:t xml:space="preserve">Financing capacity is one possible mechanism. Boucly et al. (2011) find stronger growth after French leveraged buyouts among firms more likely to have been financially constrained. More generally, private equity can change access to capital and the ability to finance investment or expansion (Kaplan and Strömberg 2009). A low-hiring target could respond strongly if investment relaxes a binding constraint. </w:t>
      </w:r>
      <w:r>
        <w:lastRenderedPageBreak/>
        <w:t>Our accounting data cannot isolate that channel. Cash, leverage, interest coverage, and profitability do not order the hiring response as clearly as the hiring state in the audited subsample (Section 6.2). Those measures are imperfect proxies, and audited firms are a selected, generally larger group. Their weak coefficients do not rule out financial constraints.</w:t>
      </w:r>
    </w:p>
    <w:p w:rsidR="00DB3490" w:rsidRPr="00DB3490" w:rsidRDefault="00DB3490" w:rsidP="00E528F8">
      <w:pPr>
        <w:pStyle w:val="aff3"/>
        <w:wordWrap/>
      </w:pPr>
      <w:r>
        <w:t>Operational change offers another account. Sponsors can alter incentives, monitoring, management, recruiting, and growth strategy (Kaplan and Strömberg 2009; Gompers et al. 2016). A firm that has hired little may have more scope for recruitment or reorganisation, whereas a firm already expanding rapidly may have less scope for a further proportional increase. The worker-flow data cannot identify which intervention, if any, generates the response. Non-convex adjustment costs provide a third motivation. Fixed or organisational costs can make employment adjust in episodes rather than continuously (Cooper et al. 2015). A low-hiring period may precede a larger adjustment once its benefits exceed those costs. We use this idea only as motivation; the empirical state is not an estimated inaction band.</w:t>
      </w:r>
    </w:p>
    <w:p w:rsidR="00DB3490" w:rsidRPr="00DB3490" w:rsidRDefault="00DB3490" w:rsidP="00E528F8">
      <w:pPr>
        <w:pStyle w:val="aff3"/>
        <w:wordWrap/>
      </w:pPr>
      <w:r>
        <w:t>No private equity mechanism is needed for the most immediate alternative. A temporary hiring pause or unusually weak year may be followed by a return towards normal activity. Because the outcome compares post-deal hiring with the preceding year, such rebound creates a positive state gradient even for untreated firms. The relevant benchmark is therefore not zero. It is the distribution of gradients among untreated firms that enter comparable observed states and are processed under the same design. The pseudo-event analysis estimates that background state dependence directly. Rebound also affects matching. If controls are selected without regard to hiring state, their later outcomes may vary with the state of the targets to which they are assigned. A treated-minus-control gradient would then embed both target heterogeneity and a control-side slope. Matching within state terciles and reporting the control-side component address this observable source of contamination.</w:t>
      </w:r>
    </w:p>
    <w:p w:rsidR="00DB3490" w:rsidRPr="00DB3490" w:rsidRDefault="00DB3490" w:rsidP="00E528F8">
      <w:pPr>
        <w:pStyle w:val="aff3"/>
        <w:wordWrap/>
      </w:pPr>
      <w:r>
        <w:t xml:space="preserve">Alternative state definitions help distinguish a broad recent condition from a short pause at closing. The duration of the no-entry spell already under way should be most informative under the latter account; hiring over the preceding year should dominate if the state reflects a broader history. A state measured two to three years earlier should also weaken if the relevant condition is recent rather than persistent. Section 6 and Online Appendix B report these comparisons. Employment growth provides a related but distinct comparison: low entries may accompany contraction or a pause in expansion. We therefore condition on pre-deal employment growth and separately residualise the state on size, industry, growth, age, and seasonality. These exercises clarify what the state summarises without claiming to purge every </w:t>
      </w:r>
      <w:r>
        <w:lastRenderedPageBreak/>
        <w:t>observed or unobserved firm condition.</w:t>
      </w:r>
    </w:p>
    <w:p w:rsidR="00DB3490" w:rsidRPr="00DB3490" w:rsidRDefault="00DB3490" w:rsidP="00E528F8">
      <w:pPr>
        <w:pStyle w:val="aff3"/>
        <w:wordWrap/>
      </w:pPr>
      <w:r>
        <w:t>Forward-looking sponsor selection is harder to address. A sponsor may know about future demand, a contract, financing, or a management change before that information appears in worker flows. Matching cannot remove such information, and untreated pseudo-events cannot reproduce it. Nor must it generate a visible pre-deal trend. Accordingly, we treat the hiring state as an ordering variable for realised post-investment heterogeneity. The empirical tests ask whether low-hiring targets have unusually large inflow responses relative to observably comparable untreated firms, whether a short pause explains the ordering, and whether net employment moves in the same way. They do not identify financing constraints, organisational slack, or a permanent firm type.</w:t>
      </w:r>
    </w:p>
    <w:p w:rsidR="004E04F6" w:rsidRDefault="004E04F6" w:rsidP="00E528F8">
      <w:pPr>
        <w:pStyle w:val="3"/>
      </w:pPr>
      <w:r>
        <w:t>3. Institutional setting and data</w:t>
      </w:r>
    </w:p>
    <w:p w:rsidR="004E04F6" w:rsidRDefault="004E04F6" w:rsidP="00E528F8">
      <w:pPr>
        <w:pStyle w:val="3"/>
      </w:pPr>
      <w:r>
        <w:t xml:space="preserve">3.1 National Pension records and </w:t>
      </w:r>
      <w:r w:rsidRPr="004E04F6">
        <w:t>employment</w:t>
      </w:r>
      <w:r>
        <w:t xml:space="preserve"> measurement</w:t>
      </w:r>
    </w:p>
    <w:p w:rsidR="00DB3490" w:rsidRDefault="00DB3490" w:rsidP="00E528F8">
      <w:pPr>
        <w:pStyle w:val="aff3"/>
        <w:wordWrap/>
      </w:pPr>
      <w:r>
        <w:t>We measure insured employment and worker flows with monthly records from Korea's National Pension Scheme (NPS), available from November 2015 through May 2026. For each reporting workplace, the data record entries and exits of insured workers and the number of insured employees. The monthly frequency permits a hiring state well before the deal and separates later worker flows from changes in employment. The state and outcome windows do not overlap. The state uses months -24 through -13, the baseline outcome months -12 through -1, and the post-investment outcome months +1 through +12. Entries used to construct the state therefore do not enter the baseline hiring outcome, and the transaction month is omitted.</w:t>
      </w:r>
    </w:p>
    <w:p w:rsidR="00DB3490" w:rsidRPr="00DB3490" w:rsidRDefault="00DB3490" w:rsidP="00E528F8">
      <w:pPr>
        <w:pStyle w:val="aff3"/>
        <w:wordWrap/>
      </w:pPr>
      <w:r w:rsidRPr="00DB3490">
        <w:t>NPS reporting is administered at the workplace (</w:t>
      </w:r>
      <w:r w:rsidRPr="00E528F8">
        <w:rPr>
          <w:i/>
        </w:rPr>
        <w:t>saeopjang</w:t>
      </w:r>
      <w:r w:rsidRPr="00DB3490">
        <w:t>) level</w:t>
      </w:r>
      <w:r w:rsidR="00FA47CE">
        <w:rPr>
          <w:rStyle w:val="ac"/>
        </w:rPr>
        <w:footnoteReference w:id="1"/>
      </w:r>
      <w:r w:rsidR="00603AF1">
        <w:t xml:space="preserve">, </w:t>
      </w:r>
      <w:r w:rsidRPr="00DB3490">
        <w:t>whereas transactions are linked to firms through business registration numbers. A business can operate more than one registered workplace. We aggregate the pension records to the business-registration-number level and use that identifier as the empirical firm unit. We also track changes in the number of registered workplaces around the transaction because consolidation, re-registration, or another administrative reorganisation could otherwise appear as worker movement in the pension records. Online Appendix C examines this issue directly.</w:t>
      </w:r>
      <w:r>
        <w:t xml:space="preserve"> We interpret an NPS entry as an administrative inflow of an insured worker and use 'hire' or 'hiring' as </w:t>
      </w:r>
      <w:r>
        <w:lastRenderedPageBreak/>
        <w:t>shorthand after this qualification. The record does not identify the recruiting decision behind an entry: re-registration, payroll consolidation, or another reporting change can occasionally produce the same observation. Online Appendix C checks the accounting relation among entries, exits, and employment; excludes large discrepancies and changes in workplace counts; and reconstructs inflows from employment changes and separations.</w:t>
      </w:r>
    </w:p>
    <w:p w:rsidR="00DB3490" w:rsidRPr="00DB3490" w:rsidRDefault="00DB3490" w:rsidP="00E528F8">
      <w:pPr>
        <w:pStyle w:val="aff3"/>
        <w:wordWrap/>
      </w:pPr>
      <w:r>
        <w:t>Coverage is limited to NPS-insured workers. The data omit workers outside the scheme, informal labour, hours, occupations, vacancies, recruiting expenditure, and the managerial decision behind an entry or exit. The outcomes should be read as insured-worker flows and insured employment, not complete measures of labour input. The records also report the contribution base used for pension contributions. Statutory caps and floors make it a measure of pensionable earnings rather than total compensation; we use it only in Online Appendix F.</w:t>
      </w:r>
    </w:p>
    <w:p w:rsidR="004E04F6" w:rsidRPr="00603AF1" w:rsidRDefault="004E04F6" w:rsidP="00E528F8">
      <w:pPr>
        <w:pStyle w:val="3"/>
      </w:pPr>
      <w:r w:rsidRPr="00603AF1">
        <w:t xml:space="preserve">3.2 </w:t>
      </w:r>
      <w:r w:rsidR="00DB3490" w:rsidRPr="00DB3490">
        <w:t>Private equity investments, sample construction, and supplementary data</w:t>
      </w:r>
    </w:p>
    <w:p w:rsidR="00680828" w:rsidRDefault="00680828" w:rsidP="00E528F8">
      <w:pPr>
        <w:pStyle w:val="aff3"/>
        <w:wordWrap/>
      </w:pPr>
      <w:r>
        <w:t>We identify investments in Korean firms from PitchBook and link them to NPS records.</w:t>
      </w:r>
      <w:r>
        <w:rPr>
          <w:rStyle w:val="ac"/>
        </w:rPr>
        <w:footnoteReference w:id="2"/>
      </w:r>
      <w:r>
        <w:t xml:space="preserve"> Of the 379 matched events, 283 link by business registration number and 96 through manually reviewed firm-name matches. Ambiguous candidates are excluded. The treatment follows the private equity</w:t>
      </w:r>
      <w:r>
        <w:rPr>
          <w:rStyle w:val="ac"/>
        </w:rPr>
        <w:footnoteReference w:id="3"/>
      </w:r>
      <w:r>
        <w:t xml:space="preserve"> classification used to build the transaction sample and includes minority growth investments as well as control transactions; 'buyout' is reserved for the relevant subset. The transaction file begins with 752 private equity investment events. We exclude 168 that cannot be linked to NPS records, 120 without sufficient pre-investment history, 75 with fewer than five insured employees at the deal, and 10 without an eligible baseline control cell. The baseline matched universe contains 379 events.</w:t>
      </w:r>
    </w:p>
    <w:p w:rsidR="00DB3490" w:rsidRPr="00DB3490" w:rsidRDefault="00DB3490" w:rsidP="00E528F8">
      <w:pPr>
        <w:pStyle w:val="aff3"/>
        <w:wordWrap/>
      </w:pPr>
      <w:r>
        <w:t xml:space="preserve">The average-effect and heterogeneity samples branch separately from this universe. The average-effect analysis contains 367 events that meet its outcome-availability rule. Conventional heterogeneity matching yields 301 events; adding the hiring-state restriction yields the 286-event primary gradient sample. The latter is not obtained by successively removing observations from the 367- or 301-event samples. </w:t>
      </w:r>
      <w:r>
        <w:lastRenderedPageBreak/>
        <w:t>The 93 events lost between the 379-event universe and the primary gradient sample have four sources: 53 lack a complete state window, one falls below five insured employees during that window, 17 lack an eligible control once the state restriction is imposed, and 22 lack a usable complete-window log-hiring outcome.</w:t>
      </w:r>
    </w:p>
    <w:p w:rsidR="00DB3490" w:rsidRPr="00DB3490" w:rsidRDefault="00DB3490" w:rsidP="00E528F8">
      <w:pPr>
        <w:pStyle w:val="aff3"/>
        <w:wordWrap/>
      </w:pPr>
      <w:r>
        <w:t xml:space="preserve">Each of the 379 treated events has a distinct business registration number, so the target sample does not contain repeat transactions for the same empirical firm. Sponsors can recur across targets; Online Appendix E examines that dimension. </w:t>
      </w:r>
      <w:r w:rsidRPr="00A54430">
        <w:t>The primary state-gradient sample contains transactions from November 2017 through May 2025. Its timing is constrained by the requirement that both the earlier state window and the complete twelve-month post-investment window be observed. The baseline matched universe is less restrictive because construction of a match does not itself require a complete post-investment outcome window</w:t>
      </w:r>
      <w:r>
        <w:t>.</w:t>
      </w:r>
      <w:r>
        <w:rPr>
          <w:rStyle w:val="ac"/>
        </w:rPr>
        <w:footnoteReference w:id="4"/>
      </w:r>
    </w:p>
    <w:p w:rsidR="00DB3490" w:rsidRPr="00DB3490" w:rsidRDefault="00DB3490" w:rsidP="00E528F8">
      <w:pPr>
        <w:pStyle w:val="aff3"/>
        <w:wordWrap/>
      </w:pPr>
      <w:r>
        <w:t>The matched sample is tilted towards smaller firms. Baseline targets have median insured employment of 79.8 and mean employment of 218.2, compared with a median of 135.6 among identified targets outside the matched design. The median deal year is 2021, and the targets span 44 two-digit industries. Table 1 reports sample construction and covariate balance. In the 286-event gradient sample, treated firms and controls are close in size, employment growth, hiring state, prior hiring, and prior separations. Firm age has the largest absolute normalised difference, at -0.1676. These statistics cover observed matching variables and nearby measures; they say nothing about unobserved determinants of investment or hiring.</w:t>
      </w:r>
    </w:p>
    <w:p w:rsidR="00DB3490" w:rsidRPr="00DB3490" w:rsidRDefault="00DB3490" w:rsidP="00E528F8">
      <w:pPr>
        <w:pStyle w:val="aff3"/>
        <w:wordWrap/>
      </w:pPr>
      <w:r>
        <w:t>Audited annual accounts supply cash, assets, liabilities, interest expense, revenue, and operating income. Because statutory audit coverage selects a smaller, generally larger-firm subsample, financial data are not required for the worker-flow analysis. The one-year audited analysis contains 147 events. Annual shareholder records identify large owners and stakes. We use them to measure acquired ownership, classify majority and minority investments where possible, and check the year in which a sponsor first appears. Their annual frequency cannot replace transaction-month dating in a monthly design.</w:t>
      </w:r>
    </w:p>
    <w:p w:rsidR="00603AF1" w:rsidRPr="00D77154" w:rsidRDefault="00603AF1" w:rsidP="00E528F8">
      <w:pPr>
        <w:pStyle w:val="a4"/>
        <w:wordWrap/>
        <w:spacing w:before="240"/>
        <w:rPr>
          <w:szCs w:val="22"/>
        </w:rPr>
      </w:pPr>
      <w:r w:rsidRPr="00D77154">
        <w:rPr>
          <w:b/>
          <w:bCs/>
          <w:szCs w:val="22"/>
        </w:rPr>
        <w:t xml:space="preserve">Table 1. </w:t>
      </w:r>
      <w:r w:rsidR="00DB3490" w:rsidRPr="00DB3490">
        <w:rPr>
          <w:b/>
          <w:bCs/>
          <w:szCs w:val="22"/>
        </w:rPr>
        <w:t>Sample construction and characteristics of the matched population</w:t>
      </w:r>
    </w:p>
    <w:p w:rsidR="00603AF1" w:rsidRPr="00D77154" w:rsidRDefault="00603AF1" w:rsidP="00E528F8">
      <w:pPr>
        <w:pStyle w:val="a4"/>
        <w:wordWrap/>
        <w:spacing w:after="0"/>
        <w:rPr>
          <w:szCs w:val="22"/>
        </w:rPr>
      </w:pPr>
      <w:r w:rsidRPr="00D77154">
        <w:rPr>
          <w:b/>
          <w:bCs/>
          <w:szCs w:val="22"/>
        </w:rPr>
        <w:t>Panel A. Sample</w:t>
      </w:r>
      <w:r w:rsidR="00DB3490">
        <w:rPr>
          <w:b/>
          <w:bCs/>
          <w:szCs w:val="22"/>
        </w:rPr>
        <w:t xml:space="preserve"> construction</w:t>
      </w:r>
    </w:p>
    <w:tbl>
      <w:tblPr>
        <w:tblStyle w:val="Table0"/>
        <w:tblW w:w="9041" w:type="dxa"/>
        <w:tblLook w:val="0000" w:firstRow="0" w:lastRow="0" w:firstColumn="0" w:lastColumn="0" w:noHBand="0" w:noVBand="0"/>
      </w:tblPr>
      <w:tblGrid>
        <w:gridCol w:w="8220"/>
        <w:gridCol w:w="821"/>
      </w:tblGrid>
      <w:tr w:rsidR="000F39B1" w:rsidRPr="00D77154" w:rsidTr="00B264D8">
        <w:trPr>
          <w:tblHeader/>
        </w:trPr>
        <w:tc>
          <w:tcPr>
            <w:tcW w:w="8220" w:type="dxa"/>
          </w:tcPr>
          <w:p w:rsidR="000F39B1" w:rsidRPr="000F39B1" w:rsidRDefault="000F39B1" w:rsidP="00E528F8">
            <w:pPr>
              <w:wordWrap/>
              <w:rPr>
                <w:sz w:val="22"/>
              </w:rPr>
            </w:pPr>
            <w:r w:rsidRPr="000F39B1">
              <w:rPr>
                <w:sz w:val="22"/>
              </w:rPr>
              <w:lastRenderedPageBreak/>
              <w:t>Private equity investment events identified</w:t>
            </w:r>
          </w:p>
        </w:tc>
        <w:tc>
          <w:tcPr>
            <w:tcW w:w="0" w:type="auto"/>
          </w:tcPr>
          <w:p w:rsidR="000F39B1" w:rsidRPr="000F39B1" w:rsidRDefault="000F39B1" w:rsidP="00E528F8">
            <w:pPr>
              <w:wordWrap/>
              <w:jc w:val="right"/>
              <w:rPr>
                <w:sz w:val="22"/>
              </w:rPr>
            </w:pPr>
            <w:r w:rsidRPr="000F39B1">
              <w:rPr>
                <w:sz w:val="22"/>
              </w:rPr>
              <w:t>752</w:t>
            </w:r>
          </w:p>
        </w:tc>
      </w:tr>
      <w:tr w:rsidR="000F39B1" w:rsidRPr="00D77154" w:rsidTr="00B264D8">
        <w:tc>
          <w:tcPr>
            <w:tcW w:w="8220" w:type="dxa"/>
          </w:tcPr>
          <w:p w:rsidR="000F39B1" w:rsidRPr="000F39B1" w:rsidRDefault="000F39B1" w:rsidP="00E528F8">
            <w:pPr>
              <w:wordWrap/>
              <w:rPr>
                <w:sz w:val="22"/>
              </w:rPr>
            </w:pPr>
            <w:r w:rsidRPr="000F39B1">
              <w:rPr>
                <w:sz w:val="22"/>
              </w:rPr>
              <w:t xml:space="preserve">  Unable to link to NPS records</w:t>
            </w:r>
          </w:p>
        </w:tc>
        <w:tc>
          <w:tcPr>
            <w:tcW w:w="0" w:type="auto"/>
          </w:tcPr>
          <w:p w:rsidR="000F39B1" w:rsidRPr="000F39B1" w:rsidRDefault="000F39B1" w:rsidP="00E528F8">
            <w:pPr>
              <w:wordWrap/>
              <w:jc w:val="right"/>
              <w:rPr>
                <w:sz w:val="22"/>
              </w:rPr>
            </w:pPr>
            <w:r w:rsidRPr="000F39B1">
              <w:rPr>
                <w:sz w:val="22"/>
              </w:rPr>
              <w:t>-168</w:t>
            </w:r>
          </w:p>
        </w:tc>
      </w:tr>
      <w:tr w:rsidR="000F39B1" w:rsidRPr="00D77154" w:rsidTr="00B264D8">
        <w:tc>
          <w:tcPr>
            <w:tcW w:w="8220" w:type="dxa"/>
          </w:tcPr>
          <w:p w:rsidR="000F39B1" w:rsidRPr="000F39B1" w:rsidRDefault="000F39B1" w:rsidP="00E528F8">
            <w:pPr>
              <w:wordWrap/>
              <w:rPr>
                <w:sz w:val="22"/>
              </w:rPr>
            </w:pPr>
            <w:r w:rsidRPr="000F39B1">
              <w:rPr>
                <w:sz w:val="22"/>
              </w:rPr>
              <w:t xml:space="preserve">  Insufficient pre-investment history</w:t>
            </w:r>
          </w:p>
        </w:tc>
        <w:tc>
          <w:tcPr>
            <w:tcW w:w="0" w:type="auto"/>
          </w:tcPr>
          <w:p w:rsidR="000F39B1" w:rsidRPr="000F39B1" w:rsidRDefault="000F39B1" w:rsidP="00E528F8">
            <w:pPr>
              <w:wordWrap/>
              <w:jc w:val="right"/>
              <w:rPr>
                <w:sz w:val="22"/>
              </w:rPr>
            </w:pPr>
            <w:r w:rsidRPr="000F39B1">
              <w:rPr>
                <w:sz w:val="22"/>
              </w:rPr>
              <w:t>-120</w:t>
            </w:r>
          </w:p>
        </w:tc>
      </w:tr>
      <w:tr w:rsidR="000F39B1" w:rsidRPr="00D77154" w:rsidTr="00B264D8">
        <w:tc>
          <w:tcPr>
            <w:tcW w:w="8220" w:type="dxa"/>
          </w:tcPr>
          <w:p w:rsidR="000F39B1" w:rsidRPr="000F39B1" w:rsidRDefault="000F39B1" w:rsidP="00E528F8">
            <w:pPr>
              <w:wordWrap/>
              <w:rPr>
                <w:sz w:val="22"/>
              </w:rPr>
            </w:pPr>
            <w:r w:rsidRPr="000F39B1">
              <w:rPr>
                <w:sz w:val="22"/>
              </w:rPr>
              <w:t xml:space="preserve">  Fewer than five insured employees at transaction</w:t>
            </w:r>
          </w:p>
        </w:tc>
        <w:tc>
          <w:tcPr>
            <w:tcW w:w="0" w:type="auto"/>
          </w:tcPr>
          <w:p w:rsidR="000F39B1" w:rsidRPr="000F39B1" w:rsidRDefault="000F39B1" w:rsidP="00E528F8">
            <w:pPr>
              <w:wordWrap/>
              <w:jc w:val="right"/>
              <w:rPr>
                <w:sz w:val="22"/>
              </w:rPr>
            </w:pPr>
            <w:r w:rsidRPr="000F39B1">
              <w:rPr>
                <w:sz w:val="22"/>
              </w:rPr>
              <w:t>-75</w:t>
            </w:r>
          </w:p>
        </w:tc>
      </w:tr>
      <w:tr w:rsidR="000F39B1" w:rsidRPr="00D77154" w:rsidTr="00B264D8">
        <w:tc>
          <w:tcPr>
            <w:tcW w:w="8220" w:type="dxa"/>
          </w:tcPr>
          <w:p w:rsidR="000F39B1" w:rsidRPr="000F39B1" w:rsidRDefault="000F39B1" w:rsidP="00E528F8">
            <w:pPr>
              <w:wordWrap/>
              <w:rPr>
                <w:sz w:val="22"/>
              </w:rPr>
            </w:pPr>
            <w:r w:rsidRPr="000F39B1">
              <w:rPr>
                <w:sz w:val="22"/>
              </w:rPr>
              <w:t xml:space="preserve">  No eligible baseline control cell</w:t>
            </w:r>
          </w:p>
        </w:tc>
        <w:tc>
          <w:tcPr>
            <w:tcW w:w="0" w:type="auto"/>
          </w:tcPr>
          <w:p w:rsidR="000F39B1" w:rsidRPr="000F39B1" w:rsidRDefault="000F39B1" w:rsidP="00E528F8">
            <w:pPr>
              <w:wordWrap/>
              <w:jc w:val="right"/>
              <w:rPr>
                <w:sz w:val="22"/>
              </w:rPr>
            </w:pPr>
            <w:r w:rsidRPr="000F39B1">
              <w:rPr>
                <w:sz w:val="22"/>
              </w:rPr>
              <w:t>-10</w:t>
            </w:r>
          </w:p>
        </w:tc>
      </w:tr>
      <w:tr w:rsidR="000F39B1" w:rsidRPr="00D77154" w:rsidTr="00B264D8">
        <w:tc>
          <w:tcPr>
            <w:tcW w:w="8220" w:type="dxa"/>
          </w:tcPr>
          <w:p w:rsidR="000F39B1" w:rsidRPr="000F39B1" w:rsidRDefault="000F39B1" w:rsidP="00E528F8">
            <w:pPr>
              <w:wordWrap/>
              <w:rPr>
                <w:sz w:val="22"/>
              </w:rPr>
            </w:pPr>
            <w:r w:rsidRPr="000F39B1">
              <w:rPr>
                <w:sz w:val="22"/>
              </w:rPr>
              <w:t>Baseline matched universe</w:t>
            </w:r>
          </w:p>
        </w:tc>
        <w:tc>
          <w:tcPr>
            <w:tcW w:w="0" w:type="auto"/>
          </w:tcPr>
          <w:p w:rsidR="000F39B1" w:rsidRPr="000F39B1" w:rsidRDefault="000F39B1" w:rsidP="00E528F8">
            <w:pPr>
              <w:wordWrap/>
              <w:jc w:val="right"/>
              <w:rPr>
                <w:sz w:val="22"/>
              </w:rPr>
            </w:pPr>
            <w:r w:rsidRPr="000F39B1">
              <w:rPr>
                <w:sz w:val="22"/>
              </w:rPr>
              <w:t>379</w:t>
            </w:r>
          </w:p>
        </w:tc>
      </w:tr>
      <w:tr w:rsidR="000F39B1" w:rsidRPr="00D77154" w:rsidTr="00B264D8">
        <w:tc>
          <w:tcPr>
            <w:tcW w:w="8220" w:type="dxa"/>
          </w:tcPr>
          <w:p w:rsidR="000F39B1" w:rsidRPr="000F39B1" w:rsidRDefault="000F39B1" w:rsidP="00E528F8">
            <w:pPr>
              <w:wordWrap/>
              <w:rPr>
                <w:sz w:val="22"/>
              </w:rPr>
            </w:pPr>
            <w:r w:rsidRPr="000F39B1">
              <w:rPr>
                <w:rFonts w:hint="eastAsia"/>
                <w:sz w:val="22"/>
              </w:rPr>
              <w:t>Average-effect sample (</w:t>
            </w:r>
            <w:r w:rsidRPr="000F39B1">
              <w:rPr>
                <w:rFonts w:hint="eastAsia"/>
                <w:sz w:val="22"/>
              </w:rPr>
              <w:t>≥</w:t>
            </w:r>
            <w:r w:rsidRPr="000F39B1">
              <w:rPr>
                <w:rFonts w:hint="eastAsia"/>
                <w:sz w:val="22"/>
              </w:rPr>
              <w:t>6 observed months per window, target and a control)</w:t>
            </w:r>
          </w:p>
        </w:tc>
        <w:tc>
          <w:tcPr>
            <w:tcW w:w="0" w:type="auto"/>
          </w:tcPr>
          <w:p w:rsidR="000F39B1" w:rsidRPr="000F39B1" w:rsidRDefault="000F39B1" w:rsidP="00E528F8">
            <w:pPr>
              <w:wordWrap/>
              <w:jc w:val="right"/>
              <w:rPr>
                <w:sz w:val="22"/>
              </w:rPr>
            </w:pPr>
            <w:r w:rsidRPr="000F39B1">
              <w:rPr>
                <w:rFonts w:hint="eastAsia"/>
                <w:sz w:val="22"/>
              </w:rPr>
              <w:t>367</w:t>
            </w:r>
          </w:p>
        </w:tc>
      </w:tr>
      <w:tr w:rsidR="000F39B1" w:rsidRPr="00D77154" w:rsidTr="00B264D8">
        <w:tc>
          <w:tcPr>
            <w:tcW w:w="8220" w:type="dxa"/>
          </w:tcPr>
          <w:p w:rsidR="000F39B1" w:rsidRPr="000F39B1" w:rsidRDefault="000F39B1" w:rsidP="00E528F8">
            <w:pPr>
              <w:wordWrap/>
              <w:rPr>
                <w:sz w:val="22"/>
              </w:rPr>
            </w:pPr>
            <w:r w:rsidRPr="000F39B1">
              <w:rPr>
                <w:sz w:val="22"/>
              </w:rPr>
              <w:t xml:space="preserve">Conventional heterogeneity </w:t>
            </w:r>
            <w:r w:rsidR="00AF3B33">
              <w:rPr>
                <w:sz w:val="22"/>
              </w:rPr>
              <w:t>sample</w:t>
            </w:r>
          </w:p>
        </w:tc>
        <w:tc>
          <w:tcPr>
            <w:tcW w:w="0" w:type="auto"/>
          </w:tcPr>
          <w:p w:rsidR="000F39B1" w:rsidRPr="000F39B1" w:rsidRDefault="000F39B1" w:rsidP="00E528F8">
            <w:pPr>
              <w:wordWrap/>
              <w:jc w:val="right"/>
              <w:rPr>
                <w:sz w:val="22"/>
              </w:rPr>
            </w:pPr>
            <w:r w:rsidRPr="000F39B1">
              <w:rPr>
                <w:sz w:val="22"/>
              </w:rPr>
              <w:t>301</w:t>
            </w:r>
          </w:p>
        </w:tc>
      </w:tr>
      <w:tr w:rsidR="000F39B1" w:rsidRPr="00D77154" w:rsidTr="00B264D8">
        <w:tc>
          <w:tcPr>
            <w:tcW w:w="8220" w:type="dxa"/>
          </w:tcPr>
          <w:p w:rsidR="000F39B1" w:rsidRPr="000F39B1" w:rsidRDefault="000F39B1" w:rsidP="00E528F8">
            <w:pPr>
              <w:wordWrap/>
              <w:rPr>
                <w:sz w:val="22"/>
              </w:rPr>
            </w:pPr>
            <w:r w:rsidRPr="000F39B1">
              <w:rPr>
                <w:sz w:val="22"/>
              </w:rPr>
              <w:t>Primary gradient sample</w:t>
            </w:r>
          </w:p>
        </w:tc>
        <w:tc>
          <w:tcPr>
            <w:tcW w:w="0" w:type="auto"/>
          </w:tcPr>
          <w:p w:rsidR="000F39B1" w:rsidRPr="000F39B1" w:rsidRDefault="000F39B1" w:rsidP="00E528F8">
            <w:pPr>
              <w:wordWrap/>
              <w:jc w:val="right"/>
              <w:rPr>
                <w:sz w:val="22"/>
              </w:rPr>
            </w:pPr>
            <w:r w:rsidRPr="000F39B1">
              <w:rPr>
                <w:sz w:val="22"/>
              </w:rPr>
              <w:t>286</w:t>
            </w:r>
          </w:p>
        </w:tc>
      </w:tr>
      <w:tr w:rsidR="000F39B1" w:rsidRPr="00D77154" w:rsidTr="00B264D8">
        <w:tc>
          <w:tcPr>
            <w:tcW w:w="8220" w:type="dxa"/>
          </w:tcPr>
          <w:p w:rsidR="000F39B1" w:rsidRPr="000F39B1" w:rsidRDefault="000F39B1" w:rsidP="00E528F8">
            <w:pPr>
              <w:wordWrap/>
              <w:rPr>
                <w:sz w:val="22"/>
              </w:rPr>
            </w:pPr>
            <w:r w:rsidRPr="000F39B1">
              <w:rPr>
                <w:sz w:val="22"/>
              </w:rPr>
              <w:t xml:space="preserve">    State window, months -24 to -13, not fully observed</w:t>
            </w:r>
          </w:p>
        </w:tc>
        <w:tc>
          <w:tcPr>
            <w:tcW w:w="0" w:type="auto"/>
          </w:tcPr>
          <w:p w:rsidR="000F39B1" w:rsidRPr="000F39B1" w:rsidRDefault="000F39B1" w:rsidP="00E528F8">
            <w:pPr>
              <w:wordWrap/>
              <w:jc w:val="right"/>
              <w:rPr>
                <w:sz w:val="22"/>
              </w:rPr>
            </w:pPr>
            <w:r w:rsidRPr="000F39B1">
              <w:rPr>
                <w:sz w:val="22"/>
              </w:rPr>
              <w:t>-53</w:t>
            </w:r>
          </w:p>
        </w:tc>
      </w:tr>
      <w:tr w:rsidR="000F39B1" w:rsidRPr="00D77154" w:rsidTr="00B264D8">
        <w:tc>
          <w:tcPr>
            <w:tcW w:w="8220" w:type="dxa"/>
          </w:tcPr>
          <w:p w:rsidR="000F39B1" w:rsidRPr="000F39B1" w:rsidRDefault="000F39B1" w:rsidP="00E528F8">
            <w:pPr>
              <w:wordWrap/>
              <w:rPr>
                <w:sz w:val="22"/>
              </w:rPr>
            </w:pPr>
            <w:r w:rsidRPr="000F39B1">
              <w:rPr>
                <w:sz w:val="22"/>
              </w:rPr>
              <w:t xml:space="preserve">    Employment below five within the state window</w:t>
            </w:r>
          </w:p>
        </w:tc>
        <w:tc>
          <w:tcPr>
            <w:tcW w:w="0" w:type="auto"/>
          </w:tcPr>
          <w:p w:rsidR="000F39B1" w:rsidRPr="000F39B1" w:rsidRDefault="000F39B1" w:rsidP="00E528F8">
            <w:pPr>
              <w:wordWrap/>
              <w:jc w:val="right"/>
              <w:rPr>
                <w:sz w:val="22"/>
              </w:rPr>
            </w:pPr>
            <w:r w:rsidRPr="000F39B1">
              <w:rPr>
                <w:sz w:val="22"/>
              </w:rPr>
              <w:t>-1</w:t>
            </w:r>
          </w:p>
        </w:tc>
      </w:tr>
      <w:tr w:rsidR="000F39B1" w:rsidRPr="00D77154" w:rsidTr="00B264D8">
        <w:tc>
          <w:tcPr>
            <w:tcW w:w="8220" w:type="dxa"/>
          </w:tcPr>
          <w:p w:rsidR="000F39B1" w:rsidRPr="000F39B1" w:rsidRDefault="000F39B1" w:rsidP="00E528F8">
            <w:pPr>
              <w:wordWrap/>
              <w:rPr>
                <w:sz w:val="22"/>
              </w:rPr>
            </w:pPr>
            <w:r w:rsidRPr="000F39B1">
              <w:rPr>
                <w:sz w:val="22"/>
              </w:rPr>
              <w:t xml:space="preserve"> </w:t>
            </w:r>
            <w:r w:rsidR="00994106">
              <w:rPr>
                <w:sz w:val="22"/>
              </w:rPr>
              <w:t xml:space="preserve">   </w:t>
            </w:r>
            <w:r w:rsidR="00994106" w:rsidRPr="00994106">
              <w:rPr>
                <w:sz w:val="22"/>
              </w:rPr>
              <w:t>No eligible control cell under the additional hiring-state restriction</w:t>
            </w:r>
          </w:p>
        </w:tc>
        <w:tc>
          <w:tcPr>
            <w:tcW w:w="0" w:type="auto"/>
          </w:tcPr>
          <w:p w:rsidR="000F39B1" w:rsidRPr="000F39B1" w:rsidRDefault="000F39B1" w:rsidP="00E528F8">
            <w:pPr>
              <w:wordWrap/>
              <w:jc w:val="right"/>
              <w:rPr>
                <w:sz w:val="22"/>
              </w:rPr>
            </w:pPr>
            <w:r w:rsidRPr="000F39B1">
              <w:rPr>
                <w:sz w:val="22"/>
              </w:rPr>
              <w:t>-17</w:t>
            </w:r>
          </w:p>
        </w:tc>
      </w:tr>
      <w:tr w:rsidR="000F39B1" w:rsidRPr="00D77154" w:rsidTr="00B264D8">
        <w:tc>
          <w:tcPr>
            <w:tcW w:w="8220" w:type="dxa"/>
          </w:tcPr>
          <w:p w:rsidR="000F39B1" w:rsidRPr="000F39B1" w:rsidRDefault="000F39B1" w:rsidP="00E528F8">
            <w:pPr>
              <w:wordWrap/>
              <w:rPr>
                <w:sz w:val="22"/>
              </w:rPr>
            </w:pPr>
            <w:r w:rsidRPr="000F39B1">
              <w:rPr>
                <w:sz w:val="22"/>
              </w:rPr>
              <w:t xml:space="preserve"> </w:t>
            </w:r>
            <w:r w:rsidR="00FC7E9D">
              <w:rPr>
                <w:sz w:val="22"/>
              </w:rPr>
              <w:t xml:space="preserve">   </w:t>
            </w:r>
            <w:r w:rsidR="00FC7E9D" w:rsidRPr="00FC7E9D">
              <w:rPr>
                <w:sz w:val="22"/>
              </w:rPr>
              <w:t>No usable primary log-hiring outcome</w:t>
            </w:r>
          </w:p>
        </w:tc>
        <w:tc>
          <w:tcPr>
            <w:tcW w:w="0" w:type="auto"/>
          </w:tcPr>
          <w:p w:rsidR="000F39B1" w:rsidRPr="000F39B1" w:rsidRDefault="000F39B1" w:rsidP="00E528F8">
            <w:pPr>
              <w:wordWrap/>
              <w:jc w:val="right"/>
              <w:rPr>
                <w:sz w:val="22"/>
              </w:rPr>
            </w:pPr>
            <w:r w:rsidRPr="000F39B1">
              <w:rPr>
                <w:sz w:val="22"/>
              </w:rPr>
              <w:t>-22</w:t>
            </w:r>
          </w:p>
        </w:tc>
      </w:tr>
      <w:tr w:rsidR="000F39B1" w:rsidRPr="00D77154" w:rsidTr="00B264D8">
        <w:tc>
          <w:tcPr>
            <w:tcW w:w="8220" w:type="dxa"/>
          </w:tcPr>
          <w:p w:rsidR="000F39B1" w:rsidRPr="000F39B1" w:rsidRDefault="000F39B1" w:rsidP="00E528F8">
            <w:pPr>
              <w:wordWrap/>
              <w:rPr>
                <w:sz w:val="22"/>
              </w:rPr>
            </w:pPr>
            <w:r w:rsidRPr="000F39B1">
              <w:rPr>
                <w:sz w:val="22"/>
              </w:rPr>
              <w:t>Complete transaction-characteristic sample</w:t>
            </w:r>
          </w:p>
        </w:tc>
        <w:tc>
          <w:tcPr>
            <w:tcW w:w="0" w:type="auto"/>
          </w:tcPr>
          <w:p w:rsidR="000F39B1" w:rsidRPr="000F39B1" w:rsidRDefault="000F39B1" w:rsidP="00E528F8">
            <w:pPr>
              <w:wordWrap/>
              <w:jc w:val="right"/>
              <w:rPr>
                <w:sz w:val="22"/>
              </w:rPr>
            </w:pPr>
            <w:r w:rsidRPr="000F39B1">
              <w:rPr>
                <w:sz w:val="22"/>
              </w:rPr>
              <w:t>180</w:t>
            </w:r>
          </w:p>
        </w:tc>
      </w:tr>
      <w:tr w:rsidR="000F39B1" w:rsidRPr="00D77154" w:rsidTr="00B264D8">
        <w:tc>
          <w:tcPr>
            <w:tcW w:w="8220" w:type="dxa"/>
          </w:tcPr>
          <w:p w:rsidR="000F39B1" w:rsidRPr="000F39B1" w:rsidRDefault="000F39B1" w:rsidP="00E528F8">
            <w:pPr>
              <w:wordWrap/>
              <w:rPr>
                <w:sz w:val="22"/>
              </w:rPr>
            </w:pPr>
            <w:r w:rsidRPr="000F39B1">
              <w:rPr>
                <w:sz w:val="22"/>
              </w:rPr>
              <w:t>Audited financial-statement sample used in the one-year analysis</w:t>
            </w:r>
          </w:p>
        </w:tc>
        <w:tc>
          <w:tcPr>
            <w:tcW w:w="0" w:type="auto"/>
          </w:tcPr>
          <w:p w:rsidR="000F39B1" w:rsidRPr="000F39B1" w:rsidRDefault="000F39B1" w:rsidP="00E528F8">
            <w:pPr>
              <w:wordWrap/>
              <w:jc w:val="right"/>
              <w:rPr>
                <w:sz w:val="22"/>
              </w:rPr>
            </w:pPr>
            <w:r w:rsidRPr="000F39B1">
              <w:rPr>
                <w:sz w:val="22"/>
              </w:rPr>
              <w:t>147</w:t>
            </w:r>
          </w:p>
        </w:tc>
      </w:tr>
    </w:tbl>
    <w:p w:rsidR="00603AF1" w:rsidRPr="00994106" w:rsidRDefault="00994106" w:rsidP="00E528F8">
      <w:pPr>
        <w:wordWrap/>
        <w:rPr>
          <w:color w:val="595959" w:themeColor="text1" w:themeTint="A6"/>
          <w:kern w:val="0"/>
        </w:rPr>
      </w:pPr>
      <w:r w:rsidRPr="00994106">
        <w:rPr>
          <w:color w:val="595959" w:themeColor="text1" w:themeTint="A6"/>
          <w:kern w:val="0"/>
        </w:rPr>
        <w:t>Notes</w:t>
      </w:r>
      <w:r w:rsidRPr="00DA3856">
        <w:rPr>
          <w:color w:val="595959" w:themeColor="text1" w:themeTint="A6"/>
          <w:kern w:val="0"/>
        </w:rPr>
        <w:t xml:space="preserve">. </w:t>
      </w:r>
      <w:r w:rsidRPr="00994106">
        <w:rPr>
          <w:color w:val="595959" w:themeColor="text1" w:themeTint="A6"/>
          <w:kern w:val="0"/>
        </w:rPr>
        <w:t>The primary gradient sample additionally requires the treated target and its controls to belong to the same pre-deal hiring-state tercile; Section 4.1 describes this matching restriction.</w:t>
      </w:r>
    </w:p>
    <w:p w:rsidR="00994106" w:rsidRPr="00DA3856" w:rsidRDefault="00994106" w:rsidP="00E528F8">
      <w:pPr>
        <w:wordWrap/>
        <w:rPr>
          <w:sz w:val="10"/>
          <w:szCs w:val="10"/>
        </w:rPr>
      </w:pPr>
    </w:p>
    <w:p w:rsidR="000F39B1" w:rsidRPr="00D77154" w:rsidRDefault="00603AF1" w:rsidP="00E528F8">
      <w:pPr>
        <w:pStyle w:val="a4"/>
        <w:wordWrap/>
        <w:rPr>
          <w:szCs w:val="22"/>
        </w:rPr>
      </w:pPr>
      <w:r w:rsidRPr="00D77154">
        <w:rPr>
          <w:b/>
          <w:bCs/>
          <w:szCs w:val="22"/>
        </w:rPr>
        <w:t xml:space="preserve">Panel B. </w:t>
      </w:r>
      <w:r w:rsidR="000F39B1" w:rsidRPr="000F39B1">
        <w:rPr>
          <w:b/>
          <w:bCs/>
          <w:szCs w:val="22"/>
        </w:rPr>
        <w:t>Target characteristics and sample scope</w:t>
      </w:r>
    </w:p>
    <w:tbl>
      <w:tblPr>
        <w:tblStyle w:val="Table0"/>
        <w:tblW w:w="0" w:type="auto"/>
        <w:tblLook w:val="0020" w:firstRow="1" w:lastRow="0" w:firstColumn="0" w:lastColumn="0" w:noHBand="0" w:noVBand="0"/>
      </w:tblPr>
      <w:tblGrid>
        <w:gridCol w:w="3261"/>
        <w:gridCol w:w="2409"/>
        <w:gridCol w:w="3318"/>
      </w:tblGrid>
      <w:tr w:rsidR="000F39B1" w:rsidRPr="00D77154" w:rsidTr="00F272CD">
        <w:trPr>
          <w:cnfStyle w:val="100000000000" w:firstRow="1" w:lastRow="0" w:firstColumn="0" w:lastColumn="0" w:oddVBand="0" w:evenVBand="0" w:oddHBand="0" w:evenHBand="0" w:firstRowFirstColumn="0" w:firstRowLastColumn="0" w:lastRowFirstColumn="0" w:lastRowLastColumn="0"/>
          <w:trHeight w:val="454"/>
          <w:tblHeader/>
        </w:trPr>
        <w:tc>
          <w:tcPr>
            <w:tcW w:w="3261" w:type="dxa"/>
            <w:vAlign w:val="center"/>
          </w:tcPr>
          <w:p w:rsidR="000F39B1" w:rsidRPr="00456B66" w:rsidRDefault="000F39B1" w:rsidP="00E528F8">
            <w:pPr>
              <w:wordWrap/>
              <w:snapToGrid w:val="0"/>
              <w:rPr>
                <w:sz w:val="22"/>
                <w:szCs w:val="22"/>
              </w:rPr>
            </w:pPr>
            <w:r w:rsidRPr="00456B66">
              <w:rPr>
                <w:sz w:val="22"/>
                <w:szCs w:val="22"/>
              </w:rPr>
              <w:t>Characteristic</w:t>
            </w:r>
          </w:p>
        </w:tc>
        <w:tc>
          <w:tcPr>
            <w:tcW w:w="2409" w:type="dxa"/>
            <w:vAlign w:val="center"/>
          </w:tcPr>
          <w:p w:rsidR="000F39B1" w:rsidRPr="00456B66" w:rsidRDefault="000F39B1" w:rsidP="00E528F8">
            <w:pPr>
              <w:wordWrap/>
              <w:snapToGrid w:val="0"/>
              <w:jc w:val="center"/>
              <w:rPr>
                <w:sz w:val="22"/>
                <w:szCs w:val="22"/>
              </w:rPr>
            </w:pPr>
            <w:r w:rsidRPr="00456B66">
              <w:rPr>
                <w:sz w:val="22"/>
                <w:szCs w:val="22"/>
              </w:rPr>
              <w:t>Matched targets</w:t>
            </w:r>
          </w:p>
        </w:tc>
        <w:tc>
          <w:tcPr>
            <w:tcW w:w="3318" w:type="dxa"/>
            <w:vAlign w:val="center"/>
          </w:tcPr>
          <w:p w:rsidR="000F39B1" w:rsidRPr="00456B66" w:rsidRDefault="00456B66" w:rsidP="00E528F8">
            <w:pPr>
              <w:wordWrap/>
              <w:snapToGrid w:val="0"/>
              <w:jc w:val="center"/>
              <w:rPr>
                <w:sz w:val="22"/>
                <w:szCs w:val="22"/>
              </w:rPr>
            </w:pPr>
            <w:r>
              <w:rPr>
                <w:sz w:val="22"/>
                <w:szCs w:val="22"/>
              </w:rPr>
              <w:t>Identified targets not entering</w:t>
            </w:r>
            <w:r>
              <w:rPr>
                <w:sz w:val="22"/>
                <w:szCs w:val="22"/>
              </w:rPr>
              <w:br/>
            </w:r>
            <w:r w:rsidR="000F39B1" w:rsidRPr="00456B66">
              <w:rPr>
                <w:sz w:val="22"/>
                <w:szCs w:val="22"/>
              </w:rPr>
              <w:t>the matched design</w:t>
            </w:r>
          </w:p>
        </w:tc>
      </w:tr>
      <w:tr w:rsidR="000F39B1" w:rsidRPr="00D77154" w:rsidTr="00F272CD">
        <w:trPr>
          <w:trHeight w:val="405"/>
        </w:trPr>
        <w:tc>
          <w:tcPr>
            <w:tcW w:w="3261" w:type="dxa"/>
          </w:tcPr>
          <w:p w:rsidR="000F39B1" w:rsidRPr="000F39B1" w:rsidRDefault="000F39B1" w:rsidP="00E528F8">
            <w:pPr>
              <w:wordWrap/>
              <w:rPr>
                <w:sz w:val="22"/>
                <w:szCs w:val="22"/>
              </w:rPr>
            </w:pPr>
            <w:r w:rsidRPr="000F39B1">
              <w:rPr>
                <w:sz w:val="22"/>
                <w:szCs w:val="22"/>
              </w:rPr>
              <w:t>Median insured employment</w:t>
            </w:r>
          </w:p>
        </w:tc>
        <w:tc>
          <w:tcPr>
            <w:tcW w:w="2409" w:type="dxa"/>
          </w:tcPr>
          <w:p w:rsidR="000F39B1" w:rsidRPr="000F39B1" w:rsidRDefault="000F39B1" w:rsidP="00E528F8">
            <w:pPr>
              <w:wordWrap/>
              <w:jc w:val="center"/>
              <w:rPr>
                <w:sz w:val="22"/>
                <w:szCs w:val="22"/>
              </w:rPr>
            </w:pPr>
            <w:r w:rsidRPr="000F39B1">
              <w:rPr>
                <w:sz w:val="22"/>
                <w:szCs w:val="22"/>
              </w:rPr>
              <w:t>79.8</w:t>
            </w:r>
          </w:p>
        </w:tc>
        <w:tc>
          <w:tcPr>
            <w:tcW w:w="3318" w:type="dxa"/>
          </w:tcPr>
          <w:p w:rsidR="000F39B1" w:rsidRPr="000F39B1" w:rsidRDefault="000F39B1" w:rsidP="00E528F8">
            <w:pPr>
              <w:wordWrap/>
              <w:jc w:val="center"/>
              <w:rPr>
                <w:sz w:val="22"/>
                <w:szCs w:val="22"/>
              </w:rPr>
            </w:pPr>
            <w:r w:rsidRPr="000F39B1">
              <w:rPr>
                <w:sz w:val="22"/>
                <w:szCs w:val="22"/>
              </w:rPr>
              <w:t>135.6</w:t>
            </w:r>
          </w:p>
        </w:tc>
      </w:tr>
      <w:tr w:rsidR="000F39B1" w:rsidRPr="00D77154" w:rsidTr="00F272CD">
        <w:trPr>
          <w:trHeight w:val="405"/>
        </w:trPr>
        <w:tc>
          <w:tcPr>
            <w:tcW w:w="3261" w:type="dxa"/>
          </w:tcPr>
          <w:p w:rsidR="000F39B1" w:rsidRPr="000F39B1" w:rsidRDefault="000F39B1" w:rsidP="00E528F8">
            <w:pPr>
              <w:wordWrap/>
              <w:rPr>
                <w:sz w:val="22"/>
                <w:szCs w:val="22"/>
              </w:rPr>
            </w:pPr>
            <w:r w:rsidRPr="000F39B1">
              <w:rPr>
                <w:sz w:val="22"/>
                <w:szCs w:val="22"/>
              </w:rPr>
              <w:t>Mean insured employment</w:t>
            </w:r>
          </w:p>
        </w:tc>
        <w:tc>
          <w:tcPr>
            <w:tcW w:w="2409" w:type="dxa"/>
          </w:tcPr>
          <w:p w:rsidR="000F39B1" w:rsidRPr="000F39B1" w:rsidRDefault="000F39B1" w:rsidP="00E528F8">
            <w:pPr>
              <w:wordWrap/>
              <w:jc w:val="center"/>
              <w:rPr>
                <w:sz w:val="22"/>
                <w:szCs w:val="22"/>
              </w:rPr>
            </w:pPr>
            <w:r w:rsidRPr="000F39B1">
              <w:rPr>
                <w:sz w:val="22"/>
                <w:szCs w:val="22"/>
              </w:rPr>
              <w:t>218.2</w:t>
            </w:r>
          </w:p>
        </w:tc>
        <w:tc>
          <w:tcPr>
            <w:tcW w:w="3318" w:type="dxa"/>
          </w:tcPr>
          <w:p w:rsidR="000F39B1" w:rsidRPr="000F39B1" w:rsidRDefault="000F39B1" w:rsidP="00E528F8">
            <w:pPr>
              <w:wordWrap/>
              <w:jc w:val="center"/>
              <w:rPr>
                <w:sz w:val="22"/>
                <w:szCs w:val="22"/>
              </w:rPr>
            </w:pPr>
            <w:r w:rsidRPr="000F39B1">
              <w:rPr>
                <w:sz w:val="22"/>
                <w:szCs w:val="22"/>
              </w:rPr>
              <w:t>-</w:t>
            </w:r>
          </w:p>
        </w:tc>
      </w:tr>
      <w:tr w:rsidR="000F39B1" w:rsidRPr="00D77154" w:rsidTr="00F272CD">
        <w:trPr>
          <w:trHeight w:val="405"/>
        </w:trPr>
        <w:tc>
          <w:tcPr>
            <w:tcW w:w="3261" w:type="dxa"/>
          </w:tcPr>
          <w:p w:rsidR="000F39B1" w:rsidRPr="000F39B1" w:rsidRDefault="000F39B1" w:rsidP="00E528F8">
            <w:pPr>
              <w:wordWrap/>
              <w:rPr>
                <w:sz w:val="22"/>
                <w:szCs w:val="22"/>
              </w:rPr>
            </w:pPr>
            <w:r w:rsidRPr="000F39B1">
              <w:rPr>
                <w:sz w:val="22"/>
                <w:szCs w:val="22"/>
              </w:rPr>
              <w:t>Median deal year</w:t>
            </w:r>
          </w:p>
        </w:tc>
        <w:tc>
          <w:tcPr>
            <w:tcW w:w="2409" w:type="dxa"/>
          </w:tcPr>
          <w:p w:rsidR="000F39B1" w:rsidRPr="000F39B1" w:rsidRDefault="000F39B1" w:rsidP="00E528F8">
            <w:pPr>
              <w:wordWrap/>
              <w:jc w:val="center"/>
              <w:rPr>
                <w:sz w:val="22"/>
                <w:szCs w:val="22"/>
              </w:rPr>
            </w:pPr>
            <w:r w:rsidRPr="000F39B1">
              <w:rPr>
                <w:sz w:val="22"/>
                <w:szCs w:val="22"/>
              </w:rPr>
              <w:t>2021</w:t>
            </w:r>
          </w:p>
        </w:tc>
        <w:tc>
          <w:tcPr>
            <w:tcW w:w="3318" w:type="dxa"/>
          </w:tcPr>
          <w:p w:rsidR="000F39B1" w:rsidRPr="000F39B1" w:rsidRDefault="000F39B1" w:rsidP="00E528F8">
            <w:pPr>
              <w:wordWrap/>
              <w:jc w:val="center"/>
              <w:rPr>
                <w:sz w:val="22"/>
                <w:szCs w:val="22"/>
              </w:rPr>
            </w:pPr>
            <w:r w:rsidRPr="000F39B1">
              <w:rPr>
                <w:sz w:val="22"/>
                <w:szCs w:val="22"/>
              </w:rPr>
              <w:t>-</w:t>
            </w:r>
          </w:p>
        </w:tc>
      </w:tr>
      <w:tr w:rsidR="000F39B1" w:rsidRPr="00D77154" w:rsidTr="00F272CD">
        <w:trPr>
          <w:trHeight w:val="417"/>
        </w:trPr>
        <w:tc>
          <w:tcPr>
            <w:tcW w:w="3261" w:type="dxa"/>
          </w:tcPr>
          <w:p w:rsidR="000F39B1" w:rsidRPr="000F39B1" w:rsidRDefault="000F39B1" w:rsidP="00E528F8">
            <w:pPr>
              <w:pStyle w:val="Compact"/>
              <w:widowControl w:val="0"/>
              <w:rPr>
                <w:sz w:val="22"/>
                <w:szCs w:val="22"/>
              </w:rPr>
            </w:pPr>
            <w:r w:rsidRPr="000F39B1">
              <w:rPr>
                <w:sz w:val="22"/>
                <w:szCs w:val="22"/>
              </w:rPr>
              <w:t>Two-digit industries represented</w:t>
            </w:r>
          </w:p>
        </w:tc>
        <w:tc>
          <w:tcPr>
            <w:tcW w:w="2409" w:type="dxa"/>
          </w:tcPr>
          <w:p w:rsidR="000F39B1" w:rsidRPr="000F39B1" w:rsidRDefault="000F39B1" w:rsidP="00E528F8">
            <w:pPr>
              <w:pStyle w:val="Compact"/>
              <w:widowControl w:val="0"/>
              <w:jc w:val="center"/>
              <w:rPr>
                <w:sz w:val="22"/>
                <w:szCs w:val="22"/>
                <w:lang w:eastAsia="ko-KR"/>
              </w:rPr>
            </w:pPr>
            <w:r w:rsidRPr="000F39B1">
              <w:rPr>
                <w:rFonts w:hint="eastAsia"/>
                <w:sz w:val="22"/>
                <w:szCs w:val="22"/>
                <w:lang w:eastAsia="ko-KR"/>
              </w:rPr>
              <w:t>4</w:t>
            </w:r>
            <w:r w:rsidRPr="000F39B1">
              <w:rPr>
                <w:sz w:val="22"/>
                <w:szCs w:val="22"/>
                <w:lang w:eastAsia="ko-KR"/>
              </w:rPr>
              <w:t>4</w:t>
            </w:r>
          </w:p>
        </w:tc>
        <w:tc>
          <w:tcPr>
            <w:tcW w:w="3318" w:type="dxa"/>
          </w:tcPr>
          <w:p w:rsidR="000F39B1" w:rsidRPr="000F39B1" w:rsidRDefault="000F39B1" w:rsidP="00E528F8">
            <w:pPr>
              <w:pStyle w:val="Compact"/>
              <w:widowControl w:val="0"/>
              <w:jc w:val="center"/>
              <w:rPr>
                <w:sz w:val="22"/>
                <w:szCs w:val="22"/>
                <w:lang w:eastAsia="ko-KR"/>
              </w:rPr>
            </w:pPr>
            <w:r w:rsidRPr="000F39B1">
              <w:rPr>
                <w:rFonts w:hint="eastAsia"/>
                <w:sz w:val="22"/>
                <w:szCs w:val="22"/>
                <w:lang w:eastAsia="ko-KR"/>
              </w:rPr>
              <w:t>-</w:t>
            </w:r>
          </w:p>
        </w:tc>
      </w:tr>
    </w:tbl>
    <w:p w:rsidR="00603AF1" w:rsidRPr="00DA3856" w:rsidRDefault="00603AF1" w:rsidP="00E528F8">
      <w:pPr>
        <w:wordWrap/>
        <w:rPr>
          <w:sz w:val="10"/>
          <w:szCs w:val="10"/>
        </w:rPr>
      </w:pPr>
    </w:p>
    <w:p w:rsidR="000F39B1" w:rsidRPr="000F39B1" w:rsidRDefault="00603AF1" w:rsidP="00E528F8">
      <w:pPr>
        <w:pStyle w:val="a4"/>
        <w:wordWrap/>
        <w:rPr>
          <w:b/>
          <w:bCs/>
          <w:szCs w:val="22"/>
        </w:rPr>
      </w:pPr>
      <w:r w:rsidRPr="00D77154">
        <w:rPr>
          <w:b/>
          <w:bCs/>
          <w:szCs w:val="22"/>
        </w:rPr>
        <w:t xml:space="preserve">Panel C. </w:t>
      </w:r>
      <w:r w:rsidR="000F39B1" w:rsidRPr="000F39B1">
        <w:rPr>
          <w:b/>
          <w:bCs/>
          <w:szCs w:val="22"/>
        </w:rPr>
        <w:t>Covariate and state balance in the primary 286-event sample</w:t>
      </w:r>
    </w:p>
    <w:tbl>
      <w:tblPr>
        <w:tblStyle w:val="Table0"/>
        <w:tblW w:w="0" w:type="auto"/>
        <w:tblLook w:val="0020" w:firstRow="1" w:lastRow="0" w:firstColumn="0" w:lastColumn="0" w:noHBand="0" w:noVBand="0"/>
      </w:tblPr>
      <w:tblGrid>
        <w:gridCol w:w="3261"/>
        <w:gridCol w:w="1909"/>
        <w:gridCol w:w="1909"/>
        <w:gridCol w:w="1909"/>
      </w:tblGrid>
      <w:tr w:rsidR="00F272CD" w:rsidRPr="00D77154" w:rsidTr="00F272CD">
        <w:trPr>
          <w:cnfStyle w:val="100000000000" w:firstRow="1" w:lastRow="0" w:firstColumn="0" w:lastColumn="0" w:oddVBand="0" w:evenVBand="0" w:oddHBand="0" w:evenHBand="0" w:firstRowFirstColumn="0" w:firstRowLastColumn="0" w:lastRowFirstColumn="0" w:lastRowLastColumn="0"/>
          <w:trHeight w:val="454"/>
          <w:tblHeader/>
        </w:trPr>
        <w:tc>
          <w:tcPr>
            <w:tcW w:w="3261" w:type="dxa"/>
            <w:vAlign w:val="center"/>
          </w:tcPr>
          <w:p w:rsidR="00F272CD" w:rsidRPr="00456B66" w:rsidRDefault="00F272CD" w:rsidP="00E528F8">
            <w:pPr>
              <w:wordWrap/>
              <w:snapToGrid w:val="0"/>
              <w:jc w:val="left"/>
              <w:rPr>
                <w:sz w:val="22"/>
                <w:szCs w:val="22"/>
              </w:rPr>
            </w:pPr>
            <w:r w:rsidRPr="00456B66">
              <w:rPr>
                <w:sz w:val="22"/>
                <w:szCs w:val="22"/>
              </w:rPr>
              <w:t>Variable</w:t>
            </w:r>
          </w:p>
        </w:tc>
        <w:tc>
          <w:tcPr>
            <w:tcW w:w="1909" w:type="dxa"/>
            <w:vAlign w:val="center"/>
          </w:tcPr>
          <w:p w:rsidR="00F272CD" w:rsidRPr="00456B66" w:rsidRDefault="00F272CD" w:rsidP="00E528F8">
            <w:pPr>
              <w:wordWrap/>
              <w:snapToGrid w:val="0"/>
              <w:jc w:val="center"/>
              <w:rPr>
                <w:sz w:val="22"/>
                <w:szCs w:val="22"/>
              </w:rPr>
            </w:pPr>
            <w:r w:rsidRPr="00456B66">
              <w:rPr>
                <w:sz w:val="22"/>
                <w:szCs w:val="22"/>
              </w:rPr>
              <w:t>Treated</w:t>
            </w:r>
          </w:p>
        </w:tc>
        <w:tc>
          <w:tcPr>
            <w:tcW w:w="1909" w:type="dxa"/>
            <w:vAlign w:val="center"/>
          </w:tcPr>
          <w:p w:rsidR="00F272CD" w:rsidRPr="00456B66" w:rsidRDefault="00994106" w:rsidP="00E528F8">
            <w:pPr>
              <w:wordWrap/>
              <w:snapToGrid w:val="0"/>
              <w:jc w:val="center"/>
              <w:rPr>
                <w:sz w:val="22"/>
                <w:szCs w:val="22"/>
              </w:rPr>
            </w:pPr>
            <w:r w:rsidRPr="00994106">
              <w:rPr>
                <w:sz w:val="22"/>
                <w:szCs w:val="22"/>
              </w:rPr>
              <w:t>Primary matched</w:t>
            </w:r>
            <w:r w:rsidRPr="00456B66">
              <w:rPr>
                <w:sz w:val="22"/>
                <w:szCs w:val="22"/>
              </w:rPr>
              <w:t xml:space="preserve"> </w:t>
            </w:r>
            <w:r w:rsidR="00F272CD" w:rsidRPr="00456B66">
              <w:rPr>
                <w:sz w:val="22"/>
                <w:szCs w:val="22"/>
              </w:rPr>
              <w:br/>
              <w:t>controls</w:t>
            </w:r>
          </w:p>
        </w:tc>
        <w:tc>
          <w:tcPr>
            <w:tcW w:w="1909" w:type="dxa"/>
            <w:vAlign w:val="center"/>
          </w:tcPr>
          <w:p w:rsidR="00F272CD" w:rsidRPr="00456B66" w:rsidRDefault="00F272CD" w:rsidP="00E528F8">
            <w:pPr>
              <w:wordWrap/>
              <w:snapToGrid w:val="0"/>
              <w:jc w:val="center"/>
              <w:rPr>
                <w:sz w:val="22"/>
                <w:szCs w:val="22"/>
              </w:rPr>
            </w:pPr>
            <w:r w:rsidRPr="00456B66">
              <w:rPr>
                <w:sz w:val="22"/>
                <w:szCs w:val="22"/>
              </w:rPr>
              <w:t>Normalised</w:t>
            </w:r>
            <w:r w:rsidRPr="00456B66">
              <w:rPr>
                <w:sz w:val="22"/>
                <w:szCs w:val="22"/>
              </w:rPr>
              <w:br/>
              <w:t>difference</w:t>
            </w:r>
          </w:p>
        </w:tc>
      </w:tr>
      <w:tr w:rsidR="00F272CD" w:rsidRPr="00D77154" w:rsidTr="00F272CD">
        <w:trPr>
          <w:trHeight w:val="405"/>
        </w:trPr>
        <w:tc>
          <w:tcPr>
            <w:tcW w:w="3261" w:type="dxa"/>
          </w:tcPr>
          <w:p w:rsidR="00F272CD" w:rsidRPr="00F272CD" w:rsidRDefault="00F272CD" w:rsidP="00E528F8">
            <w:pPr>
              <w:wordWrap/>
              <w:rPr>
                <w:sz w:val="22"/>
                <w:szCs w:val="22"/>
              </w:rPr>
            </w:pPr>
            <w:r w:rsidRPr="00F272CD">
              <w:rPr>
                <w:sz w:val="22"/>
                <w:szCs w:val="22"/>
              </w:rPr>
              <w:t>Log insured employment</w:t>
            </w:r>
          </w:p>
        </w:tc>
        <w:tc>
          <w:tcPr>
            <w:tcW w:w="1909" w:type="dxa"/>
            <w:vAlign w:val="center"/>
          </w:tcPr>
          <w:p w:rsidR="00F272CD" w:rsidRPr="00F272CD" w:rsidRDefault="00F272CD" w:rsidP="00E528F8">
            <w:pPr>
              <w:wordWrap/>
              <w:jc w:val="center"/>
              <w:rPr>
                <w:sz w:val="22"/>
                <w:szCs w:val="22"/>
              </w:rPr>
            </w:pPr>
            <w:r w:rsidRPr="00F272CD">
              <w:rPr>
                <w:sz w:val="22"/>
                <w:szCs w:val="22"/>
              </w:rPr>
              <w:t>4.442</w:t>
            </w:r>
          </w:p>
        </w:tc>
        <w:tc>
          <w:tcPr>
            <w:tcW w:w="1909" w:type="dxa"/>
            <w:vAlign w:val="center"/>
          </w:tcPr>
          <w:p w:rsidR="00F272CD" w:rsidRPr="00F272CD" w:rsidRDefault="00F272CD" w:rsidP="00E528F8">
            <w:pPr>
              <w:wordWrap/>
              <w:jc w:val="center"/>
              <w:rPr>
                <w:sz w:val="22"/>
                <w:szCs w:val="22"/>
              </w:rPr>
            </w:pPr>
            <w:r w:rsidRPr="00F272CD">
              <w:rPr>
                <w:sz w:val="22"/>
                <w:szCs w:val="22"/>
              </w:rPr>
              <w:t>4.380</w:t>
            </w:r>
          </w:p>
        </w:tc>
        <w:tc>
          <w:tcPr>
            <w:tcW w:w="1909" w:type="dxa"/>
            <w:vAlign w:val="center"/>
          </w:tcPr>
          <w:p w:rsidR="00F272CD" w:rsidRPr="00F272CD" w:rsidRDefault="00F272CD" w:rsidP="00E528F8">
            <w:pPr>
              <w:wordWrap/>
              <w:jc w:val="center"/>
              <w:rPr>
                <w:sz w:val="22"/>
                <w:szCs w:val="22"/>
              </w:rPr>
            </w:pPr>
            <w:r w:rsidRPr="00F272CD">
              <w:rPr>
                <w:sz w:val="22"/>
                <w:szCs w:val="22"/>
              </w:rPr>
              <w:t>+0.0538</w:t>
            </w:r>
          </w:p>
        </w:tc>
      </w:tr>
      <w:tr w:rsidR="00F272CD" w:rsidRPr="00D77154" w:rsidTr="00F272CD">
        <w:trPr>
          <w:trHeight w:val="405"/>
        </w:trPr>
        <w:tc>
          <w:tcPr>
            <w:tcW w:w="3261" w:type="dxa"/>
          </w:tcPr>
          <w:p w:rsidR="00F272CD" w:rsidRPr="00F272CD" w:rsidRDefault="00F272CD" w:rsidP="00E528F8">
            <w:pPr>
              <w:wordWrap/>
              <w:rPr>
                <w:sz w:val="22"/>
                <w:szCs w:val="22"/>
              </w:rPr>
            </w:pPr>
            <w:r w:rsidRPr="00F272CD">
              <w:rPr>
                <w:sz w:val="22"/>
                <w:szCs w:val="22"/>
              </w:rPr>
              <w:t>Pre-deal employment growth</w:t>
            </w:r>
          </w:p>
        </w:tc>
        <w:tc>
          <w:tcPr>
            <w:tcW w:w="1909" w:type="dxa"/>
            <w:vAlign w:val="center"/>
          </w:tcPr>
          <w:p w:rsidR="00F272CD" w:rsidRPr="00F272CD" w:rsidRDefault="00F272CD" w:rsidP="00E528F8">
            <w:pPr>
              <w:wordWrap/>
              <w:jc w:val="center"/>
              <w:rPr>
                <w:sz w:val="22"/>
                <w:szCs w:val="22"/>
              </w:rPr>
            </w:pPr>
            <w:r w:rsidRPr="00F272CD">
              <w:rPr>
                <w:sz w:val="22"/>
                <w:szCs w:val="22"/>
              </w:rPr>
              <w:t>+0.095</w:t>
            </w:r>
          </w:p>
        </w:tc>
        <w:tc>
          <w:tcPr>
            <w:tcW w:w="1909" w:type="dxa"/>
            <w:vAlign w:val="center"/>
          </w:tcPr>
          <w:p w:rsidR="00F272CD" w:rsidRPr="00F272CD" w:rsidRDefault="00F272CD" w:rsidP="00E528F8">
            <w:pPr>
              <w:wordWrap/>
              <w:jc w:val="center"/>
              <w:rPr>
                <w:sz w:val="22"/>
                <w:szCs w:val="22"/>
              </w:rPr>
            </w:pPr>
            <w:r w:rsidRPr="00F272CD">
              <w:rPr>
                <w:sz w:val="22"/>
                <w:szCs w:val="22"/>
              </w:rPr>
              <w:t>+0.080</w:t>
            </w:r>
          </w:p>
        </w:tc>
        <w:tc>
          <w:tcPr>
            <w:tcW w:w="1909" w:type="dxa"/>
            <w:vAlign w:val="center"/>
          </w:tcPr>
          <w:p w:rsidR="00F272CD" w:rsidRPr="00F272CD" w:rsidRDefault="00F272CD" w:rsidP="00E528F8">
            <w:pPr>
              <w:wordWrap/>
              <w:jc w:val="center"/>
              <w:rPr>
                <w:sz w:val="22"/>
                <w:szCs w:val="22"/>
              </w:rPr>
            </w:pPr>
            <w:r w:rsidRPr="00F272CD">
              <w:rPr>
                <w:sz w:val="22"/>
                <w:szCs w:val="22"/>
              </w:rPr>
              <w:t>+0.0651</w:t>
            </w:r>
          </w:p>
        </w:tc>
      </w:tr>
      <w:tr w:rsidR="00F272CD" w:rsidRPr="00D77154" w:rsidTr="00F272CD">
        <w:trPr>
          <w:trHeight w:val="405"/>
        </w:trPr>
        <w:tc>
          <w:tcPr>
            <w:tcW w:w="3261" w:type="dxa"/>
          </w:tcPr>
          <w:p w:rsidR="00F272CD" w:rsidRPr="00F272CD" w:rsidRDefault="00F272CD" w:rsidP="00E528F8">
            <w:pPr>
              <w:wordWrap/>
              <w:rPr>
                <w:sz w:val="22"/>
                <w:szCs w:val="22"/>
              </w:rPr>
            </w:pPr>
            <w:r w:rsidRPr="00F272CD">
              <w:rPr>
                <w:sz w:val="22"/>
                <w:szCs w:val="22"/>
              </w:rPr>
              <w:t>Firm age, years</w:t>
            </w:r>
          </w:p>
        </w:tc>
        <w:tc>
          <w:tcPr>
            <w:tcW w:w="1909" w:type="dxa"/>
            <w:vAlign w:val="center"/>
          </w:tcPr>
          <w:p w:rsidR="00F272CD" w:rsidRPr="00F272CD" w:rsidRDefault="00F272CD" w:rsidP="00E528F8">
            <w:pPr>
              <w:wordWrap/>
              <w:jc w:val="center"/>
              <w:rPr>
                <w:sz w:val="22"/>
                <w:szCs w:val="22"/>
              </w:rPr>
            </w:pPr>
            <w:r w:rsidRPr="00F272CD">
              <w:rPr>
                <w:sz w:val="22"/>
                <w:szCs w:val="22"/>
              </w:rPr>
              <w:t>16.524</w:t>
            </w:r>
          </w:p>
        </w:tc>
        <w:tc>
          <w:tcPr>
            <w:tcW w:w="1909" w:type="dxa"/>
            <w:vAlign w:val="center"/>
          </w:tcPr>
          <w:p w:rsidR="00F272CD" w:rsidRPr="00F272CD" w:rsidRDefault="00F272CD" w:rsidP="00E528F8">
            <w:pPr>
              <w:wordWrap/>
              <w:jc w:val="center"/>
              <w:rPr>
                <w:sz w:val="22"/>
                <w:szCs w:val="22"/>
              </w:rPr>
            </w:pPr>
            <w:r w:rsidRPr="00F272CD">
              <w:rPr>
                <w:sz w:val="22"/>
                <w:szCs w:val="22"/>
              </w:rPr>
              <w:t>18.099</w:t>
            </w:r>
          </w:p>
        </w:tc>
        <w:tc>
          <w:tcPr>
            <w:tcW w:w="1909" w:type="dxa"/>
            <w:vAlign w:val="center"/>
          </w:tcPr>
          <w:p w:rsidR="00F272CD" w:rsidRPr="00F272CD" w:rsidRDefault="00F272CD" w:rsidP="00E528F8">
            <w:pPr>
              <w:wordWrap/>
              <w:jc w:val="center"/>
              <w:rPr>
                <w:sz w:val="22"/>
                <w:szCs w:val="22"/>
              </w:rPr>
            </w:pPr>
            <w:r w:rsidRPr="00F272CD">
              <w:rPr>
                <w:sz w:val="22"/>
                <w:szCs w:val="22"/>
              </w:rPr>
              <w:t>-0.1676</w:t>
            </w:r>
          </w:p>
        </w:tc>
      </w:tr>
      <w:tr w:rsidR="00F272CD" w:rsidRPr="00D77154" w:rsidTr="00F272CD">
        <w:trPr>
          <w:trHeight w:val="405"/>
        </w:trPr>
        <w:tc>
          <w:tcPr>
            <w:tcW w:w="3261" w:type="dxa"/>
          </w:tcPr>
          <w:p w:rsidR="00F272CD" w:rsidRPr="00F272CD" w:rsidRDefault="00F272CD" w:rsidP="00E528F8">
            <w:pPr>
              <w:wordWrap/>
              <w:rPr>
                <w:sz w:val="22"/>
                <w:szCs w:val="22"/>
              </w:rPr>
            </w:pPr>
            <w:r w:rsidRPr="00F272CD">
              <w:rPr>
                <w:sz w:val="22"/>
                <w:szCs w:val="22"/>
              </w:rPr>
              <w:lastRenderedPageBreak/>
              <w:t>Pre-deal hiring state S</w:t>
            </w:r>
          </w:p>
        </w:tc>
        <w:tc>
          <w:tcPr>
            <w:tcW w:w="1909" w:type="dxa"/>
            <w:vAlign w:val="center"/>
          </w:tcPr>
          <w:p w:rsidR="00F272CD" w:rsidRPr="00F272CD" w:rsidRDefault="00F272CD" w:rsidP="00E528F8">
            <w:pPr>
              <w:wordWrap/>
              <w:jc w:val="center"/>
              <w:rPr>
                <w:sz w:val="22"/>
                <w:szCs w:val="22"/>
              </w:rPr>
            </w:pPr>
            <w:r w:rsidRPr="00F272CD">
              <w:rPr>
                <w:sz w:val="22"/>
                <w:szCs w:val="22"/>
              </w:rPr>
              <w:t>-0.352</w:t>
            </w:r>
          </w:p>
        </w:tc>
        <w:tc>
          <w:tcPr>
            <w:tcW w:w="1909" w:type="dxa"/>
            <w:vAlign w:val="center"/>
          </w:tcPr>
          <w:p w:rsidR="00F272CD" w:rsidRPr="00F272CD" w:rsidRDefault="00F272CD" w:rsidP="00E528F8">
            <w:pPr>
              <w:wordWrap/>
              <w:jc w:val="center"/>
              <w:rPr>
                <w:sz w:val="22"/>
                <w:szCs w:val="22"/>
              </w:rPr>
            </w:pPr>
            <w:r w:rsidRPr="00F272CD">
              <w:rPr>
                <w:sz w:val="22"/>
                <w:szCs w:val="22"/>
              </w:rPr>
              <w:t>-0.343</w:t>
            </w:r>
          </w:p>
        </w:tc>
        <w:tc>
          <w:tcPr>
            <w:tcW w:w="1909" w:type="dxa"/>
            <w:vAlign w:val="center"/>
          </w:tcPr>
          <w:p w:rsidR="00F272CD" w:rsidRPr="00F272CD" w:rsidRDefault="00F272CD" w:rsidP="00E528F8">
            <w:pPr>
              <w:wordWrap/>
              <w:jc w:val="center"/>
              <w:rPr>
                <w:sz w:val="22"/>
                <w:szCs w:val="22"/>
              </w:rPr>
            </w:pPr>
            <w:r w:rsidRPr="00F272CD">
              <w:rPr>
                <w:sz w:val="22"/>
                <w:szCs w:val="22"/>
              </w:rPr>
              <w:t>-0.0390</w:t>
            </w:r>
          </w:p>
        </w:tc>
      </w:tr>
      <w:tr w:rsidR="00F272CD" w:rsidRPr="00D77154" w:rsidTr="00F272CD">
        <w:trPr>
          <w:trHeight w:val="405"/>
        </w:trPr>
        <w:tc>
          <w:tcPr>
            <w:tcW w:w="3261" w:type="dxa"/>
          </w:tcPr>
          <w:p w:rsidR="00F272CD" w:rsidRPr="00F272CD" w:rsidRDefault="00F272CD" w:rsidP="00E528F8">
            <w:pPr>
              <w:wordWrap/>
              <w:rPr>
                <w:sz w:val="22"/>
                <w:szCs w:val="22"/>
              </w:rPr>
            </w:pPr>
            <w:r w:rsidRPr="00F272CD">
              <w:rPr>
                <w:sz w:val="22"/>
                <w:szCs w:val="22"/>
              </w:rPr>
              <w:t>Prior hiring rate, 12 months</w:t>
            </w:r>
          </w:p>
        </w:tc>
        <w:tc>
          <w:tcPr>
            <w:tcW w:w="1909" w:type="dxa"/>
            <w:vAlign w:val="center"/>
          </w:tcPr>
          <w:p w:rsidR="00F272CD" w:rsidRPr="00F272CD" w:rsidRDefault="00F272CD" w:rsidP="00E528F8">
            <w:pPr>
              <w:wordWrap/>
              <w:jc w:val="center"/>
              <w:rPr>
                <w:sz w:val="22"/>
                <w:szCs w:val="22"/>
              </w:rPr>
            </w:pPr>
            <w:r w:rsidRPr="00F272CD">
              <w:rPr>
                <w:sz w:val="22"/>
                <w:szCs w:val="22"/>
              </w:rPr>
              <w:t>0.436</w:t>
            </w:r>
          </w:p>
        </w:tc>
        <w:tc>
          <w:tcPr>
            <w:tcW w:w="1909" w:type="dxa"/>
            <w:vAlign w:val="center"/>
          </w:tcPr>
          <w:p w:rsidR="00F272CD" w:rsidRPr="00F272CD" w:rsidRDefault="00F272CD" w:rsidP="00E528F8">
            <w:pPr>
              <w:wordWrap/>
              <w:jc w:val="center"/>
              <w:rPr>
                <w:sz w:val="22"/>
                <w:szCs w:val="22"/>
              </w:rPr>
            </w:pPr>
            <w:r w:rsidRPr="00F272CD">
              <w:rPr>
                <w:sz w:val="22"/>
                <w:szCs w:val="22"/>
              </w:rPr>
              <w:t>0.415</w:t>
            </w:r>
          </w:p>
        </w:tc>
        <w:tc>
          <w:tcPr>
            <w:tcW w:w="1909" w:type="dxa"/>
            <w:vAlign w:val="center"/>
          </w:tcPr>
          <w:p w:rsidR="00F272CD" w:rsidRPr="00F272CD" w:rsidRDefault="00F272CD" w:rsidP="00E528F8">
            <w:pPr>
              <w:wordWrap/>
              <w:jc w:val="center"/>
              <w:rPr>
                <w:sz w:val="22"/>
                <w:szCs w:val="22"/>
              </w:rPr>
            </w:pPr>
            <w:r w:rsidRPr="00F272CD">
              <w:rPr>
                <w:sz w:val="22"/>
                <w:szCs w:val="22"/>
              </w:rPr>
              <w:t>+0.0624</w:t>
            </w:r>
          </w:p>
        </w:tc>
      </w:tr>
      <w:tr w:rsidR="00F272CD" w:rsidRPr="00D77154" w:rsidTr="00F272CD">
        <w:trPr>
          <w:trHeight w:val="417"/>
        </w:trPr>
        <w:tc>
          <w:tcPr>
            <w:tcW w:w="3261" w:type="dxa"/>
          </w:tcPr>
          <w:p w:rsidR="00F272CD" w:rsidRPr="00F272CD" w:rsidRDefault="00F272CD" w:rsidP="00E528F8">
            <w:pPr>
              <w:wordWrap/>
              <w:rPr>
                <w:sz w:val="22"/>
                <w:szCs w:val="22"/>
              </w:rPr>
            </w:pPr>
            <w:r w:rsidRPr="00F272CD">
              <w:rPr>
                <w:sz w:val="22"/>
                <w:szCs w:val="22"/>
              </w:rPr>
              <w:t>Prior separation rate, 12 months</w:t>
            </w:r>
          </w:p>
        </w:tc>
        <w:tc>
          <w:tcPr>
            <w:tcW w:w="1909" w:type="dxa"/>
            <w:vAlign w:val="center"/>
          </w:tcPr>
          <w:p w:rsidR="00F272CD" w:rsidRPr="00F272CD" w:rsidRDefault="00F272CD" w:rsidP="00E528F8">
            <w:pPr>
              <w:wordWrap/>
              <w:jc w:val="center"/>
              <w:rPr>
                <w:sz w:val="22"/>
                <w:szCs w:val="22"/>
              </w:rPr>
            </w:pPr>
            <w:r w:rsidRPr="00F272CD">
              <w:rPr>
                <w:sz w:val="22"/>
                <w:szCs w:val="22"/>
              </w:rPr>
              <w:t>0.352</w:t>
            </w:r>
          </w:p>
        </w:tc>
        <w:tc>
          <w:tcPr>
            <w:tcW w:w="1909" w:type="dxa"/>
            <w:vAlign w:val="center"/>
          </w:tcPr>
          <w:p w:rsidR="00F272CD" w:rsidRPr="00F272CD" w:rsidRDefault="00F272CD" w:rsidP="00E528F8">
            <w:pPr>
              <w:wordWrap/>
              <w:jc w:val="center"/>
              <w:rPr>
                <w:sz w:val="22"/>
                <w:szCs w:val="22"/>
              </w:rPr>
            </w:pPr>
            <w:r w:rsidRPr="00F272CD">
              <w:rPr>
                <w:sz w:val="22"/>
                <w:szCs w:val="22"/>
              </w:rPr>
              <w:t>0.350</w:t>
            </w:r>
          </w:p>
        </w:tc>
        <w:tc>
          <w:tcPr>
            <w:tcW w:w="1909" w:type="dxa"/>
            <w:vAlign w:val="center"/>
          </w:tcPr>
          <w:p w:rsidR="00F272CD" w:rsidRPr="00F272CD" w:rsidRDefault="00F272CD" w:rsidP="00E528F8">
            <w:pPr>
              <w:wordWrap/>
              <w:jc w:val="center"/>
              <w:rPr>
                <w:sz w:val="22"/>
                <w:szCs w:val="22"/>
              </w:rPr>
            </w:pPr>
            <w:r w:rsidRPr="00F272CD">
              <w:rPr>
                <w:sz w:val="22"/>
                <w:szCs w:val="22"/>
              </w:rPr>
              <w:t>+0.0075</w:t>
            </w:r>
          </w:p>
        </w:tc>
      </w:tr>
    </w:tbl>
    <w:p w:rsidR="00603AF1" w:rsidRPr="00DA3856" w:rsidRDefault="00DB7BB9" w:rsidP="00E528F8">
      <w:pPr>
        <w:wordWrap/>
        <w:rPr>
          <w:color w:val="595959" w:themeColor="text1" w:themeTint="A6"/>
          <w:kern w:val="0"/>
        </w:rPr>
      </w:pPr>
      <w:r w:rsidRPr="00E528F8">
        <w:rPr>
          <w:iCs/>
          <w:color w:val="595959" w:themeColor="text1" w:themeTint="A6"/>
          <w:kern w:val="0"/>
        </w:rPr>
        <w:t>Notes</w:t>
      </w:r>
      <w:r w:rsidRPr="00DB7BB9">
        <w:rPr>
          <w:i/>
          <w:iCs/>
          <w:color w:val="595959" w:themeColor="text1" w:themeTint="A6"/>
          <w:kern w:val="0"/>
        </w:rPr>
        <w:t>.</w:t>
      </w:r>
      <w:r w:rsidRPr="00DB7BB9">
        <w:rPr>
          <w:i/>
          <w:color w:val="595959" w:themeColor="text1" w:themeTint="A6"/>
          <w:kern w:val="0"/>
        </w:rPr>
        <w:t xml:space="preserve"> </w:t>
      </w:r>
      <w:r w:rsidRPr="00DB7BB9">
        <w:rPr>
          <w:color w:val="595959" w:themeColor="text1" w:themeTint="A6"/>
          <w:kern w:val="0"/>
        </w:rPr>
        <w:t xml:space="preserve">The 367-event average-effect sample and the 286-event primary gradient sample are parallel branches of the 379-event baseline universe rather than successive restrictions. The indented rows below the primary gradient sample account for the 93 events excluded from that branch. The primary matching procedure imposes an additional restriction on the target’s pre-deal hiring state, as described in Section 4.1. The 301-event conventional </w:t>
      </w:r>
      <w:r w:rsidRPr="00DB7BB9">
        <w:rPr>
          <w:color w:val="595959" w:themeColor="text1" w:themeTint="A6"/>
          <w:spacing w:val="-4"/>
          <w:kern w:val="0"/>
        </w:rPr>
        <w:t>heterogeneity sample is constructed without that additional restriction. Panel C compares the 286 treated events in</w:t>
      </w:r>
      <w:r w:rsidRPr="00DB7BB9">
        <w:rPr>
          <w:color w:val="595959" w:themeColor="text1" w:themeTint="A6"/>
          <w:kern w:val="0"/>
        </w:rPr>
        <w:t xml:space="preserve"> the primary sample with their primary matched controls. The normalised difference is</w:t>
      </w:r>
      <w:r>
        <w:rPr>
          <w:color w:val="595959" w:themeColor="text1" w:themeTint="A6"/>
          <w:kern w:val="0"/>
        </w:rPr>
        <w:t xml:space="preserve"> </w:t>
      </w:r>
      <m:oMath>
        <m:r>
          <m:rPr>
            <m:sty m:val="p"/>
          </m:rPr>
          <w:rPr>
            <w:rFonts w:ascii="Cambria Math" w:hAnsi="Cambria Math"/>
            <w:color w:val="595959" w:themeColor="text1" w:themeTint="A6"/>
          </w:rPr>
          <m:t>(</m:t>
        </m:r>
        <m:sSub>
          <m:sSubPr>
            <m:ctrlPr>
              <w:rPr>
                <w:rFonts w:ascii="Cambria Math" w:hAnsi="Cambria Math"/>
                <w:color w:val="595959" w:themeColor="text1" w:themeTint="A6"/>
              </w:rPr>
            </m:ctrlPr>
          </m:sSubPr>
          <m:e>
            <m:acc>
              <m:accPr>
                <m:chr m:val="‾"/>
                <m:ctrlPr>
                  <w:rPr>
                    <w:rFonts w:ascii="Cambria Math" w:hAnsi="Cambria Math"/>
                    <w:color w:val="595959" w:themeColor="text1" w:themeTint="A6"/>
                  </w:rPr>
                </m:ctrlPr>
              </m:accPr>
              <m:e>
                <m:r>
                  <w:rPr>
                    <w:rFonts w:ascii="Cambria Math" w:hAnsi="Cambria Math"/>
                    <w:color w:val="595959" w:themeColor="text1" w:themeTint="A6"/>
                  </w:rPr>
                  <m:t>X</m:t>
                </m:r>
              </m:e>
            </m:acc>
          </m:e>
          <m:sub>
            <m:r>
              <w:rPr>
                <w:rFonts w:ascii="Cambria Math" w:hAnsi="Cambria Math"/>
                <w:color w:val="595959" w:themeColor="text1" w:themeTint="A6"/>
              </w:rPr>
              <m:t>T</m:t>
            </m:r>
          </m:sub>
        </m:sSub>
        <m:r>
          <m:rPr>
            <m:sty m:val="p"/>
          </m:rPr>
          <w:rPr>
            <w:rFonts w:ascii="Cambria Math" w:hAnsi="Cambria Math"/>
            <w:color w:val="595959" w:themeColor="text1" w:themeTint="A6"/>
          </w:rPr>
          <m:t>-</m:t>
        </m:r>
        <m:sSub>
          <m:sSubPr>
            <m:ctrlPr>
              <w:rPr>
                <w:rFonts w:ascii="Cambria Math" w:hAnsi="Cambria Math"/>
                <w:color w:val="595959" w:themeColor="text1" w:themeTint="A6"/>
              </w:rPr>
            </m:ctrlPr>
          </m:sSubPr>
          <m:e>
            <m:acc>
              <m:accPr>
                <m:chr m:val="‾"/>
                <m:ctrlPr>
                  <w:rPr>
                    <w:rFonts w:ascii="Cambria Math" w:hAnsi="Cambria Math"/>
                    <w:color w:val="595959" w:themeColor="text1" w:themeTint="A6"/>
                  </w:rPr>
                </m:ctrlPr>
              </m:accPr>
              <m:e>
                <m:r>
                  <w:rPr>
                    <w:rFonts w:ascii="Cambria Math" w:hAnsi="Cambria Math"/>
                    <w:color w:val="595959" w:themeColor="text1" w:themeTint="A6"/>
                  </w:rPr>
                  <m:t>X</m:t>
                </m:r>
              </m:e>
            </m:acc>
          </m:e>
          <m:sub>
            <m:r>
              <w:rPr>
                <w:rFonts w:ascii="Cambria Math" w:hAnsi="Cambria Math"/>
                <w:color w:val="595959" w:themeColor="text1" w:themeTint="A6"/>
              </w:rPr>
              <m:t>C</m:t>
            </m:r>
          </m:sub>
        </m:sSub>
        <m:r>
          <m:rPr>
            <m:sty m:val="p"/>
          </m:rPr>
          <w:rPr>
            <w:rFonts w:ascii="Cambria Math" w:hAnsi="Cambria Math"/>
            <w:color w:val="595959" w:themeColor="text1" w:themeTint="A6"/>
          </w:rPr>
          <m:t>)/</m:t>
        </m:r>
        <m:rad>
          <m:radPr>
            <m:degHide m:val="1"/>
            <m:ctrlPr>
              <w:rPr>
                <w:rFonts w:ascii="Cambria Math" w:hAnsi="Cambria Math"/>
                <w:color w:val="595959" w:themeColor="text1" w:themeTint="A6"/>
              </w:rPr>
            </m:ctrlPr>
          </m:radPr>
          <m:deg/>
          <m:e>
            <m:r>
              <m:rPr>
                <m:sty m:val="p"/>
              </m:rPr>
              <w:rPr>
                <w:rFonts w:ascii="Cambria Math" w:hAnsi="Cambria Math"/>
                <w:color w:val="595959" w:themeColor="text1" w:themeTint="A6"/>
              </w:rPr>
              <m:t>(</m:t>
            </m:r>
            <m:sSubSup>
              <m:sSubSupPr>
                <m:ctrlPr>
                  <w:rPr>
                    <w:rFonts w:ascii="Cambria Math" w:hAnsi="Cambria Math"/>
                    <w:color w:val="595959" w:themeColor="text1" w:themeTint="A6"/>
                  </w:rPr>
                </m:ctrlPr>
              </m:sSubSupPr>
              <m:e>
                <m:r>
                  <w:rPr>
                    <w:rFonts w:ascii="Cambria Math" w:hAnsi="Cambria Math"/>
                    <w:color w:val="595959" w:themeColor="text1" w:themeTint="A6"/>
                  </w:rPr>
                  <m:t>s</m:t>
                </m:r>
              </m:e>
              <m:sub>
                <m:r>
                  <w:rPr>
                    <w:rFonts w:ascii="Cambria Math" w:hAnsi="Cambria Math"/>
                    <w:color w:val="595959" w:themeColor="text1" w:themeTint="A6"/>
                  </w:rPr>
                  <m:t>T</m:t>
                </m:r>
              </m:sub>
              <m:sup>
                <m:r>
                  <w:rPr>
                    <w:rFonts w:ascii="Cambria Math" w:hAnsi="Cambria Math"/>
                    <w:color w:val="595959" w:themeColor="text1" w:themeTint="A6"/>
                  </w:rPr>
                  <m:t>2</m:t>
                </m:r>
              </m:sup>
            </m:sSubSup>
            <m:r>
              <m:rPr>
                <m:sty m:val="p"/>
              </m:rPr>
              <w:rPr>
                <w:rFonts w:ascii="Cambria Math" w:hAnsi="Cambria Math"/>
                <w:color w:val="595959" w:themeColor="text1" w:themeTint="A6"/>
              </w:rPr>
              <m:t>+</m:t>
            </m:r>
            <m:sSubSup>
              <m:sSubSupPr>
                <m:ctrlPr>
                  <w:rPr>
                    <w:rFonts w:ascii="Cambria Math" w:hAnsi="Cambria Math"/>
                    <w:color w:val="595959" w:themeColor="text1" w:themeTint="A6"/>
                  </w:rPr>
                </m:ctrlPr>
              </m:sSubSupPr>
              <m:e>
                <m:r>
                  <w:rPr>
                    <w:rFonts w:ascii="Cambria Math" w:hAnsi="Cambria Math"/>
                    <w:color w:val="595959" w:themeColor="text1" w:themeTint="A6"/>
                  </w:rPr>
                  <m:t>s</m:t>
                </m:r>
              </m:e>
              <m:sub>
                <m:r>
                  <w:rPr>
                    <w:rFonts w:ascii="Cambria Math" w:hAnsi="Cambria Math"/>
                    <w:color w:val="595959" w:themeColor="text1" w:themeTint="A6"/>
                  </w:rPr>
                  <m:t>C</m:t>
                </m:r>
              </m:sub>
              <m:sup>
                <m:r>
                  <w:rPr>
                    <w:rFonts w:ascii="Cambria Math" w:hAnsi="Cambria Math"/>
                    <w:color w:val="595959" w:themeColor="text1" w:themeTint="A6"/>
                  </w:rPr>
                  <m:t>2</m:t>
                </m:r>
              </m:sup>
            </m:sSubSup>
            <m:r>
              <m:rPr>
                <m:sty m:val="p"/>
              </m:rPr>
              <w:rPr>
                <w:rFonts w:ascii="Cambria Math" w:hAnsi="Cambria Math"/>
                <w:color w:val="595959" w:themeColor="text1" w:themeTint="A6"/>
              </w:rPr>
              <m:t>)/</m:t>
            </m:r>
            <m:r>
              <w:rPr>
                <w:rFonts w:ascii="Cambria Math" w:hAnsi="Cambria Math"/>
                <w:color w:val="595959" w:themeColor="text1" w:themeTint="A6"/>
              </w:rPr>
              <m:t>2</m:t>
            </m:r>
          </m:e>
        </m:rad>
      </m:oMath>
      <w:r w:rsidR="00D77154" w:rsidRPr="00DA3856">
        <w:rPr>
          <w:color w:val="595959" w:themeColor="text1" w:themeTint="A6"/>
        </w:rPr>
        <w:t>.</w:t>
      </w:r>
      <w:r w:rsidR="00D77154" w:rsidRPr="00DA3856">
        <w:rPr>
          <w:color w:val="595959" w:themeColor="text1" w:themeTint="A6"/>
          <w:kern w:val="0"/>
        </w:rPr>
        <w:t xml:space="preserve"> </w:t>
      </w:r>
      <w:r w:rsidR="00F272CD" w:rsidRPr="00F272CD">
        <w:rPr>
          <w:color w:val="595959" w:themeColor="text1" w:themeTint="A6"/>
          <w:kern w:val="0"/>
        </w:rPr>
        <w:t>Prior hiring and separation rates refer to the twelve-month pre-investment outcome window.</w:t>
      </w:r>
    </w:p>
    <w:p w:rsidR="004E04F6" w:rsidRDefault="004E04F6" w:rsidP="00E528F8">
      <w:pPr>
        <w:pStyle w:val="3"/>
      </w:pPr>
      <w:r>
        <w:t>4. Research design</w:t>
      </w:r>
    </w:p>
    <w:p w:rsidR="004E04F6" w:rsidRPr="00F2490B" w:rsidRDefault="004E04F6" w:rsidP="00E528F8">
      <w:pPr>
        <w:pStyle w:val="3"/>
      </w:pPr>
      <w:r>
        <w:t>4.1 Matching and the pre-deal hiring state</w:t>
      </w:r>
    </w:p>
    <w:p w:rsidR="0085429C" w:rsidRPr="0085429C" w:rsidRDefault="0085429C" w:rsidP="00E528F8">
      <w:pPr>
        <w:pStyle w:val="aff3"/>
        <w:wordWrap/>
      </w:pPr>
      <w:r>
        <w:t>For the baseline comparison, each target is matched to five firms never observed as private equity targets. A control must be present in the same event month and in the same exact cell for two-digit industry, size, pre-deal employment growth, and age. All 752 identified targets are excluded from the control pool, including those that do not enter the final matched samples.</w:t>
      </w:r>
    </w:p>
    <w:p w:rsidR="0085429C" w:rsidRDefault="0085429C" w:rsidP="00E528F8">
      <w:pPr>
        <w:pStyle w:val="aff3"/>
        <w:wordWrap/>
        <w:rPr>
          <w:color w:val="000000"/>
        </w:rPr>
      </w:pPr>
      <w:r w:rsidRPr="0085429C">
        <w:t xml:space="preserve">Firm size is measured as mean insured employment over months </w:t>
      </w:r>
      <m:oMath>
        <m:r>
          <m:rPr>
            <m:sty m:val="p"/>
          </m:rPr>
          <w:rPr>
            <w:rFonts w:ascii="Cambria Math" w:hAnsi="Cambria Math"/>
          </w:rPr>
          <m:t>-</m:t>
        </m:r>
        <m:r>
          <w:rPr>
            <w:rFonts w:ascii="Cambria Math" w:hAnsi="Cambria Math"/>
          </w:rPr>
          <m:t>6</m:t>
        </m:r>
      </m:oMath>
      <w:r w:rsidRPr="0085429C">
        <w:t xml:space="preserve"> through </w:t>
      </w:r>
      <m:oMath>
        <m:r>
          <m:rPr>
            <m:sty m:val="p"/>
          </m:rPr>
          <w:rPr>
            <w:rFonts w:ascii="Cambria Math" w:hAnsi="Cambria Math"/>
          </w:rPr>
          <m:t>-</m:t>
        </m:r>
        <m:r>
          <w:rPr>
            <w:rFonts w:ascii="Cambria Math" w:hAnsi="Cambria Math"/>
          </w:rPr>
          <m:t>1</m:t>
        </m:r>
      </m:oMath>
      <w:r w:rsidRPr="0085429C">
        <w:t xml:space="preserve"> and divided at 5, 10, 20, 50, 100, and 250 employees. Pre-deal employment growth compares employment over months </w:t>
      </w:r>
      <m:oMath>
        <m:r>
          <m:rPr>
            <m:sty m:val="p"/>
          </m:rPr>
          <w:rPr>
            <w:rFonts w:ascii="Cambria Math" w:hAnsi="Cambria Math"/>
          </w:rPr>
          <m:t>-</m:t>
        </m:r>
        <m:r>
          <w:rPr>
            <w:rFonts w:ascii="Cambria Math" w:hAnsi="Cambria Math"/>
          </w:rPr>
          <m:t>6</m:t>
        </m:r>
      </m:oMath>
      <w:r w:rsidRPr="0085429C">
        <w:t xml:space="preserve"> through </w:t>
      </w:r>
      <m:oMath>
        <m:r>
          <m:rPr>
            <m:sty m:val="p"/>
          </m:rPr>
          <w:rPr>
            <w:rFonts w:ascii="Cambria Math" w:hAnsi="Cambria Math"/>
          </w:rPr>
          <m:t>-</m:t>
        </m:r>
        <m:r>
          <w:rPr>
            <w:rFonts w:ascii="Cambria Math" w:hAnsi="Cambria Math"/>
          </w:rPr>
          <m:t>1</m:t>
        </m:r>
      </m:oMath>
      <w:r w:rsidRPr="0085429C">
        <w:t xml:space="preserve"> with employment over months </w:t>
      </w:r>
      <m:oMath>
        <m:r>
          <m:rPr>
            <m:sty m:val="p"/>
          </m:rPr>
          <w:rPr>
            <w:rFonts w:ascii="Cambria Math" w:hAnsi="Cambria Math"/>
          </w:rPr>
          <m:t>-</m:t>
        </m:r>
        <m:r>
          <w:rPr>
            <w:rFonts w:ascii="Cambria Math" w:hAnsi="Cambria Math"/>
          </w:rPr>
          <m:t>18</m:t>
        </m:r>
      </m:oMath>
      <w:r w:rsidRPr="0085429C">
        <w:t xml:space="preserve"> through </w:t>
      </w:r>
      <m:oMath>
        <m:r>
          <m:rPr>
            <m:sty m:val="p"/>
          </m:rPr>
          <w:rPr>
            <w:rFonts w:ascii="Cambria Math" w:hAnsi="Cambria Math"/>
          </w:rPr>
          <m:t>-</m:t>
        </m:r>
        <m:r>
          <w:rPr>
            <w:rFonts w:ascii="Cambria Math" w:hAnsi="Cambria Math"/>
          </w:rPr>
          <m:t>13</m:t>
        </m:r>
      </m:oMath>
      <w:r w:rsidRPr="0085429C">
        <w:t xml:space="preserve"> and is grouped using cutoffs at </w:t>
      </w:r>
      <m:oMath>
        <m:r>
          <m:rPr>
            <m:sty m:val="p"/>
          </m:rPr>
          <w:rPr>
            <w:rFonts w:ascii="Cambria Math" w:hAnsi="Cambria Math"/>
          </w:rPr>
          <m:t>-</m:t>
        </m:r>
        <m:r>
          <w:rPr>
            <w:rFonts w:ascii="Cambria Math" w:hAnsi="Cambria Math"/>
          </w:rPr>
          <m:t>10</m:t>
        </m:r>
      </m:oMath>
      <w:r w:rsidRPr="0085429C">
        <w:t xml:space="preserve"> and </w:t>
      </w:r>
      <m:oMath>
        <m:r>
          <m:rPr>
            <m:sty m:val="p"/>
          </m:rPr>
          <w:rPr>
            <w:rFonts w:ascii="Cambria Math" w:hAnsi="Cambria Math"/>
          </w:rPr>
          <m:t>+</m:t>
        </m:r>
        <m:r>
          <w:rPr>
            <w:rFonts w:ascii="Cambria Math" w:hAnsi="Cambria Math"/>
          </w:rPr>
          <m:t>10</m:t>
        </m:r>
      </m:oMath>
      <w:r w:rsidRPr="0085429C">
        <w:t xml:space="preserve"> percent. Firm age is measured from first observed NPS enrolment and grouped at five and fifteen years. Within an eligible exact cell, the five nearest controls are selected using log pre-deal employment and pre-deal employment </w:t>
      </w:r>
      <w:r w:rsidRPr="00FC7E9D">
        <w:rPr>
          <w:color w:val="000000" w:themeColor="text1"/>
        </w:rPr>
        <w:t xml:space="preserve">growth. </w:t>
      </w:r>
      <w:r w:rsidR="00FC7E9D" w:rsidRPr="00FC7E9D">
        <w:rPr>
          <w:color w:val="000000" w:themeColor="text1"/>
        </w:rPr>
        <w:t>The neighbour distance is</w:t>
      </w:r>
    </w:p>
    <w:p w:rsidR="00FC7E9D" w:rsidRPr="0085429C" w:rsidRDefault="004E4243" w:rsidP="00E528F8">
      <w:pPr>
        <w:pStyle w:val="aff3"/>
        <w:wordWrap/>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 xml:space="preserve"> </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∆log</m:t>
                      </m:r>
                      <m:sSub>
                        <m:sSubPr>
                          <m:ctrlPr>
                            <w:rPr>
                              <w:rFonts w:ascii="Cambria Math" w:hAnsi="Cambria Math"/>
                            </w:rPr>
                          </m:ctrlPr>
                        </m:sSubPr>
                        <m:e>
                          <m:r>
                            <w:rPr>
                              <w:rFonts w:ascii="Cambria Math" w:hAnsi="Cambria Math"/>
                            </w:rPr>
                            <m:t>E</m:t>
                          </m:r>
                        </m:e>
                        <m:sub>
                          <m:r>
                            <w:rPr>
                              <w:rFonts w:ascii="Cambria Math" w:hAnsi="Cambria Math"/>
                            </w:rPr>
                            <m:t>i,j</m:t>
                          </m:r>
                        </m:sub>
                      </m:sSub>
                    </m:num>
                    <m:den>
                      <m:r>
                        <w:rPr>
                          <w:rFonts w:ascii="Cambria Math" w:hAnsi="Cambria Math"/>
                        </w:rPr>
                        <m:t>0.9</m:t>
                      </m:r>
                    </m:den>
                  </m:f>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hr m:val="̃"/>
                              <m:ctrlPr>
                                <w:rPr>
                                  <w:rFonts w:ascii="Cambria Math" w:hAnsi="Cambria Math"/>
                                  <w:i/>
                                </w:rPr>
                              </m:ctrlPr>
                            </m:accPr>
                            <m:e>
                              <m:r>
                                <w:rPr>
                                  <w:rFonts w:ascii="Cambria Math" w:hAnsi="Cambria Math"/>
                                </w:rPr>
                                <m:t>g</m:t>
                              </m:r>
                            </m:e>
                          </m:acc>
                        </m:e>
                        <m:sub>
                          <m:r>
                            <w:rPr>
                              <w:rFonts w:ascii="Cambria Math" w:hAnsi="Cambria Math"/>
                            </w:rPr>
                            <m:t>i,j</m:t>
                          </m:r>
                        </m:sub>
                      </m:sSub>
                    </m:num>
                    <m:den>
                      <m:r>
                        <w:rPr>
                          <w:rFonts w:ascii="Cambria Math" w:hAnsi="Cambria Math"/>
                        </w:rPr>
                        <m:t>0.35</m:t>
                      </m:r>
                    </m:den>
                  </m:f>
                </m:e>
              </m:d>
            </m:e>
            <m:sup>
              <m:r>
                <w:rPr>
                  <w:rFonts w:ascii="Cambria Math" w:hAnsi="Cambria Math"/>
                </w:rPr>
                <m:t>2</m:t>
              </m:r>
            </m:sup>
          </m:sSup>
          <m:r>
            <m:rPr>
              <m:sty m:val="p"/>
            </m:rPr>
            <w:rPr>
              <w:rFonts w:ascii="Cambria Math" w:hAnsi="Cambria Math"/>
            </w:rPr>
            <m:t>.</m:t>
          </m:r>
        </m:oMath>
      </m:oMathPara>
    </w:p>
    <w:p w:rsidR="00FC7E9D" w:rsidRPr="00FC7E9D" w:rsidRDefault="00FC7E9D" w:rsidP="00E528F8">
      <w:pPr>
        <w:wordWrap/>
      </w:pPr>
      <w:r w:rsidRPr="00FC7E9D">
        <w:t xml:space="preserve">where pre-deal employment growth is clipped to </w:t>
      </w:r>
      <m:oMath>
        <m:r>
          <m:rPr>
            <m:sty m:val="p"/>
          </m:rPr>
          <w:rPr>
            <w:rFonts w:ascii="Cambria Math" w:hAnsi="Cambria Math"/>
          </w:rPr>
          <m:t>[-</m:t>
        </m:r>
        <m:r>
          <w:rPr>
            <w:rFonts w:ascii="Cambria Math" w:hAnsi="Cambria Math"/>
          </w:rPr>
          <m:t>1</m:t>
        </m:r>
        <m:r>
          <m:rPr>
            <m:sty m:val="p"/>
          </m:rPr>
          <w:rPr>
            <w:rFonts w:ascii="Cambria Math" w:hAnsi="Cambria Math"/>
          </w:rPr>
          <m:t>, 2]</m:t>
        </m:r>
      </m:oMath>
      <w:r w:rsidRPr="00FC7E9D">
        <w:t xml:space="preserve"> before differencing.</w:t>
      </w:r>
    </w:p>
    <w:p w:rsidR="0085429C" w:rsidRPr="0085429C" w:rsidRDefault="0085429C" w:rsidP="00E528F8">
      <w:pPr>
        <w:pStyle w:val="aff3"/>
        <w:wordWrap/>
      </w:pPr>
      <w:r>
        <w:t xml:space="preserve">We exclude a target if its exact cell contains no eligible untreated firm rather than extrapolate beyond </w:t>
      </w:r>
      <w:r>
        <w:lastRenderedPageBreak/>
        <w:t>common support. The resulting estimates apply only where observably similar controls exist. This restriction improves comparability but does not make investment conditionally random.</w:t>
      </w:r>
    </w:p>
    <w:p w:rsidR="0085429C" w:rsidRPr="0085429C" w:rsidRDefault="0085429C" w:rsidP="00E528F8">
      <w:pPr>
        <w:pStyle w:val="aff3"/>
        <w:wordWrap/>
      </w:pPr>
      <w:r w:rsidRPr="0085429C">
        <w:t>The primary heterogeneity analysis adds the target</w:t>
      </w:r>
      <w:r w:rsidR="00456B66">
        <w:t>'</w:t>
      </w:r>
      <w:r w:rsidRPr="0085429C">
        <w:t xml:space="preserve">s recent hiring condition to this matching structure. Let </w:t>
      </w:r>
      <m:oMath>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state</m:t>
            </m:r>
          </m:sup>
        </m:sSubSup>
      </m:oMath>
      <w:r w:rsidRPr="0085429C">
        <w:t xml:space="preserve"> denote worker entries over months </w:t>
      </w:r>
      <m:oMath>
        <m:r>
          <m:rPr>
            <m:sty m:val="p"/>
          </m:rPr>
          <w:rPr>
            <w:rFonts w:ascii="Cambria Math" w:hAnsi="Cambria Math"/>
          </w:rPr>
          <m:t>-</m:t>
        </m:r>
        <m:r>
          <w:rPr>
            <w:rFonts w:ascii="Cambria Math" w:hAnsi="Cambria Math"/>
          </w:rPr>
          <m:t>24</m:t>
        </m:r>
      </m:oMath>
      <w:r w:rsidRPr="0085429C">
        <w:t xml:space="preserve"> through </w:t>
      </w:r>
      <m:oMath>
        <m:r>
          <m:rPr>
            <m:sty m:val="p"/>
          </m:rPr>
          <w:rPr>
            <w:rFonts w:ascii="Cambria Math" w:hAnsi="Cambria Math"/>
          </w:rPr>
          <m:t>-</m:t>
        </m:r>
        <m:r>
          <w:rPr>
            <w:rFonts w:ascii="Cambria Math" w:hAnsi="Cambria Math"/>
          </w:rPr>
          <m:t>13</m:t>
        </m:r>
      </m:oMath>
      <w:r w:rsidRPr="0085429C">
        <w:t xml:space="preserve">, and let </w:t>
      </w: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state</m:t>
            </m:r>
          </m:sup>
        </m:sSubSup>
      </m:oMath>
      <w:r w:rsidRPr="0085429C">
        <w:t xml:space="preserve"> denote</w:t>
      </w:r>
      <w:r w:rsidR="00FC7E9D">
        <w:t xml:space="preserve"> </w:t>
      </w:r>
      <w:r w:rsidR="00FC7E9D" w:rsidRPr="00FC7E9D">
        <w:t>mean insured employment over the same twelve state-window months. We define</w:t>
      </w:r>
    </w:p>
    <w:p w:rsidR="0085429C" w:rsidRPr="0085429C" w:rsidRDefault="004E4243" w:rsidP="00E528F8">
      <w:pPr>
        <w:pStyle w:val="aff3"/>
        <w:wordWrap/>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state</m:t>
                      </m:r>
                    </m:sup>
                  </m:sSubSup>
                </m:num>
                <m:den>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state</m:t>
                      </m:r>
                    </m:sup>
                  </m:sSubSup>
                </m:den>
              </m:f>
            </m:e>
          </m:d>
          <m:r>
            <m:rPr>
              <m:sty m:val="p"/>
            </m:rPr>
            <w:rPr>
              <w:rFonts w:ascii="Cambria Math" w:hAnsi="Cambria Math"/>
            </w:rPr>
            <m:t>.</m:t>
          </m:r>
        </m:oMath>
      </m:oMathPara>
    </w:p>
    <w:p w:rsidR="0085429C" w:rsidRPr="0085429C" w:rsidRDefault="0085429C" w:rsidP="00E528F8">
      <w:pPr>
        <w:pStyle w:val="aff3"/>
        <w:wordWrap/>
      </w:pPr>
      <w:r w:rsidRPr="0085429C">
        <w:t xml:space="preserve">Higher values of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85429C">
        <w:t xml:space="preserve"> indicate lower pre-deal hiring intensity. The negative transformation is used so that a positive state gradient corresponds to a larger subsequent hiring response among targets that had been hiring less actively.</w:t>
      </w:r>
      <w:r>
        <w:t xml:space="preserve"> </w:t>
      </w:r>
      <w:r w:rsidRPr="0085429C">
        <w:t xml:space="preserve">The state window is deliberately separated from the baseline outcome window.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85429C">
        <w:t xml:space="preserve"> uses months </w:t>
      </w:r>
      <m:oMath>
        <m:r>
          <m:rPr>
            <m:sty m:val="p"/>
          </m:rPr>
          <w:rPr>
            <w:rFonts w:ascii="Cambria Math" w:hAnsi="Cambria Math"/>
          </w:rPr>
          <m:t>-</m:t>
        </m:r>
        <m:r>
          <w:rPr>
            <w:rFonts w:ascii="Cambria Math" w:hAnsi="Cambria Math"/>
          </w:rPr>
          <m:t>24</m:t>
        </m:r>
      </m:oMath>
      <w:r w:rsidRPr="0085429C">
        <w:t xml:space="preserve"> through </w:t>
      </w:r>
      <m:oMath>
        <m:r>
          <m:rPr>
            <m:sty m:val="p"/>
          </m:rPr>
          <w:rPr>
            <w:rFonts w:ascii="Cambria Math" w:hAnsi="Cambria Math"/>
          </w:rPr>
          <m:t>-</m:t>
        </m:r>
        <m:r>
          <w:rPr>
            <w:rFonts w:ascii="Cambria Math" w:hAnsi="Cambria Math"/>
          </w:rPr>
          <m:t>13</m:t>
        </m:r>
      </m:oMath>
      <w:r w:rsidRPr="0085429C">
        <w:t xml:space="preserve">, while the pre-investment hiring outcome uses months </w:t>
      </w:r>
      <m:oMath>
        <m:r>
          <m:rPr>
            <m:sty m:val="p"/>
          </m:rPr>
          <w:rPr>
            <w:rFonts w:ascii="Cambria Math" w:hAnsi="Cambria Math"/>
          </w:rPr>
          <m:t>-</m:t>
        </m:r>
        <m:r>
          <w:rPr>
            <w:rFonts w:ascii="Cambria Math" w:hAnsi="Cambria Math"/>
          </w:rPr>
          <m:t>12</m:t>
        </m:r>
      </m:oMath>
      <w:r w:rsidRPr="0085429C">
        <w:t xml:space="preserve"> through </w:t>
      </w:r>
      <m:oMath>
        <m:r>
          <m:rPr>
            <m:sty m:val="p"/>
          </m:rPr>
          <w:rPr>
            <w:rFonts w:ascii="Cambria Math" w:hAnsi="Cambria Math"/>
          </w:rPr>
          <m:t>-</m:t>
        </m:r>
        <m:r>
          <w:rPr>
            <w:rFonts w:ascii="Cambria Math" w:hAnsi="Cambria Math"/>
          </w:rPr>
          <m:t>1</m:t>
        </m:r>
      </m:oMath>
      <w:r w:rsidRPr="0085429C">
        <w:t>. This separation prevents the same worker entries from mechanically determining both the moderator and the pre-period component of the outcome.</w:t>
      </w:r>
    </w:p>
    <w:p w:rsidR="005C23D4" w:rsidRPr="005C23D4" w:rsidRDefault="005F6D31" w:rsidP="00E528F8">
      <w:pPr>
        <w:pStyle w:val="aff3"/>
        <w:wordWrap/>
      </w:pPr>
      <w:r>
        <w:t>The primary design divides the state into terciles and adds the tercile to the exact-matching cell. Five nearest controls are then selected within that cell. We call this state-balanced matching. Only the coarse tercile is exact-matched; the continuous state remains the regressor in the gradient specification. The restriction therefore changes the comparison group without discretising the estimand (Stuart 2010; Iacus, King, and Porro 2012; Dong et al. 2020; Yang et al. 2021). The restriction follows from the estimand. Overall covariate balance does not guarantee balance within strata of an effect modifier. Here, untreated outcomes may vary with the same hiring state used to order target responses. Regressing the treated-minus-control response on that state would then combine the target-side slope with a slope in the counterfactual assigned to targets at different state values. Section 5.2 reports both components under conventional and state-balanced matching.</w:t>
      </w:r>
    </w:p>
    <w:p w:rsidR="004E4243" w:rsidRPr="004E4243" w:rsidRDefault="0085429C" w:rsidP="00E528F8">
      <w:pPr>
        <w:pStyle w:val="aff3"/>
        <w:wordWrap/>
        <w:rPr>
          <w:rFonts w:hint="eastAsia"/>
        </w:rPr>
      </w:pPr>
      <w:r>
        <w:t>State balance removes an observable dependence of assigned controls on the moderator. It does not equalise unobserved growth opportunities, financing, managerial plans, or information. Selection on target-specific information held by the sponsor remains possible.</w:t>
      </w:r>
    </w:p>
    <w:p w:rsidR="004E04F6" w:rsidRDefault="004E04F6" w:rsidP="00E528F8">
      <w:pPr>
        <w:pStyle w:val="3"/>
      </w:pPr>
      <w:r>
        <w:t xml:space="preserve">4.2 </w:t>
      </w:r>
      <w:r w:rsidR="0085429C" w:rsidRPr="0085429C">
        <w:t>Outcomes and the state-gradient estimand</w:t>
      </w:r>
    </w:p>
    <w:p w:rsidR="0085429C" w:rsidRPr="0085429C" w:rsidRDefault="0085429C" w:rsidP="00E528F8">
      <w:pPr>
        <w:pStyle w:val="aff3"/>
        <w:wordWrap/>
      </w:pPr>
      <w:r w:rsidRPr="0085429C">
        <w:t xml:space="preserve">For a firm </w:t>
      </w:r>
      <m:oMath>
        <m:r>
          <w:rPr>
            <w:rFonts w:ascii="Cambria Math" w:hAnsi="Cambria Math"/>
          </w:rPr>
          <m:t>i</m:t>
        </m:r>
      </m:oMath>
      <w:r w:rsidRPr="0085429C">
        <w:t xml:space="preserve"> and twelve-month window </w:t>
      </w:r>
      <m:oMath>
        <m:r>
          <w:rPr>
            <w:rFonts w:ascii="Cambria Math" w:hAnsi="Cambria Math"/>
          </w:rPr>
          <m:t>w</m:t>
        </m:r>
      </m:oMath>
      <w:r w:rsidRPr="0085429C">
        <w:t>, define the hiring rate as</w:t>
      </w:r>
    </w:p>
    <w:p w:rsidR="0085429C" w:rsidRPr="0085429C" w:rsidRDefault="0085429C" w:rsidP="00E528F8">
      <w:pPr>
        <w:pStyle w:val="aff3"/>
        <w:wordWrap/>
      </w:pPr>
      <m:oMathPara>
        <m:oMathParaPr>
          <m:jc m:val="center"/>
        </m:oMathParaPr>
        <m:oMath>
          <m:r>
            <w:rPr>
              <w:rFonts w:ascii="Cambria Math" w:hAnsi="Cambria Math"/>
            </w:rPr>
            <w:lastRenderedPageBreak/>
            <m:t>H</m:t>
          </m:r>
          <m:sSub>
            <m:sSubPr>
              <m:ctrlPr>
                <w:rPr>
                  <w:rFonts w:ascii="Cambria Math" w:hAnsi="Cambria Math"/>
                </w:rPr>
              </m:ctrlPr>
            </m:sSubPr>
            <m:e>
              <m:r>
                <w:rPr>
                  <w:rFonts w:ascii="Cambria Math" w:hAnsi="Cambria Math"/>
                </w:rPr>
                <m:t>R</m:t>
              </m:r>
            </m:e>
            <m:sub>
              <m:r>
                <w:rPr>
                  <w:rFonts w:ascii="Cambria Math" w:hAnsi="Cambria Math"/>
                </w:rPr>
                <m:t>iw</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iw</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iw</m:t>
                  </m:r>
                </m:sub>
              </m:sSub>
            </m:den>
          </m:f>
          <m:r>
            <m:rPr>
              <m:sty m:val="p"/>
            </m:rPr>
            <w:rPr>
              <w:rFonts w:ascii="Cambria Math" w:hAnsi="Cambria Math"/>
            </w:rPr>
            <m:t>,</m:t>
          </m:r>
        </m:oMath>
      </m:oMathPara>
    </w:p>
    <w:p w:rsidR="0085429C" w:rsidRPr="0085429C" w:rsidRDefault="0085429C" w:rsidP="00E528F8">
      <w:pPr>
        <w:pStyle w:val="aff3"/>
        <w:wordWrap/>
      </w:pPr>
      <w:r w:rsidRPr="0085429C">
        <w:t xml:space="preserve">where </w:t>
      </w:r>
      <m:oMath>
        <m:sSub>
          <m:sSubPr>
            <m:ctrlPr>
              <w:rPr>
                <w:rFonts w:ascii="Cambria Math" w:hAnsi="Cambria Math"/>
              </w:rPr>
            </m:ctrlPr>
          </m:sSubPr>
          <m:e>
            <m:r>
              <w:rPr>
                <w:rFonts w:ascii="Cambria Math" w:hAnsi="Cambria Math"/>
              </w:rPr>
              <m:t>N</m:t>
            </m:r>
          </m:e>
          <m:sub>
            <m:r>
              <w:rPr>
                <w:rFonts w:ascii="Cambria Math" w:hAnsi="Cambria Math"/>
              </w:rPr>
              <m:t>iw</m:t>
            </m:r>
          </m:sub>
        </m:sSub>
      </m:oMath>
      <w:r w:rsidRPr="0085429C">
        <w:t xml:space="preserve"> is the total number of NPS worker entries during the window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iw</m:t>
            </m:r>
          </m:sub>
        </m:sSub>
      </m:oMath>
      <w:r w:rsidRPr="0085429C">
        <w:t xml:space="preserve"> is mean insured employment over the same months. The measure is not annualised.</w:t>
      </w:r>
      <w:r>
        <w:t xml:space="preserve"> </w:t>
      </w:r>
      <w:r w:rsidRPr="0085429C">
        <w:t xml:space="preserve">The primary pre-investment window covers months </w:t>
      </w:r>
      <m:oMath>
        <m:r>
          <m:rPr>
            <m:sty m:val="p"/>
          </m:rPr>
          <w:rPr>
            <w:rFonts w:ascii="Cambria Math" w:hAnsi="Cambria Math"/>
          </w:rPr>
          <m:t>-</m:t>
        </m:r>
        <m:r>
          <w:rPr>
            <w:rFonts w:ascii="Cambria Math" w:hAnsi="Cambria Math"/>
          </w:rPr>
          <m:t>12</m:t>
        </m:r>
      </m:oMath>
      <w:r w:rsidRPr="0085429C">
        <w:t xml:space="preserve"> through </w:t>
      </w:r>
      <m:oMath>
        <m:r>
          <m:rPr>
            <m:sty m:val="p"/>
          </m:rPr>
          <w:rPr>
            <w:rFonts w:ascii="Cambria Math" w:hAnsi="Cambria Math"/>
          </w:rPr>
          <m:t>-</m:t>
        </m:r>
        <m:r>
          <w:rPr>
            <w:rFonts w:ascii="Cambria Math" w:hAnsi="Cambria Math"/>
          </w:rPr>
          <m:t>1</m:t>
        </m:r>
      </m:oMath>
      <w:r w:rsidRPr="0085429C">
        <w:t xml:space="preserve">, and the post-investment window covers months </w:t>
      </w:r>
      <m:oMath>
        <m:r>
          <m:rPr>
            <m:sty m:val="p"/>
          </m:rPr>
          <w:rPr>
            <w:rFonts w:ascii="Cambria Math" w:hAnsi="Cambria Math"/>
          </w:rPr>
          <m:t>+</m:t>
        </m:r>
        <m:r>
          <w:rPr>
            <w:rFonts w:ascii="Cambria Math" w:hAnsi="Cambria Math"/>
          </w:rPr>
          <m:t>1</m:t>
        </m:r>
      </m:oMath>
      <w:r w:rsidRPr="0085429C">
        <w:t xml:space="preserve"> through </w:t>
      </w:r>
      <m:oMath>
        <m:r>
          <m:rPr>
            <m:sty m:val="p"/>
          </m:rPr>
          <w:rPr>
            <w:rFonts w:ascii="Cambria Math" w:hAnsi="Cambria Math"/>
          </w:rPr>
          <m:t>+</m:t>
        </m:r>
        <m:r>
          <w:rPr>
            <w:rFonts w:ascii="Cambria Math" w:hAnsi="Cambria Math"/>
          </w:rPr>
          <m:t>12</m:t>
        </m:r>
      </m:oMath>
      <w:r w:rsidRPr="0085429C">
        <w:t xml:space="preserve">. For target </w:t>
      </w:r>
      <m:oMath>
        <m:r>
          <w:rPr>
            <w:rFonts w:ascii="Cambria Math" w:hAnsi="Cambria Math"/>
          </w:rPr>
          <m:t>i</m:t>
        </m:r>
      </m:oMath>
      <w:r w:rsidRPr="0085429C">
        <w:t xml:space="preserve">, let </w:t>
      </w:r>
      <m:oMath>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oMath>
      <w:r w:rsidRPr="0085429C">
        <w:t xml:space="preserve"> denote its matched control firms. The event-level matched response is</w:t>
      </w:r>
    </w:p>
    <w:p w:rsidR="0085429C" w:rsidRPr="0085429C" w:rsidRDefault="004E4243" w:rsidP="00E528F8">
      <w:pPr>
        <w:pStyle w:val="aff3"/>
        <w:wordWrap/>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log</m:t>
              </m:r>
              <m:r>
                <w:rPr>
                  <w:rFonts w:ascii="Cambria Math" w:hAnsi="Cambria Math"/>
                </w:rPr>
                <m:t>H</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post</m:t>
                  </m:r>
                </m:sub>
              </m:sSub>
              <m:r>
                <m:rPr>
                  <m:sty m:val="p"/>
                </m:rPr>
                <w:rPr>
                  <w:rFonts w:ascii="Cambria Math" w:hAnsi="Cambria Math"/>
                </w:rPr>
                <m:t>-log</m:t>
              </m:r>
              <m:r>
                <w:rPr>
                  <w:rFonts w:ascii="Cambria Math" w:hAnsi="Cambria Math"/>
                </w:rPr>
                <m:t>H</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pre</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up>
              <m:r>
                <w:rPr>
                  <w:rFonts w:ascii="Cambria Math" w:hAnsi="Cambria Math"/>
                </w:rPr>
                <m:t>​</m:t>
              </m:r>
            </m:sup>
            <m:e>
              <m:d>
                <m:dPr>
                  <m:begChr m:val="["/>
                  <m:endChr m:val="]"/>
                  <m:ctrlPr>
                    <w:rPr>
                      <w:rFonts w:ascii="Cambria Math" w:hAnsi="Cambria Math"/>
                    </w:rPr>
                  </m:ctrlPr>
                </m:dPr>
                <m:e>
                  <m:r>
                    <m:rPr>
                      <m:sty m:val="p"/>
                    </m:rPr>
                    <w:rPr>
                      <w:rFonts w:ascii="Cambria Math" w:hAnsi="Cambria Math"/>
                    </w:rPr>
                    <m:t>log</m:t>
                  </m:r>
                  <m:r>
                    <w:rPr>
                      <w:rFonts w:ascii="Cambria Math" w:hAnsi="Cambria Math"/>
                    </w:rPr>
                    <m:t>H</m:t>
                  </m:r>
                  <m:sSub>
                    <m:sSubPr>
                      <m:ctrlPr>
                        <w:rPr>
                          <w:rFonts w:ascii="Cambria Math" w:hAnsi="Cambria Math"/>
                        </w:rPr>
                      </m:ctrlPr>
                    </m:sSub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post</m:t>
                      </m:r>
                    </m:sub>
                  </m:sSub>
                  <m:r>
                    <m:rPr>
                      <m:sty m:val="p"/>
                    </m:rPr>
                    <w:rPr>
                      <w:rFonts w:ascii="Cambria Math" w:hAnsi="Cambria Math"/>
                    </w:rPr>
                    <m:t>-log</m:t>
                  </m:r>
                  <m:r>
                    <w:rPr>
                      <w:rFonts w:ascii="Cambria Math" w:hAnsi="Cambria Math"/>
                    </w:rPr>
                    <m:t>H</m:t>
                  </m:r>
                  <m:sSub>
                    <m:sSubPr>
                      <m:ctrlPr>
                        <w:rPr>
                          <w:rFonts w:ascii="Cambria Math" w:hAnsi="Cambria Math"/>
                        </w:rPr>
                      </m:ctrlPr>
                    </m:sSub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pre</m:t>
                      </m:r>
                    </m:sub>
                  </m:sSub>
                </m:e>
              </m:d>
            </m:e>
          </m:nary>
          <m:r>
            <m:rPr>
              <m:sty m:val="p"/>
            </m:rPr>
            <w:rPr>
              <w:rFonts w:ascii="Cambria Math" w:hAnsi="Cambria Math"/>
            </w:rPr>
            <m:t>.</m:t>
          </m:r>
        </m:oMath>
      </m:oMathPara>
    </w:p>
    <w:p w:rsidR="0085429C" w:rsidRPr="0085429C" w:rsidRDefault="0085429C" w:rsidP="00E528F8">
      <w:pPr>
        <w:pStyle w:val="aff3"/>
        <w:wordWrap/>
      </w:pPr>
      <w:r w:rsidRPr="0085429C">
        <w:t xml:space="preserve">A positive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85429C">
        <w:t xml:space="preserve"> means that the target</w:t>
      </w:r>
      <w:r w:rsidR="00456B66">
        <w:t>'</w:t>
      </w:r>
      <w:r w:rsidRPr="0085429C">
        <w:t>s hiring rate increased more, or declined less, than the mean change among its matched controls.</w:t>
      </w:r>
      <w:r>
        <w:t xml:space="preserve"> </w:t>
      </w:r>
      <w:r w:rsidRPr="0085429C">
        <w:t xml:space="preserve">The primary heterogeneity estimand is the gradient of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85429C">
        <w:t xml:space="preserve"> with respect to the target</w:t>
      </w:r>
      <w:r w:rsidR="00456B66">
        <w:t>'</w:t>
      </w:r>
      <w:r w:rsidRPr="0085429C">
        <w:t xml:space="preserve">s continuous pre-deal state. We partial out log pre-deal size, pre-deal employment growth, firm age, and one-digit industry from both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85429C">
        <w:t xml:space="preserve"> and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85429C">
        <w:t xml:space="preserve">. Let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m:t>
            </m:r>
          </m:sub>
        </m:sSub>
      </m:oMath>
      <w:r w:rsidRPr="0085429C">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oMath>
      <w:r w:rsidRPr="0085429C">
        <w:t xml:space="preserve"> denote the corresponding residuals. We estimate</w:t>
      </w:r>
    </w:p>
    <w:p w:rsidR="0085429C" w:rsidRPr="0085429C" w:rsidRDefault="004E4243" w:rsidP="00E528F8">
      <w:pPr>
        <w:pStyle w:val="aff3"/>
        <w:wordWrap/>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m:t>
              </m:r>
            </m:sub>
          </m:sSub>
          <m:r>
            <m:rPr>
              <m:sty m:val="p"/>
            </m:rPr>
            <w:rPr>
              <w:rFonts w:ascii="Cambria Math" w:hAnsi="Cambria Math"/>
            </w:rPr>
            <m:t>=</m:t>
          </m:r>
          <m:r>
            <w:rPr>
              <w:rFonts w:ascii="Cambria Math" w:hAnsi="Cambria Math"/>
            </w:rPr>
            <m:t>β</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oMath>
      </m:oMathPara>
    </w:p>
    <w:p w:rsidR="0085429C" w:rsidRPr="0085429C" w:rsidRDefault="0085429C" w:rsidP="00E528F8">
      <w:pPr>
        <w:pStyle w:val="aff3"/>
        <w:wordWrap/>
      </w:pPr>
      <w:r w:rsidRPr="0085429C">
        <w:t xml:space="preserve">Because higher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85429C">
        <w:t xml:space="preserve"> indicates lower pre-deal hiring intensity, a positive </w:t>
      </w:r>
      <m:oMath>
        <m:r>
          <w:rPr>
            <w:rFonts w:ascii="Cambria Math" w:hAnsi="Cambria Math"/>
          </w:rPr>
          <m:t>β</m:t>
        </m:r>
      </m:oMath>
      <w:r w:rsidRPr="0085429C">
        <w:t xml:space="preserve"> means that targets entering from lower-hiring states exhibit larger post-investment changes in hiring relative to their state-balanced controls.</w:t>
      </w:r>
      <w:r>
        <w:t xml:space="preserve"> The coefficient is a cross-target gradient in a matched response. It is distinct from the average post-investment change in Section 5.1 and is neither a structural labour-adjustment parameter nor a forecasting coefficient for future deals.</w:t>
      </w:r>
    </w:p>
    <w:p w:rsidR="0085429C" w:rsidRPr="00680828" w:rsidRDefault="00680828" w:rsidP="00E528F8">
      <w:pPr>
        <w:pStyle w:val="aff3"/>
        <w:wordWrap/>
      </w:pPr>
      <w:r>
        <w:t>The primary gradient requires complete twelve-month pre- and post-investment windows and positive worker entries in both, as required by the logarithm.</w:t>
      </w:r>
      <w:r w:rsidRPr="00680828">
        <w:rPr>
          <w:vertAlign w:val="superscript"/>
        </w:rPr>
        <w:footnoteReference w:id="5"/>
      </w:r>
      <w:r>
        <w:t xml:space="preserve"> This last restriction removes three otherwise eligible events. Online Appendix B.3 reports inverse-hyperbolic-sine and log(1 + HR) specifications that retain zero-entry windows. The average-effect sample uses a different availability rule: at least six observed months in each required window for the target and an eligible control, yielding 367 events. The 286-event gradient sample requires complete state and outcome windows. Estimates from the two samples answer different questions and need not describe a common population.</w:t>
      </w:r>
    </w:p>
    <w:p w:rsidR="0085429C" w:rsidRPr="0085429C" w:rsidRDefault="0085429C" w:rsidP="00E528F8">
      <w:pPr>
        <w:pStyle w:val="aff3"/>
        <w:wordWrap/>
      </w:pPr>
      <w:r>
        <w:lastRenderedPageBreak/>
        <w:t>We winsorise the treated event-level response at its 5th and 95th percentiles and apply the same absolute cutoffs to pseudo-event outcomes. Online Appendix B reports unwinsorised results, alternative cutoffs and transformations, and other matching and weighting procedures. Because employment enters the denominator of HR, we also estimate gradients for the log number of worker entries. A further diagnostic adds the post-investment change in log employment. Employment is itself an outcome, so this is not a causal control; it asks only whether denominator movements drive the rate result. Net employment is measured directly from the employment stock.</w:t>
      </w:r>
    </w:p>
    <w:p w:rsidR="004E04F6" w:rsidRDefault="004E04F6" w:rsidP="00E528F8">
      <w:pPr>
        <w:pStyle w:val="3"/>
      </w:pPr>
      <w:r>
        <w:t xml:space="preserve">4.3 </w:t>
      </w:r>
      <w:r w:rsidR="0085429C" w:rsidRPr="0085429C">
        <w:t>Untreated reference distribution and statistical inference</w:t>
      </w:r>
    </w:p>
    <w:p w:rsidR="0085429C" w:rsidRDefault="00680828" w:rsidP="00E528F8">
      <w:pPr>
        <w:pStyle w:val="aff3"/>
        <w:wordWrap/>
      </w:pPr>
      <w:r>
        <w:t>Zero is not the relevant null for the state gradient. Mean reversion, temporary hiring pauses, and other untreated dynamics can produce a positive relation between low prior hiring and subsequent hiring even without private equity. We estimate this background relation with untreated pseudo-events. Eligible firms receive pseudo-event dates and undergo the same state construction, matching, transformation, covariate adjustment, and winsorisation as the targets. The primary pool contains 1,205 pseudo-events. In each of 2,000 draws, we randomly order eligible events within the matching structure, accumulate observations until 286 are retained, and re-estimate the gradient. The distribution therefore incorporates the rebound observed among untreated low-hiring firms.</w:t>
      </w:r>
    </w:p>
    <w:p w:rsidR="00E34E0E" w:rsidRDefault="00E34E0E" w:rsidP="00E528F8">
      <w:pPr>
        <w:pStyle w:val="aff3"/>
        <w:wordWrap/>
      </w:pPr>
      <w:r>
        <w:t>This is an empirical reference distribution, not a randomisation distribution: investment is not randomly assigned, and the pseudo-events do not reproduce an experimental assignment mechanism. The comparison asks whether the target gradient is unusual relative to untreated state-dependent movements generated by the same procedure. It cannot reproduce sponsor information absent from the data.</w:t>
      </w:r>
    </w:p>
    <w:p w:rsidR="00E34E0E" w:rsidRPr="00E34E0E" w:rsidRDefault="00E34E0E" w:rsidP="00E528F8">
      <w:pPr>
        <w:pStyle w:val="aff3"/>
        <w:wordWrap/>
      </w:pPr>
      <w:r>
        <w:t>The 2,000 primary draws have mean 0.1010 and standard deviation 0.1538. The target gradient of 0.7101 is 3.96 reference-distribution standard deviations above that mean. We calculate the centred two-sided empirical p-value as</w:t>
      </w:r>
    </w:p>
    <w:p w:rsidR="00FC7E9D" w:rsidRPr="0085429C" w:rsidRDefault="004E4243" w:rsidP="00E528F8">
      <w:pPr>
        <w:pStyle w:val="aff3"/>
        <w:wordWrap/>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emp</m:t>
              </m:r>
            </m:sub>
          </m:sSub>
          <m:r>
            <m:rPr>
              <m:sty m:val="p"/>
            </m:rPr>
            <w:rPr>
              <w:rFonts w:ascii="Cambria Math" w:hAnsi="Cambria Math"/>
            </w:rPr>
            <m:t xml:space="preserve">= </m:t>
          </m:r>
          <m:f>
            <m:fPr>
              <m:ctrlPr>
                <w:rPr>
                  <w:rFonts w:ascii="Cambria Math" w:hAnsi="Cambria Math"/>
                </w:rPr>
              </m:ctrlPr>
            </m:fPr>
            <m:num>
              <m:r>
                <w:rPr>
                  <w:rFonts w:ascii="Cambria Math" w:hAnsi="Cambria Math"/>
                </w:rPr>
                <m:t>1+</m:t>
              </m:r>
              <m:nary>
                <m:naryPr>
                  <m:chr m:val="∑"/>
                  <m:limLoc m:val="subSup"/>
                  <m:ctrlPr>
                    <w:rPr>
                      <w:rFonts w:ascii="Cambria Math" w:hAnsi="Cambria Math"/>
                      <w:i/>
                    </w:rPr>
                  </m:ctrlPr>
                </m:naryPr>
                <m:sub>
                  <m:r>
                    <w:rPr>
                      <w:rFonts w:ascii="Cambria Math" w:hAnsi="Cambria Math"/>
                    </w:rPr>
                    <m:t>b=1</m:t>
                  </m:r>
                </m:sub>
                <m:sup>
                  <m:r>
                    <w:rPr>
                      <w:rFonts w:ascii="Cambria Math" w:hAnsi="Cambria Math"/>
                    </w:rPr>
                    <m:t>B</m:t>
                  </m:r>
                </m:sup>
                <m:e>
                  <m:r>
                    <w:rPr>
                      <w:rFonts w:ascii="Cambria Math" w:hAnsi="Cambria Math"/>
                    </w:rPr>
                    <m:t>1{|</m:t>
                  </m:r>
                  <m:sSub>
                    <m:sSubPr>
                      <m:ctrlPr>
                        <w:rPr>
                          <w:rFonts w:ascii="Cambria Math" w:hAnsi="Cambria Math"/>
                        </w:rPr>
                      </m:ctrlPr>
                    </m:sSubPr>
                    <m:e>
                      <m:r>
                        <w:rPr>
                          <w:rFonts w:ascii="Cambria Math" w:hAnsi="Cambria Math"/>
                        </w:rPr>
                        <m:t>g</m:t>
                      </m:r>
                    </m:e>
                    <m:sub>
                      <m:r>
                        <w:rPr>
                          <w:rFonts w:ascii="Cambria Math" w:hAnsi="Cambria Math"/>
                        </w:rPr>
                        <m:t>b</m:t>
                      </m:r>
                    </m:sub>
                  </m:sSub>
                  <m:r>
                    <w:rPr>
                      <w:rFonts w:ascii="Cambria Math" w:hAnsi="Cambria Math"/>
                    </w:rPr>
                    <m:t>-</m:t>
                  </m:r>
                  <m:acc>
                    <m:accPr>
                      <m:chr m:val="̅"/>
                      <m:ctrlPr>
                        <w:rPr>
                          <w:rFonts w:ascii="Cambria Math" w:hAnsi="Cambria Math"/>
                          <w:i/>
                        </w:rPr>
                      </m:ctrlPr>
                    </m:accPr>
                    <m:e>
                      <m:r>
                        <w:rPr>
                          <w:rFonts w:ascii="Cambria Math" w:hAnsi="Cambria Math"/>
                        </w:rPr>
                        <m:t>g</m:t>
                      </m:r>
                    </m:e>
                  </m:acc>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obs</m:t>
                      </m:r>
                    </m:sup>
                  </m:sSup>
                  <m:r>
                    <w:rPr>
                      <w:rFonts w:ascii="Cambria Math" w:hAnsi="Cambria Math"/>
                    </w:rPr>
                    <m:t>-</m:t>
                  </m:r>
                  <m:acc>
                    <m:accPr>
                      <m:chr m:val="̅"/>
                      <m:ctrlPr>
                        <w:rPr>
                          <w:rFonts w:ascii="Cambria Math" w:hAnsi="Cambria Math"/>
                          <w:i/>
                        </w:rPr>
                      </m:ctrlPr>
                    </m:accPr>
                    <m:e>
                      <m:r>
                        <w:rPr>
                          <w:rFonts w:ascii="Cambria Math" w:hAnsi="Cambria Math"/>
                        </w:rPr>
                        <m:t>g</m:t>
                      </m:r>
                    </m:e>
                  </m:acc>
                  <m:r>
                    <w:rPr>
                      <w:rFonts w:ascii="Cambria Math" w:hAnsi="Cambria Math"/>
                    </w:rPr>
                    <m:t>|}</m:t>
                  </m:r>
                </m:e>
              </m:nary>
              <m:r>
                <w:rPr>
                  <w:rFonts w:ascii="Cambria Math" w:hAnsi="Cambria Math"/>
                </w:rPr>
                <m:t xml:space="preserve"> </m:t>
              </m:r>
            </m:num>
            <m:den>
              <m:r>
                <w:rPr>
                  <w:rFonts w:ascii="Cambria Math" w:hAnsi="Cambria Math"/>
                </w:rPr>
                <m:t>B+1</m:t>
              </m:r>
            </m:den>
          </m:f>
          <m:r>
            <w:rPr>
              <w:rFonts w:ascii="Cambria Math" w:hAnsi="Cambria Math"/>
            </w:rPr>
            <m:t xml:space="preserve"> </m:t>
          </m:r>
          <m:r>
            <m:rPr>
              <m:sty m:val="p"/>
            </m:rPr>
            <w:rPr>
              <w:rFonts w:ascii="Cambria Math" w:hAnsi="Cambria Math"/>
            </w:rPr>
            <m:t xml:space="preserve">,  </m:t>
          </m:r>
          <m:r>
            <w:rPr>
              <w:rFonts w:ascii="Cambria Math" w:hAnsi="Cambria Math"/>
            </w:rPr>
            <m:t>B</m:t>
          </m:r>
          <m:r>
            <m:rPr>
              <m:sty m:val="p"/>
            </m:rPr>
            <w:rPr>
              <w:rFonts w:ascii="Cambria Math" w:hAnsi="Cambria Math"/>
            </w:rPr>
            <m:t>=2,000</m:t>
          </m:r>
        </m:oMath>
      </m:oMathPara>
    </w:p>
    <w:p w:rsidR="00197DC8" w:rsidRPr="00197DC8" w:rsidRDefault="00197DC8" w:rsidP="00E528F8">
      <w:pPr>
        <w:pStyle w:val="aff3"/>
        <w:wordWrap/>
        <w:rPr>
          <w:color w:val="000000"/>
        </w:rPr>
      </w:pPr>
      <w:r>
        <w:rPr>
          <w:rFonts w:eastAsia="Times New Roman"/>
          <w:color w:val="000000"/>
        </w:rPr>
        <w:t>Because the observed gradient lies farther from the reference mean than every simulated gradient, no draw enters the numerator apart from the add-one correction. With 2,000 draws, the reported 0.0005 (= 1/2,001) is therefore the smallest attainable empirical p-value, not an interpolated tail estimate.</w:t>
      </w:r>
      <w:r>
        <w:t xml:space="preserve"> </w:t>
      </w:r>
      <w:r>
        <w:rPr>
          <w:rFonts w:eastAsia="Times New Roman"/>
          <w:color w:val="000000"/>
        </w:rPr>
        <w:t xml:space="preserve">Here, b </w:t>
      </w:r>
      <w:r>
        <w:rPr>
          <w:rFonts w:eastAsia="Times New Roman"/>
          <w:color w:val="000000"/>
        </w:rPr>
        <w:lastRenderedPageBreak/>
        <w:t>indexes the reference draws, the bar over g denotes their mean, and the superscript obs identifies the target estimate. Ties enter the numerator. The reference-distribution p-value measures how unusual the target gradient is relative to untreated gradients; the treated-event bootstrap interval instead quantifies uncertainty in the target estimate.</w:t>
      </w:r>
    </w:p>
    <w:p w:rsidR="00E34E0E" w:rsidRPr="00E34E0E" w:rsidRDefault="00E34E0E" w:rsidP="00E528F8">
      <w:pPr>
        <w:pStyle w:val="aff3"/>
        <w:wordWrap/>
      </w:pPr>
      <w:r>
        <w:t>For the target interval, we resample treated events together with their matched sets. Two thousand bootstrap draws give [0.3187, 1.1254]. The 286 targets are distinct firms and use 1,144 distinct controls; 95.02 percent of controls appear in one event and none in more than three. Online Appendix D.5 reports checks for this limited reuse.</w:t>
      </w:r>
    </w:p>
    <w:p w:rsidR="00E34E0E" w:rsidRPr="00E34E0E" w:rsidRDefault="00E34E0E" w:rsidP="00E528F8">
      <w:pPr>
        <w:pStyle w:val="aff3"/>
        <w:wordWrap/>
      </w:pPr>
      <w:r>
        <w:t>A causal reading still requires matched controls to approximate the state-specific path each target would have followed without investment, conditional on observed matching variables and hiring state. That condition is not testable. Section 6 examines its observable implications, while treating forward-looking sponsor information as the main remaining threat.</w:t>
      </w:r>
    </w:p>
    <w:p w:rsidR="00793834" w:rsidRDefault="00793834" w:rsidP="00E528F8">
      <w:pPr>
        <w:pStyle w:val="3"/>
        <w:rPr>
          <w:kern w:val="36"/>
        </w:rPr>
      </w:pPr>
      <w:r>
        <w:t>5. Main results</w:t>
      </w:r>
    </w:p>
    <w:p w:rsidR="00793834" w:rsidRDefault="00793834" w:rsidP="00E528F8">
      <w:pPr>
        <w:pStyle w:val="3"/>
      </w:pPr>
      <w:r>
        <w:t>5.1 Average post-investment responses</w:t>
      </w:r>
    </w:p>
    <w:p w:rsidR="0085429C" w:rsidRPr="0085429C" w:rsidRDefault="0085429C" w:rsidP="00E528F8">
      <w:pPr>
        <w:pStyle w:val="aff3"/>
        <w:wordWrap/>
      </w:pPr>
      <w:r>
        <w:t>We first report average matched changes to establish the scale of labour adjustment before analysing how it varies with pre-deal hiring. Relative to controls, target employment rises by 0.0878 log points [0.0462, 0.1300] twelve months after the deal, roughly 9 percent. The matched pre-to-post change in the hiring rate is 0.0485 [0.0163, 0.0814], or 4.85 percentage points. Both estimates use the 367-event average-effect sample.</w:t>
      </w:r>
    </w:p>
    <w:p w:rsidR="0085429C" w:rsidRPr="0085429C" w:rsidRDefault="0085429C" w:rsidP="00E528F8">
      <w:pPr>
        <w:pStyle w:val="aff3"/>
        <w:wordWrap/>
      </w:pPr>
      <w:r>
        <w:t>The average separation-rate change is 0.0007 [−0.0353, 0.0398]. The interval spans economically relevant changes in both directions and does not establish that separations were unchanged. Targets thus add employment and worker inflows on average. These averages do not reveal whether the same pre-deal states account for the largest movements in each outcome.</w:t>
      </w:r>
    </w:p>
    <w:p w:rsidR="0085429C" w:rsidRPr="0085429C" w:rsidRDefault="0085429C" w:rsidP="00E528F8">
      <w:pPr>
        <w:pStyle w:val="aff3"/>
        <w:wordWrap/>
        <w:rPr>
          <w:b/>
        </w:rPr>
      </w:pPr>
      <w:r w:rsidRPr="0085429C">
        <w:rPr>
          <w:b/>
        </w:rPr>
        <w:t>Table 2. Average post-investment changes relative to matched controls</w:t>
      </w:r>
    </w:p>
    <w:tbl>
      <w:tblPr>
        <w:tblW w:w="5000" w:type="pct"/>
        <w:tblBorders>
          <w:top w:val="single" w:sz="4" w:space="0" w:color="auto"/>
          <w:bottom w:val="single" w:sz="4" w:space="0" w:color="auto"/>
          <w:insideH w:val="single" w:sz="4" w:space="0" w:color="auto"/>
          <w:insideV w:val="single" w:sz="4" w:space="0" w:color="auto"/>
        </w:tblBorders>
        <w:tblLayout w:type="fixed"/>
        <w:tblLook w:val="0020" w:firstRow="1" w:lastRow="0" w:firstColumn="0" w:lastColumn="0" w:noHBand="0" w:noVBand="0"/>
      </w:tblPr>
      <w:tblGrid>
        <w:gridCol w:w="4678"/>
        <w:gridCol w:w="1559"/>
        <w:gridCol w:w="1843"/>
        <w:gridCol w:w="947"/>
      </w:tblGrid>
      <w:tr w:rsidR="0085429C" w:rsidRPr="0085429C" w:rsidTr="0085429C">
        <w:trPr>
          <w:tblHeader/>
        </w:trPr>
        <w:tc>
          <w:tcPr>
            <w:tcW w:w="4678" w:type="dxa"/>
            <w:tcBorders>
              <w:bottom w:val="single" w:sz="4" w:space="0" w:color="auto"/>
              <w:right w:val="nil"/>
            </w:tcBorders>
            <w:vAlign w:val="center"/>
          </w:tcPr>
          <w:p w:rsidR="0085429C" w:rsidRPr="0085429C" w:rsidRDefault="0085429C" w:rsidP="00E528F8">
            <w:pPr>
              <w:pStyle w:val="aff3"/>
              <w:wordWrap/>
              <w:snapToGrid w:val="0"/>
              <w:spacing w:before="0"/>
            </w:pPr>
            <w:r w:rsidRPr="0085429C">
              <w:t>Outcome</w:t>
            </w:r>
          </w:p>
        </w:tc>
        <w:tc>
          <w:tcPr>
            <w:tcW w:w="1559" w:type="dxa"/>
            <w:tcBorders>
              <w:left w:val="nil"/>
              <w:bottom w:val="single" w:sz="4" w:space="0" w:color="auto"/>
              <w:right w:val="nil"/>
            </w:tcBorders>
            <w:vAlign w:val="center"/>
          </w:tcPr>
          <w:p w:rsidR="0085429C" w:rsidRPr="0085429C" w:rsidRDefault="0085429C" w:rsidP="00E528F8">
            <w:pPr>
              <w:pStyle w:val="aff3"/>
              <w:wordWrap/>
              <w:snapToGrid w:val="0"/>
              <w:spacing w:before="0"/>
              <w:jc w:val="center"/>
            </w:pPr>
            <w:r w:rsidRPr="0085429C">
              <w:t>Matched change</w:t>
            </w:r>
          </w:p>
        </w:tc>
        <w:tc>
          <w:tcPr>
            <w:tcW w:w="1843" w:type="dxa"/>
            <w:tcBorders>
              <w:left w:val="nil"/>
              <w:bottom w:val="single" w:sz="4" w:space="0" w:color="auto"/>
              <w:right w:val="nil"/>
            </w:tcBorders>
            <w:vAlign w:val="center"/>
          </w:tcPr>
          <w:p w:rsidR="0085429C" w:rsidRPr="0085429C" w:rsidRDefault="0085429C" w:rsidP="00E528F8">
            <w:pPr>
              <w:pStyle w:val="aff3"/>
              <w:wordWrap/>
              <w:snapToGrid w:val="0"/>
              <w:spacing w:before="0"/>
              <w:jc w:val="center"/>
            </w:pPr>
            <w:r w:rsidRPr="0085429C">
              <w:t>95% CI</w:t>
            </w:r>
          </w:p>
        </w:tc>
        <w:tc>
          <w:tcPr>
            <w:tcW w:w="947" w:type="dxa"/>
            <w:tcBorders>
              <w:left w:val="nil"/>
              <w:bottom w:val="single" w:sz="4" w:space="0" w:color="auto"/>
            </w:tcBorders>
            <w:vAlign w:val="center"/>
          </w:tcPr>
          <w:p w:rsidR="0085429C" w:rsidRPr="0085429C" w:rsidRDefault="0085429C" w:rsidP="00E528F8">
            <w:pPr>
              <w:pStyle w:val="aff3"/>
              <w:wordWrap/>
              <w:snapToGrid w:val="0"/>
              <w:spacing w:before="0"/>
              <w:jc w:val="center"/>
            </w:pPr>
            <w:r w:rsidRPr="0085429C">
              <w:t>Events</w:t>
            </w:r>
          </w:p>
        </w:tc>
      </w:tr>
      <w:tr w:rsidR="0085429C" w:rsidRPr="0085429C" w:rsidTr="0085429C">
        <w:tc>
          <w:tcPr>
            <w:tcW w:w="4678" w:type="dxa"/>
            <w:tcBorders>
              <w:bottom w:val="nil"/>
              <w:right w:val="nil"/>
            </w:tcBorders>
          </w:tcPr>
          <w:p w:rsidR="0085429C" w:rsidRPr="0085429C" w:rsidRDefault="0085429C" w:rsidP="00E528F8">
            <w:pPr>
              <w:pStyle w:val="aff3"/>
              <w:wordWrap/>
              <w:spacing w:before="0"/>
            </w:pPr>
            <w:r w:rsidRPr="0085429C">
              <w:t>Log employment at +12 months</w:t>
            </w:r>
          </w:p>
        </w:tc>
        <w:tc>
          <w:tcPr>
            <w:tcW w:w="1559" w:type="dxa"/>
            <w:tcBorders>
              <w:left w:val="nil"/>
              <w:bottom w:val="nil"/>
              <w:right w:val="nil"/>
            </w:tcBorders>
          </w:tcPr>
          <w:p w:rsidR="0085429C" w:rsidRPr="0085429C" w:rsidRDefault="0085429C" w:rsidP="00E528F8">
            <w:pPr>
              <w:pStyle w:val="aff3"/>
              <w:wordWrap/>
              <w:spacing w:before="0"/>
              <w:jc w:val="center"/>
            </w:pPr>
            <w:r w:rsidRPr="0085429C">
              <w:t>0.0878</w:t>
            </w:r>
          </w:p>
        </w:tc>
        <w:tc>
          <w:tcPr>
            <w:tcW w:w="1843" w:type="dxa"/>
            <w:tcBorders>
              <w:left w:val="nil"/>
              <w:bottom w:val="nil"/>
              <w:right w:val="nil"/>
            </w:tcBorders>
          </w:tcPr>
          <w:p w:rsidR="0085429C" w:rsidRPr="0085429C" w:rsidRDefault="0085429C" w:rsidP="00E528F8">
            <w:pPr>
              <w:pStyle w:val="aff3"/>
              <w:wordWrap/>
              <w:spacing w:before="0"/>
              <w:jc w:val="center"/>
            </w:pPr>
            <w:r w:rsidRPr="0085429C">
              <w:t>[0.0462, 0.1300]</w:t>
            </w:r>
          </w:p>
        </w:tc>
        <w:tc>
          <w:tcPr>
            <w:tcW w:w="947" w:type="dxa"/>
            <w:tcBorders>
              <w:left w:val="nil"/>
              <w:bottom w:val="nil"/>
            </w:tcBorders>
          </w:tcPr>
          <w:p w:rsidR="0085429C" w:rsidRPr="0085429C" w:rsidRDefault="0085429C" w:rsidP="00E528F8">
            <w:pPr>
              <w:pStyle w:val="aff3"/>
              <w:wordWrap/>
              <w:spacing w:before="0"/>
              <w:jc w:val="center"/>
            </w:pPr>
            <w:r w:rsidRPr="0085429C">
              <w:t>367</w:t>
            </w:r>
          </w:p>
        </w:tc>
      </w:tr>
      <w:tr w:rsidR="0085429C" w:rsidRPr="0085429C" w:rsidTr="0085429C">
        <w:tc>
          <w:tcPr>
            <w:tcW w:w="4678" w:type="dxa"/>
            <w:tcBorders>
              <w:top w:val="nil"/>
              <w:bottom w:val="nil"/>
              <w:right w:val="nil"/>
            </w:tcBorders>
          </w:tcPr>
          <w:p w:rsidR="0085429C" w:rsidRPr="0085429C" w:rsidRDefault="0085429C" w:rsidP="00E528F8">
            <w:pPr>
              <w:pStyle w:val="aff3"/>
              <w:wordWrap/>
              <w:spacing w:before="0"/>
            </w:pPr>
            <w:r w:rsidRPr="0085429C">
              <w:t>Hiring rate, post 12 months − pre 12 months</w:t>
            </w:r>
          </w:p>
        </w:tc>
        <w:tc>
          <w:tcPr>
            <w:tcW w:w="1559" w:type="dxa"/>
            <w:tcBorders>
              <w:top w:val="nil"/>
              <w:left w:val="nil"/>
              <w:bottom w:val="nil"/>
              <w:right w:val="nil"/>
            </w:tcBorders>
          </w:tcPr>
          <w:p w:rsidR="0085429C" w:rsidRPr="0085429C" w:rsidRDefault="0085429C" w:rsidP="00E528F8">
            <w:pPr>
              <w:pStyle w:val="aff3"/>
              <w:wordWrap/>
              <w:spacing w:before="0"/>
              <w:jc w:val="center"/>
            </w:pPr>
            <w:r w:rsidRPr="0085429C">
              <w:t>0.0485</w:t>
            </w:r>
          </w:p>
        </w:tc>
        <w:tc>
          <w:tcPr>
            <w:tcW w:w="1843" w:type="dxa"/>
            <w:tcBorders>
              <w:top w:val="nil"/>
              <w:left w:val="nil"/>
              <w:bottom w:val="nil"/>
              <w:right w:val="nil"/>
            </w:tcBorders>
          </w:tcPr>
          <w:p w:rsidR="0085429C" w:rsidRPr="0085429C" w:rsidRDefault="0085429C" w:rsidP="00E528F8">
            <w:pPr>
              <w:pStyle w:val="aff3"/>
              <w:wordWrap/>
              <w:spacing w:before="0"/>
              <w:jc w:val="center"/>
            </w:pPr>
            <w:r w:rsidRPr="0085429C">
              <w:t>[0.0163, 0.0814]</w:t>
            </w:r>
          </w:p>
        </w:tc>
        <w:tc>
          <w:tcPr>
            <w:tcW w:w="947" w:type="dxa"/>
            <w:tcBorders>
              <w:top w:val="nil"/>
              <w:left w:val="nil"/>
              <w:bottom w:val="nil"/>
            </w:tcBorders>
          </w:tcPr>
          <w:p w:rsidR="0085429C" w:rsidRPr="0085429C" w:rsidRDefault="0085429C" w:rsidP="00E528F8">
            <w:pPr>
              <w:pStyle w:val="aff3"/>
              <w:wordWrap/>
              <w:spacing w:before="0"/>
              <w:jc w:val="center"/>
            </w:pPr>
            <w:r w:rsidRPr="0085429C">
              <w:t>367</w:t>
            </w:r>
          </w:p>
        </w:tc>
      </w:tr>
      <w:tr w:rsidR="0085429C" w:rsidRPr="0085429C" w:rsidTr="0085429C">
        <w:tc>
          <w:tcPr>
            <w:tcW w:w="4678" w:type="dxa"/>
            <w:tcBorders>
              <w:top w:val="nil"/>
              <w:right w:val="nil"/>
            </w:tcBorders>
          </w:tcPr>
          <w:p w:rsidR="0085429C" w:rsidRPr="0085429C" w:rsidRDefault="0085429C" w:rsidP="00E528F8">
            <w:pPr>
              <w:pStyle w:val="aff3"/>
              <w:wordWrap/>
              <w:spacing w:before="0"/>
            </w:pPr>
            <w:r w:rsidRPr="0085429C">
              <w:lastRenderedPageBreak/>
              <w:t>Separation rate, post 12 months − pre 12 months</w:t>
            </w:r>
          </w:p>
        </w:tc>
        <w:tc>
          <w:tcPr>
            <w:tcW w:w="1559" w:type="dxa"/>
            <w:tcBorders>
              <w:top w:val="nil"/>
              <w:left w:val="nil"/>
              <w:right w:val="nil"/>
            </w:tcBorders>
          </w:tcPr>
          <w:p w:rsidR="0085429C" w:rsidRPr="0085429C" w:rsidRDefault="0085429C" w:rsidP="00E528F8">
            <w:pPr>
              <w:pStyle w:val="aff3"/>
              <w:wordWrap/>
              <w:spacing w:before="0"/>
              <w:jc w:val="center"/>
            </w:pPr>
            <w:r w:rsidRPr="0085429C">
              <w:t>0.0007</w:t>
            </w:r>
          </w:p>
        </w:tc>
        <w:tc>
          <w:tcPr>
            <w:tcW w:w="1843" w:type="dxa"/>
            <w:tcBorders>
              <w:top w:val="nil"/>
              <w:left w:val="nil"/>
              <w:right w:val="nil"/>
            </w:tcBorders>
          </w:tcPr>
          <w:p w:rsidR="0085429C" w:rsidRPr="0085429C" w:rsidRDefault="0085429C" w:rsidP="00E528F8">
            <w:pPr>
              <w:pStyle w:val="aff3"/>
              <w:wordWrap/>
              <w:spacing w:before="0"/>
              <w:jc w:val="center"/>
            </w:pPr>
            <w:r w:rsidRPr="0085429C">
              <w:t>[−0.0353, 0.0398]</w:t>
            </w:r>
          </w:p>
        </w:tc>
        <w:tc>
          <w:tcPr>
            <w:tcW w:w="947" w:type="dxa"/>
            <w:tcBorders>
              <w:top w:val="nil"/>
              <w:left w:val="nil"/>
            </w:tcBorders>
          </w:tcPr>
          <w:p w:rsidR="0085429C" w:rsidRPr="0085429C" w:rsidRDefault="0085429C" w:rsidP="00E528F8">
            <w:pPr>
              <w:pStyle w:val="aff3"/>
              <w:wordWrap/>
              <w:spacing w:before="0"/>
              <w:jc w:val="center"/>
            </w:pPr>
            <w:r w:rsidRPr="0085429C">
              <w:t>367</w:t>
            </w:r>
          </w:p>
        </w:tc>
      </w:tr>
    </w:tbl>
    <w:p w:rsidR="0085429C" w:rsidRPr="0085429C" w:rsidRDefault="0085429C" w:rsidP="00E528F8">
      <w:pPr>
        <w:pStyle w:val="a4"/>
        <w:wordWrap/>
        <w:rPr>
          <w:color w:val="595959" w:themeColor="text1" w:themeTint="A6"/>
          <w:sz w:val="20"/>
        </w:rPr>
      </w:pPr>
      <w:r w:rsidRPr="00E528F8">
        <w:rPr>
          <w:color w:val="595959" w:themeColor="text1" w:themeTint="A6"/>
          <w:sz w:val="20"/>
        </w:rPr>
        <w:t>Notes</w:t>
      </w:r>
      <w:r w:rsidRPr="0085429C">
        <w:rPr>
          <w:color w:val="595959" w:themeColor="text1" w:themeTint="A6"/>
          <w:sz w:val="20"/>
        </w:rPr>
        <w:t xml:space="preserve">. Employment is measured at month </w:t>
      </w:r>
      <m:oMath>
        <m:r>
          <m:rPr>
            <m:sty m:val="p"/>
          </m:rPr>
          <w:rPr>
            <w:rFonts w:ascii="Cambria Math" w:hAnsi="Cambria Math"/>
            <w:color w:val="595959" w:themeColor="text1" w:themeTint="A6"/>
            <w:sz w:val="20"/>
          </w:rPr>
          <m:t>+12</m:t>
        </m:r>
      </m:oMath>
      <w:r w:rsidRPr="0085429C">
        <w:rPr>
          <w:color w:val="595959" w:themeColor="text1" w:themeTint="A6"/>
          <w:sz w:val="20"/>
        </w:rPr>
        <w:t xml:space="preserve"> relative to mean employment over months </w:t>
      </w:r>
      <m:oMath>
        <m:r>
          <m:rPr>
            <m:sty m:val="p"/>
          </m:rPr>
          <w:rPr>
            <w:rFonts w:ascii="Cambria Math" w:hAnsi="Cambria Math"/>
            <w:color w:val="595959" w:themeColor="text1" w:themeTint="A6"/>
            <w:sz w:val="20"/>
          </w:rPr>
          <m:t>-12</m:t>
        </m:r>
      </m:oMath>
      <w:r w:rsidRPr="0085429C">
        <w:rPr>
          <w:color w:val="595959" w:themeColor="text1" w:themeTint="A6"/>
          <w:sz w:val="20"/>
        </w:rPr>
        <w:t xml:space="preserve"> through </w:t>
      </w:r>
      <m:oMath>
        <m:r>
          <m:rPr>
            <m:sty m:val="p"/>
          </m:rPr>
          <w:rPr>
            <w:rFonts w:ascii="Cambria Math" w:hAnsi="Cambria Math"/>
            <w:color w:val="595959" w:themeColor="text1" w:themeTint="A6"/>
            <w:sz w:val="20"/>
          </w:rPr>
          <m:t>-1</m:t>
        </m:r>
      </m:oMath>
      <w:r w:rsidRPr="0085429C">
        <w:rPr>
          <w:color w:val="595959" w:themeColor="text1" w:themeTint="A6"/>
          <w:sz w:val="20"/>
        </w:rPr>
        <w:t>, and then differenced against matched controls. Hiring and separation rates are twelve-month sums of worker flows divided by mean insured employment over the corresponding window; reported coefficients are treated-minus-control changes from the pre- to the post-investment window. The average-effect sample requires at least six observed months in each required window for the target and an eligible control and is distinct from the 286-event primary state-gradient sample.</w:t>
      </w:r>
    </w:p>
    <w:p w:rsidR="00793834" w:rsidRDefault="00793834" w:rsidP="00E528F8">
      <w:pPr>
        <w:pStyle w:val="3"/>
      </w:pPr>
      <w:r>
        <w:t xml:space="preserve">5.2 </w:t>
      </w:r>
      <w:r w:rsidR="0085429C" w:rsidRPr="0085429C">
        <w:t>Hiring responses across pre-deal hiring states</w:t>
      </w:r>
    </w:p>
    <w:p w:rsidR="0085429C" w:rsidRPr="0085429C" w:rsidRDefault="0085429C" w:rsidP="00E528F8">
      <w:pPr>
        <w:pStyle w:val="aff3"/>
        <w:wordWrap/>
      </w:pPr>
      <w:r>
        <w:t>The average hiring increase conceals a steep cross-target gradient. Targets with lower pre-deal hiring show larger post-investment increases relative to controls matched within the same state tercile. The primary gradient is 0.7101 [0.3187, 1.1254] (Table 3, Panel A). A one-interquartile-range move towards lower pre-deal hiring corresponds to a 0.2005-log-point larger matched response [0.0900, 0.3177], about 22 percent on a multiplicative scale. This magnitude describes variation across target states, not the average effect of investment.</w:t>
      </w:r>
    </w:p>
    <w:p w:rsidR="0085429C" w:rsidRPr="0085429C" w:rsidRDefault="00E34E0E" w:rsidP="00E528F8">
      <w:pPr>
        <w:pStyle w:val="aff3"/>
        <w:wordWrap/>
      </w:pPr>
      <w:r>
        <w:t>The 1,205-event untreated pool produces a reference mean of 0.1010 and a standard deviation of 0.1538. The target gradient is 0.6091 above that mean, or 3.96 standard deviations, with a centred two-sided empirical p-value of 0.0005. Low-hiring firms commonly rebound; what distinguishes the targets is the size of the gradient. Figure 1(a) plots event-level matched responses against the pre-deal state. Figure 1(b) shows the 2,000 empirical reference gradients rather than a parametric approximation; the target estimate lies at the far right of the distribution.</w:t>
      </w:r>
    </w:p>
    <w:p w:rsidR="0085429C" w:rsidRPr="0085429C" w:rsidRDefault="0085429C" w:rsidP="00E528F8">
      <w:pPr>
        <w:pStyle w:val="aff3"/>
        <w:wordWrap/>
      </w:pPr>
      <w:r>
        <w:t xml:space="preserve">Control selection changes the estimate. On the common 286 events, conventional matching yields 0.4698; adding the state tercile to the exact cell raises the gradient to 0.7101 (Table 3, Panel B). Panel C locates the difference with an unwinsorised decomposition. Because the target events are identical, the treated-side slope remains 0.8425. The assigned-control slope falls from 0.2950 under conventional matching to 0.0056 under state-balanced matching. Conventional matching therefore assigns different untreated paths to targets in different states. State balance removes most of that observed dependence; it does not establish balance on unobserved information. Panel C is unwinsorised, whereas Panel B reports 5/95-winsorised gradients. Its component slopes are diagnostic and do not subtract to the Panel </w:t>
      </w:r>
      <w:r>
        <w:lastRenderedPageBreak/>
        <w:t>B coefficients.</w:t>
      </w:r>
    </w:p>
    <w:p w:rsidR="0085429C" w:rsidRDefault="0085429C" w:rsidP="00E528F8">
      <w:pPr>
        <w:pStyle w:val="aff3"/>
        <w:wordWrap/>
      </w:pPr>
      <w:r>
        <w:t>Alternative specifications preserve a positive slope but not a fixed magnitude. The gradient is 0.678 with twenty controls, 0.640 when continuous state distance enters neighbour selection, 0.678 with deal-year fixed effects, and 0.346 under inverse-variance weights. Online Appendix B reports the full set.</w:t>
      </w:r>
    </w:p>
    <w:p w:rsidR="007C6B42" w:rsidRPr="007C6B42" w:rsidRDefault="007C6B42" w:rsidP="00E528F8">
      <w:pPr>
        <w:pStyle w:val="aff3"/>
        <w:wordWrap/>
        <w:rPr>
          <w:color w:val="000000"/>
        </w:rPr>
      </w:pPr>
      <w:r>
        <w:rPr>
          <w:rFonts w:eastAsia="Times New Roman"/>
          <w:color w:val="000000"/>
        </w:rPr>
        <w:t>The cross-target pattern also appears without collapsing each event to a single twelve-month response. A stacked panel built from the 286 state-balance</w:t>
      </w:r>
      <w:r w:rsidR="006411A1">
        <w:rPr>
          <w:rFonts w:eastAsia="Times New Roman"/>
          <w:color w:val="000000"/>
        </w:rPr>
        <w:t xml:space="preserve">d matched sets gives a </w:t>
      </w:r>
      <w:r w:rsidR="006411A1" w:rsidRPr="006411A1">
        <w:rPr>
          <w:rFonts w:eastAsia="Times New Roman"/>
          <w:i/>
          <w:color w:val="000000"/>
        </w:rPr>
        <w:t xml:space="preserve">Treated </w:t>
      </w:r>
      <m:oMath>
        <m:r>
          <w:rPr>
            <w:rFonts w:ascii="Cambria Math" w:eastAsia="Times New Roman" w:hAnsi="Cambria Math"/>
            <w:color w:val="000000"/>
          </w:rPr>
          <m:t>×</m:t>
        </m:r>
      </m:oMath>
      <w:r w:rsidRPr="006411A1">
        <w:rPr>
          <w:rFonts w:eastAsia="Times New Roman"/>
          <w:i/>
          <w:color w:val="000000"/>
        </w:rPr>
        <w:t xml:space="preserve"> Post </w:t>
      </w:r>
      <m:oMath>
        <m:r>
          <w:rPr>
            <w:rFonts w:ascii="Cambria Math" w:eastAsia="Times New Roman" w:hAnsi="Cambria Math"/>
            <w:color w:val="000000"/>
          </w:rPr>
          <m:t>×</m:t>
        </m:r>
      </m:oMath>
      <w:r w:rsidRPr="006411A1">
        <w:rPr>
          <w:rFonts w:eastAsia="Times New Roman"/>
          <w:i/>
          <w:color w:val="000000"/>
        </w:rPr>
        <w:t xml:space="preserve"> State coefficient</w:t>
      </w:r>
      <w:r>
        <w:rPr>
          <w:rFonts w:eastAsia="Times New Roman"/>
          <w:color w:val="000000"/>
        </w:rPr>
        <w:t xml:space="preserve"> of 0.0179 [0.0035, 0.0323] for the monthly hiring rate. Joint Wald tests do not reject zero pre-deal quarter coefficients for either the level path (p = 0.9078) or the state interaction (p = 0.9904); the interaction becomes positive later in the post-deal year. Because this specification estimates a different monthly panel parameter and does not address selection on unobserved sponsor information, we treat it as cross-estimator robustness rather than a replacement for the primary matched-response gradient (Online Appendix D.7, Figure D1 and Table D6).</w:t>
      </w:r>
    </w:p>
    <w:p w:rsidR="00DE4A9F" w:rsidRDefault="00DE4A9F" w:rsidP="00E528F8">
      <w:pPr>
        <w:pStyle w:val="a4"/>
        <w:wordWrap/>
        <w:spacing w:before="240" w:after="0"/>
      </w:pPr>
      <w:r>
        <w:rPr>
          <w:b/>
          <w:bCs/>
        </w:rPr>
        <w:t xml:space="preserve">Figure 1. </w:t>
      </w:r>
      <w:r w:rsidR="0085429C" w:rsidRPr="0085429C">
        <w:rPr>
          <w:b/>
          <w:bCs/>
        </w:rPr>
        <w:t>Hiring responses across pre-deal hiring states</w:t>
      </w:r>
    </w:p>
    <w:p w:rsidR="0085429C" w:rsidRDefault="0085429C" w:rsidP="00E528F8">
      <w:pPr>
        <w:pStyle w:val="a4"/>
        <w:wordWrap/>
      </w:pPr>
      <w:r>
        <w:t>(a) Matched hiring response and pre-deal hiring state</w:t>
      </w:r>
    </w:p>
    <w:p w:rsidR="0085429C" w:rsidRDefault="0085429C" w:rsidP="00E528F8">
      <w:pPr>
        <w:pStyle w:val="a4"/>
        <w:wordWrap/>
        <w:jc w:val="left"/>
      </w:pPr>
      <w:r w:rsidRPr="0085429C">
        <w:rPr>
          <w:noProof/>
        </w:rPr>
        <w:drawing>
          <wp:inline distT="0" distB="0" distL="0" distR="0">
            <wp:extent cx="5486400" cy="3297313"/>
            <wp:effectExtent l="0" t="0" r="0" b="0"/>
            <wp:docPr id="1" name="그림 1" descr="figure1_state_gradi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1_state_gradient.png"/>
                    <pic:cNvPicPr>
                      <a:picLocks noChangeAspect="1" noChangeArrowheads="1"/>
                    </pic:cNvPicPr>
                  </pic:nvPicPr>
                  <pic:blipFill rotWithShape="1">
                    <a:blip r:embed="rId8">
                      <a:extLst>
                        <a:ext uri="{28A0092B-C50C-407E-A947-70E740481C1C}">
                          <a14:useLocalDpi xmlns:a14="http://schemas.microsoft.com/office/drawing/2010/main" val="0"/>
                        </a:ext>
                      </a:extLst>
                    </a:blip>
                    <a:srcRect t="14300" r="46692" b="12373"/>
                    <a:stretch/>
                  </pic:blipFill>
                  <pic:spPr bwMode="auto">
                    <a:xfrm>
                      <a:off x="0" y="0"/>
                      <a:ext cx="5518965" cy="3316884"/>
                    </a:xfrm>
                    <a:prstGeom prst="rect">
                      <a:avLst/>
                    </a:prstGeom>
                    <a:noFill/>
                    <a:ln>
                      <a:noFill/>
                    </a:ln>
                    <a:extLst>
                      <a:ext uri="{53640926-AAD7-44D8-BBD7-CCE9431645EC}">
                        <a14:shadowObscured xmlns:a14="http://schemas.microsoft.com/office/drawing/2010/main"/>
                      </a:ext>
                    </a:extLst>
                  </pic:spPr>
                </pic:pic>
              </a:graphicData>
            </a:graphic>
          </wp:inline>
        </w:drawing>
      </w:r>
    </w:p>
    <w:p w:rsidR="0085429C" w:rsidRDefault="0085429C" w:rsidP="00E528F8">
      <w:pPr>
        <w:pStyle w:val="a4"/>
        <w:wordWrap/>
      </w:pPr>
      <w:r>
        <w:t>(b) Target state gradient and untreated reference distribution</w:t>
      </w:r>
    </w:p>
    <w:p w:rsidR="0085429C" w:rsidRDefault="005F673E" w:rsidP="00E528F8">
      <w:pPr>
        <w:pStyle w:val="a4"/>
        <w:wordWrap/>
        <w:jc w:val="center"/>
      </w:pPr>
      <w:r>
        <w:rPr>
          <w:rFonts w:hint="eastAsia"/>
        </w:rPr>
        <w:lastRenderedPageBreak/>
        <w:t xml:space="preserve"> </w:t>
      </w:r>
      <w:r>
        <w:t xml:space="preserve">    </w:t>
      </w:r>
      <w:r w:rsidR="0085429C" w:rsidRPr="0085429C">
        <w:rPr>
          <w:noProof/>
        </w:rPr>
        <w:drawing>
          <wp:inline distT="0" distB="0" distL="0" distR="0" wp14:anchorId="44EB62BA" wp14:editId="15374028">
            <wp:extent cx="5013439" cy="3421380"/>
            <wp:effectExtent l="0" t="0" r="0" b="7620"/>
            <wp:docPr id="2" name="그림 2" descr="figure1_state_gradi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1_state_gradient.png"/>
                    <pic:cNvPicPr>
                      <a:picLocks noChangeAspect="1" noChangeArrowheads="1"/>
                    </pic:cNvPicPr>
                  </pic:nvPicPr>
                  <pic:blipFill rotWithShape="1">
                    <a:blip r:embed="rId8">
                      <a:extLst>
                        <a:ext uri="{28A0092B-C50C-407E-A947-70E740481C1C}">
                          <a14:useLocalDpi xmlns:a14="http://schemas.microsoft.com/office/drawing/2010/main" val="0"/>
                        </a:ext>
                      </a:extLst>
                    </a:blip>
                    <a:srcRect l="53720" t="14949" r="-142" b="12535"/>
                    <a:stretch/>
                  </pic:blipFill>
                  <pic:spPr bwMode="auto">
                    <a:xfrm>
                      <a:off x="0" y="0"/>
                      <a:ext cx="5037224" cy="3437612"/>
                    </a:xfrm>
                    <a:prstGeom prst="rect">
                      <a:avLst/>
                    </a:prstGeom>
                    <a:noFill/>
                    <a:ln>
                      <a:noFill/>
                    </a:ln>
                    <a:extLst>
                      <a:ext uri="{53640926-AAD7-44D8-BBD7-CCE9431645EC}">
                        <a14:shadowObscured xmlns:a14="http://schemas.microsoft.com/office/drawing/2010/main"/>
                      </a:ext>
                    </a:extLst>
                  </pic:spPr>
                </pic:pic>
              </a:graphicData>
            </a:graphic>
          </wp:inline>
        </w:drawing>
      </w:r>
    </w:p>
    <w:p w:rsidR="00E34E0E" w:rsidRPr="0085429C" w:rsidRDefault="00E34E0E" w:rsidP="00E528F8">
      <w:pPr>
        <w:pStyle w:val="a4"/>
        <w:wordWrap/>
        <w:rPr>
          <w:color w:val="595959" w:themeColor="text1" w:themeTint="A6"/>
          <w:sz w:val="20"/>
        </w:rPr>
      </w:pPr>
      <w:r w:rsidRPr="00E34E0E">
        <w:rPr>
          <w:color w:val="595959" w:themeColor="text1" w:themeTint="A6"/>
          <w:sz w:val="20"/>
        </w:rPr>
        <w:t>Notes. Panel (a) plots the event-level treated-minus-control change in the log hiring rate against the target’s pre-deal hiring state for the 286-event primary sample. Higher state values indicate lower pre-deal hiring intensity. Panel (b) plots the actual 2,000 gradients drawn from the 1,205-event primary untreated pseudo-event pool and estimated using the primary procedure. The vertical line marks the target gradient of 0.7101. The untreated reference distribution has mean 0.1010 and standard deviation 0.1538.</w:t>
      </w:r>
    </w:p>
    <w:p w:rsidR="00B264D8" w:rsidRPr="006F58E8" w:rsidRDefault="00DE4A9F" w:rsidP="00E528F8">
      <w:pPr>
        <w:pStyle w:val="a4"/>
        <w:wordWrap/>
        <w:rPr>
          <w:szCs w:val="22"/>
        </w:rPr>
      </w:pPr>
      <w:r w:rsidRPr="006F58E8">
        <w:rPr>
          <w:b/>
          <w:bCs/>
          <w:szCs w:val="22"/>
        </w:rPr>
        <w:t xml:space="preserve">Table 3. </w:t>
      </w:r>
      <w:r w:rsidR="0085429C" w:rsidRPr="0085429C">
        <w:rPr>
          <w:b/>
          <w:bCs/>
          <w:szCs w:val="22"/>
        </w:rPr>
        <w:t>Hiring responses across pre-deal hiring states</w:t>
      </w:r>
    </w:p>
    <w:p w:rsidR="0085429C" w:rsidRDefault="0085429C" w:rsidP="00E528F8">
      <w:pPr>
        <w:pStyle w:val="a4"/>
        <w:wordWrap/>
        <w:spacing w:after="0"/>
      </w:pPr>
      <w:r w:rsidRPr="0085429C">
        <w:rPr>
          <w:b/>
          <w:bCs/>
          <w:szCs w:val="22"/>
        </w:rPr>
        <w:t>Panel A. Primary state gradient</w:t>
      </w:r>
    </w:p>
    <w:tbl>
      <w:tblPr>
        <w:tblStyle w:val="Table0"/>
        <w:tblW w:w="0" w:type="auto"/>
        <w:tblBorders>
          <w:top w:val="none" w:sz="0" w:space="0" w:color="auto"/>
          <w:bottom w:val="none" w:sz="0" w:space="0" w:color="auto"/>
        </w:tblBorders>
        <w:tblLook w:val="0020" w:firstRow="1" w:lastRow="0" w:firstColumn="0" w:lastColumn="0" w:noHBand="0" w:noVBand="0"/>
      </w:tblPr>
      <w:tblGrid>
        <w:gridCol w:w="3815"/>
        <w:gridCol w:w="2835"/>
      </w:tblGrid>
      <w:tr w:rsidR="0085429C" w:rsidTr="0085429C">
        <w:trPr>
          <w:cnfStyle w:val="100000000000" w:firstRow="1" w:lastRow="0" w:firstColumn="0" w:lastColumn="0" w:oddVBand="0" w:evenVBand="0" w:oddHBand="0" w:evenHBand="0" w:firstRowFirstColumn="0" w:firstRowLastColumn="0" w:lastRowFirstColumn="0" w:lastRowLastColumn="0"/>
          <w:tblHeader/>
        </w:trPr>
        <w:tc>
          <w:tcPr>
            <w:tcW w:w="3815" w:type="dxa"/>
            <w:tcBorders>
              <w:top w:val="single" w:sz="4" w:space="0" w:color="auto"/>
              <w:bottom w:val="single" w:sz="4" w:space="0" w:color="auto"/>
            </w:tcBorders>
            <w:vAlign w:val="center"/>
          </w:tcPr>
          <w:p w:rsidR="0085429C" w:rsidRPr="0085429C" w:rsidRDefault="0085429C" w:rsidP="00E528F8">
            <w:pPr>
              <w:wordWrap/>
              <w:rPr>
                <w:sz w:val="22"/>
              </w:rPr>
            </w:pPr>
            <w:r w:rsidRPr="0085429C">
              <w:rPr>
                <w:sz w:val="22"/>
              </w:rPr>
              <w:t>Quantity</w:t>
            </w:r>
          </w:p>
        </w:tc>
        <w:tc>
          <w:tcPr>
            <w:tcW w:w="2835" w:type="dxa"/>
            <w:tcBorders>
              <w:top w:val="single" w:sz="4" w:space="0" w:color="auto"/>
              <w:bottom w:val="single" w:sz="4" w:space="0" w:color="auto"/>
            </w:tcBorders>
            <w:vAlign w:val="center"/>
          </w:tcPr>
          <w:p w:rsidR="0085429C" w:rsidRPr="0085429C" w:rsidRDefault="0085429C" w:rsidP="00E528F8">
            <w:pPr>
              <w:wordWrap/>
              <w:jc w:val="center"/>
              <w:rPr>
                <w:sz w:val="22"/>
              </w:rPr>
            </w:pPr>
            <w:r w:rsidRPr="0085429C">
              <w:rPr>
                <w:sz w:val="22"/>
              </w:rPr>
              <w:t>Estimate</w:t>
            </w:r>
          </w:p>
        </w:tc>
      </w:tr>
      <w:tr w:rsidR="0085429C" w:rsidTr="0085429C">
        <w:tc>
          <w:tcPr>
            <w:tcW w:w="3815" w:type="dxa"/>
            <w:tcBorders>
              <w:top w:val="single" w:sz="4" w:space="0" w:color="auto"/>
            </w:tcBorders>
          </w:tcPr>
          <w:p w:rsidR="0085429C" w:rsidRPr="0085429C" w:rsidRDefault="0085429C" w:rsidP="00E528F8">
            <w:pPr>
              <w:wordWrap/>
              <w:rPr>
                <w:sz w:val="22"/>
              </w:rPr>
            </w:pPr>
            <w:r w:rsidRPr="0085429C">
              <w:rPr>
                <w:sz w:val="22"/>
              </w:rPr>
              <w:t>State gradient</w:t>
            </w:r>
          </w:p>
        </w:tc>
        <w:tc>
          <w:tcPr>
            <w:tcW w:w="2835" w:type="dxa"/>
            <w:tcBorders>
              <w:top w:val="single" w:sz="4" w:space="0" w:color="auto"/>
            </w:tcBorders>
          </w:tcPr>
          <w:p w:rsidR="0085429C" w:rsidRPr="0085429C" w:rsidRDefault="0085429C" w:rsidP="00E528F8">
            <w:pPr>
              <w:wordWrap/>
              <w:jc w:val="center"/>
              <w:rPr>
                <w:sz w:val="22"/>
              </w:rPr>
            </w:pPr>
            <w:r w:rsidRPr="0085429C">
              <w:rPr>
                <w:sz w:val="22"/>
              </w:rPr>
              <w:t>0.7101 [0.3187, 1.1254]</w:t>
            </w:r>
          </w:p>
        </w:tc>
      </w:tr>
      <w:tr w:rsidR="0085429C" w:rsidTr="0085429C">
        <w:tc>
          <w:tcPr>
            <w:tcW w:w="3815" w:type="dxa"/>
          </w:tcPr>
          <w:p w:rsidR="0085429C" w:rsidRPr="0085429C" w:rsidRDefault="0085429C" w:rsidP="00E528F8">
            <w:pPr>
              <w:wordWrap/>
              <w:rPr>
                <w:sz w:val="22"/>
              </w:rPr>
            </w:pPr>
            <w:r w:rsidRPr="0085429C">
              <w:rPr>
                <w:sz w:val="22"/>
              </w:rPr>
              <w:t>Effect of an interquartile move</w:t>
            </w:r>
          </w:p>
        </w:tc>
        <w:tc>
          <w:tcPr>
            <w:tcW w:w="2835" w:type="dxa"/>
          </w:tcPr>
          <w:p w:rsidR="0085429C" w:rsidRPr="0085429C" w:rsidRDefault="0085429C" w:rsidP="00E528F8">
            <w:pPr>
              <w:wordWrap/>
              <w:jc w:val="center"/>
              <w:rPr>
                <w:sz w:val="22"/>
              </w:rPr>
            </w:pPr>
            <w:r w:rsidRPr="0085429C">
              <w:rPr>
                <w:sz w:val="22"/>
              </w:rPr>
              <w:t>0.2005 [0.0900, 0.3177]</w:t>
            </w:r>
          </w:p>
        </w:tc>
      </w:tr>
      <w:tr w:rsidR="0085429C" w:rsidTr="0085429C">
        <w:tc>
          <w:tcPr>
            <w:tcW w:w="3815" w:type="dxa"/>
          </w:tcPr>
          <w:p w:rsidR="0085429C" w:rsidRPr="0085429C" w:rsidRDefault="0085429C" w:rsidP="00E528F8">
            <w:pPr>
              <w:wordWrap/>
              <w:rPr>
                <w:sz w:val="22"/>
              </w:rPr>
            </w:pPr>
            <w:r w:rsidRPr="0085429C">
              <w:rPr>
                <w:sz w:val="22"/>
              </w:rPr>
              <w:t>Untreated reference mean (SD)</w:t>
            </w:r>
          </w:p>
        </w:tc>
        <w:tc>
          <w:tcPr>
            <w:tcW w:w="2835" w:type="dxa"/>
          </w:tcPr>
          <w:p w:rsidR="0085429C" w:rsidRPr="0085429C" w:rsidRDefault="0085429C" w:rsidP="00E528F8">
            <w:pPr>
              <w:wordWrap/>
              <w:jc w:val="center"/>
              <w:rPr>
                <w:sz w:val="22"/>
              </w:rPr>
            </w:pPr>
            <w:r w:rsidRPr="0085429C">
              <w:rPr>
                <w:sz w:val="22"/>
              </w:rPr>
              <w:t>0.1010 (0.1538)</w:t>
            </w:r>
          </w:p>
        </w:tc>
      </w:tr>
      <w:tr w:rsidR="0085429C" w:rsidTr="0085429C">
        <w:tc>
          <w:tcPr>
            <w:tcW w:w="3815" w:type="dxa"/>
          </w:tcPr>
          <w:p w:rsidR="0085429C" w:rsidRPr="0085429C" w:rsidRDefault="0085429C" w:rsidP="00E528F8">
            <w:pPr>
              <w:wordWrap/>
              <w:rPr>
                <w:sz w:val="22"/>
              </w:rPr>
            </w:pPr>
            <w:r w:rsidRPr="0085429C">
              <w:rPr>
                <w:sz w:val="22"/>
              </w:rPr>
              <w:t>Excess over untreated mean</w:t>
            </w:r>
          </w:p>
        </w:tc>
        <w:tc>
          <w:tcPr>
            <w:tcW w:w="2835" w:type="dxa"/>
          </w:tcPr>
          <w:p w:rsidR="0085429C" w:rsidRPr="0085429C" w:rsidRDefault="0085429C" w:rsidP="00E528F8">
            <w:pPr>
              <w:wordWrap/>
              <w:jc w:val="center"/>
              <w:rPr>
                <w:sz w:val="22"/>
              </w:rPr>
            </w:pPr>
            <w:r w:rsidRPr="0085429C">
              <w:rPr>
                <w:sz w:val="22"/>
              </w:rPr>
              <w:t>0.6091</w:t>
            </w:r>
          </w:p>
        </w:tc>
      </w:tr>
      <w:tr w:rsidR="0085429C" w:rsidTr="0085429C">
        <w:tc>
          <w:tcPr>
            <w:tcW w:w="3815" w:type="dxa"/>
          </w:tcPr>
          <w:p w:rsidR="0085429C" w:rsidRPr="0085429C" w:rsidRDefault="0085429C" w:rsidP="00E528F8">
            <w:pPr>
              <w:wordWrap/>
              <w:rPr>
                <w:sz w:val="22"/>
              </w:rPr>
            </w:pPr>
            <w:r w:rsidRPr="0085429C">
              <w:rPr>
                <w:sz w:val="22"/>
              </w:rPr>
              <w:t>Standardized distance</w:t>
            </w:r>
          </w:p>
        </w:tc>
        <w:tc>
          <w:tcPr>
            <w:tcW w:w="2835" w:type="dxa"/>
          </w:tcPr>
          <w:p w:rsidR="0085429C" w:rsidRPr="0085429C" w:rsidRDefault="0085429C" w:rsidP="00E528F8">
            <w:pPr>
              <w:wordWrap/>
              <w:jc w:val="center"/>
              <w:rPr>
                <w:sz w:val="22"/>
              </w:rPr>
            </w:pPr>
            <w:r w:rsidRPr="0085429C">
              <w:rPr>
                <w:sz w:val="22"/>
              </w:rPr>
              <w:t>3.96</w:t>
            </w:r>
          </w:p>
        </w:tc>
      </w:tr>
      <w:tr w:rsidR="0085429C" w:rsidTr="0085429C">
        <w:tc>
          <w:tcPr>
            <w:tcW w:w="3815" w:type="dxa"/>
            <w:tcBorders>
              <w:bottom w:val="single" w:sz="4" w:space="0" w:color="auto"/>
            </w:tcBorders>
          </w:tcPr>
          <w:p w:rsidR="0085429C" w:rsidRPr="0085429C" w:rsidRDefault="0085429C" w:rsidP="00E528F8">
            <w:pPr>
              <w:wordWrap/>
              <w:rPr>
                <w:sz w:val="22"/>
              </w:rPr>
            </w:pPr>
            <w:r w:rsidRPr="0085429C">
              <w:rPr>
                <w:sz w:val="22"/>
              </w:rPr>
              <w:t xml:space="preserve">Empirical two-sided </w:t>
            </w:r>
            <m:oMath>
              <m:r>
                <w:rPr>
                  <w:rFonts w:ascii="Cambria Math" w:hAnsi="Cambria Math"/>
                  <w:sz w:val="22"/>
                </w:rPr>
                <m:t>p</m:t>
              </m:r>
            </m:oMath>
          </w:p>
        </w:tc>
        <w:tc>
          <w:tcPr>
            <w:tcW w:w="2835" w:type="dxa"/>
            <w:tcBorders>
              <w:bottom w:val="single" w:sz="4" w:space="0" w:color="auto"/>
            </w:tcBorders>
          </w:tcPr>
          <w:p w:rsidR="0085429C" w:rsidRPr="0085429C" w:rsidRDefault="0085429C" w:rsidP="00E528F8">
            <w:pPr>
              <w:wordWrap/>
              <w:jc w:val="center"/>
              <w:rPr>
                <w:sz w:val="22"/>
              </w:rPr>
            </w:pPr>
            <w:r w:rsidRPr="0085429C">
              <w:rPr>
                <w:sz w:val="22"/>
              </w:rPr>
              <w:t>0.0005</w:t>
            </w:r>
          </w:p>
        </w:tc>
      </w:tr>
    </w:tbl>
    <w:p w:rsidR="0085429C" w:rsidRDefault="0085429C" w:rsidP="00E528F8">
      <w:pPr>
        <w:pStyle w:val="aff3"/>
        <w:wordWrap/>
      </w:pPr>
      <w:r w:rsidRPr="0085429C">
        <w:rPr>
          <w:b/>
        </w:rPr>
        <w:t>Panel B. Effect of balancing the pre-deal hiring state</w:t>
      </w:r>
      <w:r>
        <w:br/>
      </w:r>
      <w:r>
        <w:rPr>
          <w:i/>
          <w:iCs/>
        </w:rPr>
        <w:t>Preferred 5/95-winsorised specification, common 286-event sample</w:t>
      </w:r>
    </w:p>
    <w:tbl>
      <w:tblPr>
        <w:tblStyle w:val="Table0"/>
        <w:tblW w:w="0" w:type="auto"/>
        <w:tblBorders>
          <w:top w:val="none" w:sz="0" w:space="0" w:color="auto"/>
          <w:bottom w:val="none" w:sz="0" w:space="0" w:color="auto"/>
        </w:tblBorders>
        <w:tblLook w:val="0020" w:firstRow="1" w:lastRow="0" w:firstColumn="0" w:lastColumn="0" w:noHBand="0" w:noVBand="0"/>
      </w:tblPr>
      <w:tblGrid>
        <w:gridCol w:w="4523"/>
        <w:gridCol w:w="2127"/>
      </w:tblGrid>
      <w:tr w:rsidR="0085429C" w:rsidTr="0085429C">
        <w:trPr>
          <w:cnfStyle w:val="100000000000" w:firstRow="1" w:lastRow="0" w:firstColumn="0" w:lastColumn="0" w:oddVBand="0" w:evenVBand="0" w:oddHBand="0" w:evenHBand="0" w:firstRowFirstColumn="0" w:firstRowLastColumn="0" w:lastRowFirstColumn="0" w:lastRowLastColumn="0"/>
          <w:tblHeader/>
        </w:trPr>
        <w:tc>
          <w:tcPr>
            <w:tcW w:w="4523" w:type="dxa"/>
            <w:tcBorders>
              <w:top w:val="single" w:sz="4" w:space="0" w:color="auto"/>
              <w:bottom w:val="single" w:sz="4" w:space="0" w:color="auto"/>
            </w:tcBorders>
            <w:vAlign w:val="center"/>
          </w:tcPr>
          <w:p w:rsidR="0085429C" w:rsidRPr="0085429C" w:rsidRDefault="0085429C" w:rsidP="00E528F8">
            <w:pPr>
              <w:wordWrap/>
              <w:rPr>
                <w:sz w:val="22"/>
              </w:rPr>
            </w:pPr>
            <w:r w:rsidRPr="0085429C">
              <w:rPr>
                <w:sz w:val="22"/>
              </w:rPr>
              <w:lastRenderedPageBreak/>
              <w:t>Matching design</w:t>
            </w:r>
          </w:p>
        </w:tc>
        <w:tc>
          <w:tcPr>
            <w:tcW w:w="2127" w:type="dxa"/>
            <w:tcBorders>
              <w:top w:val="single" w:sz="4" w:space="0" w:color="auto"/>
              <w:bottom w:val="single" w:sz="4" w:space="0" w:color="auto"/>
            </w:tcBorders>
            <w:vAlign w:val="center"/>
          </w:tcPr>
          <w:p w:rsidR="0085429C" w:rsidRPr="0085429C" w:rsidRDefault="0085429C" w:rsidP="00E528F8">
            <w:pPr>
              <w:wordWrap/>
              <w:jc w:val="center"/>
              <w:rPr>
                <w:sz w:val="22"/>
              </w:rPr>
            </w:pPr>
            <w:r w:rsidRPr="0085429C">
              <w:rPr>
                <w:sz w:val="22"/>
              </w:rPr>
              <w:t>Matched gradient</w:t>
            </w:r>
          </w:p>
        </w:tc>
      </w:tr>
      <w:tr w:rsidR="0085429C" w:rsidTr="0085429C">
        <w:tc>
          <w:tcPr>
            <w:tcW w:w="4523" w:type="dxa"/>
            <w:tcBorders>
              <w:top w:val="single" w:sz="4" w:space="0" w:color="auto"/>
            </w:tcBorders>
          </w:tcPr>
          <w:p w:rsidR="0085429C" w:rsidRPr="0085429C" w:rsidRDefault="0085429C" w:rsidP="00E528F8">
            <w:pPr>
              <w:wordWrap/>
              <w:rPr>
                <w:sz w:val="22"/>
              </w:rPr>
            </w:pPr>
            <w:r w:rsidRPr="0085429C">
              <w:rPr>
                <w:sz w:val="22"/>
              </w:rPr>
              <w:t>Conventional matching, state not balanced</w:t>
            </w:r>
          </w:p>
        </w:tc>
        <w:tc>
          <w:tcPr>
            <w:tcW w:w="2127" w:type="dxa"/>
            <w:tcBorders>
              <w:top w:val="single" w:sz="4" w:space="0" w:color="auto"/>
            </w:tcBorders>
          </w:tcPr>
          <w:p w:rsidR="0085429C" w:rsidRPr="0085429C" w:rsidRDefault="0085429C" w:rsidP="00E528F8">
            <w:pPr>
              <w:wordWrap/>
              <w:jc w:val="center"/>
              <w:rPr>
                <w:sz w:val="22"/>
              </w:rPr>
            </w:pPr>
            <w:r w:rsidRPr="0085429C">
              <w:rPr>
                <w:sz w:val="22"/>
              </w:rPr>
              <w:t>0.4698</w:t>
            </w:r>
          </w:p>
        </w:tc>
      </w:tr>
      <w:tr w:rsidR="0085429C" w:rsidTr="0085429C">
        <w:tc>
          <w:tcPr>
            <w:tcW w:w="4523" w:type="dxa"/>
            <w:tcBorders>
              <w:bottom w:val="single" w:sz="4" w:space="0" w:color="auto"/>
            </w:tcBorders>
          </w:tcPr>
          <w:p w:rsidR="0085429C" w:rsidRPr="0085429C" w:rsidRDefault="0085429C" w:rsidP="00E528F8">
            <w:pPr>
              <w:wordWrap/>
              <w:rPr>
                <w:sz w:val="22"/>
              </w:rPr>
            </w:pPr>
            <w:r w:rsidRPr="0085429C">
              <w:rPr>
                <w:sz w:val="22"/>
              </w:rPr>
              <w:t>State-balanced matching</w:t>
            </w:r>
          </w:p>
        </w:tc>
        <w:tc>
          <w:tcPr>
            <w:tcW w:w="2127" w:type="dxa"/>
            <w:tcBorders>
              <w:bottom w:val="single" w:sz="4" w:space="0" w:color="auto"/>
            </w:tcBorders>
          </w:tcPr>
          <w:p w:rsidR="0085429C" w:rsidRPr="0085429C" w:rsidRDefault="0085429C" w:rsidP="00E528F8">
            <w:pPr>
              <w:wordWrap/>
              <w:jc w:val="center"/>
              <w:rPr>
                <w:sz w:val="22"/>
              </w:rPr>
            </w:pPr>
            <w:r w:rsidRPr="0085429C">
              <w:rPr>
                <w:sz w:val="22"/>
              </w:rPr>
              <w:t>0.7101</w:t>
            </w:r>
          </w:p>
        </w:tc>
      </w:tr>
    </w:tbl>
    <w:p w:rsidR="0085429C" w:rsidRDefault="0085429C" w:rsidP="00E528F8">
      <w:pPr>
        <w:pStyle w:val="aff3"/>
        <w:wordWrap/>
      </w:pPr>
      <w:r w:rsidRPr="0085429C">
        <w:rPr>
          <w:b/>
        </w:rPr>
        <w:t>Panel C. Control-path diagnostic</w:t>
      </w:r>
      <w:r>
        <w:br/>
      </w:r>
      <w:r>
        <w:rPr>
          <w:i/>
          <w:iCs/>
        </w:rPr>
        <w:t>Unwinsorised decomposition, common 286-event sample</w:t>
      </w:r>
    </w:p>
    <w:tbl>
      <w:tblPr>
        <w:tblStyle w:val="Table0"/>
        <w:tblW w:w="8092" w:type="dxa"/>
        <w:tblBorders>
          <w:top w:val="none" w:sz="0" w:space="0" w:color="auto"/>
          <w:bottom w:val="single" w:sz="4" w:space="0" w:color="auto"/>
        </w:tblBorders>
        <w:tblLook w:val="0020" w:firstRow="1" w:lastRow="0" w:firstColumn="0" w:lastColumn="0" w:noHBand="0" w:noVBand="0"/>
      </w:tblPr>
      <w:tblGrid>
        <w:gridCol w:w="4823"/>
        <w:gridCol w:w="1573"/>
        <w:gridCol w:w="1696"/>
      </w:tblGrid>
      <w:tr w:rsidR="0085429C" w:rsidRPr="0085429C" w:rsidTr="0085429C">
        <w:trPr>
          <w:cnfStyle w:val="100000000000" w:firstRow="1" w:lastRow="0" w:firstColumn="0" w:lastColumn="0" w:oddVBand="0" w:evenVBand="0" w:oddHBand="0" w:evenHBand="0" w:firstRowFirstColumn="0" w:firstRowLastColumn="0" w:lastRowFirstColumn="0" w:lastRowLastColumn="0"/>
          <w:trHeight w:val="407"/>
          <w:tblHeader/>
        </w:trPr>
        <w:tc>
          <w:tcPr>
            <w:tcW w:w="0" w:type="auto"/>
            <w:tcBorders>
              <w:top w:val="single" w:sz="4" w:space="0" w:color="auto"/>
              <w:bottom w:val="single" w:sz="4" w:space="0" w:color="auto"/>
            </w:tcBorders>
            <w:vAlign w:val="center"/>
          </w:tcPr>
          <w:p w:rsidR="0085429C" w:rsidRPr="0085429C" w:rsidRDefault="0085429C" w:rsidP="00E528F8">
            <w:pPr>
              <w:wordWrap/>
              <w:rPr>
                <w:sz w:val="22"/>
              </w:rPr>
            </w:pPr>
            <w:r w:rsidRPr="0085429C">
              <w:rPr>
                <w:sz w:val="22"/>
              </w:rPr>
              <w:t>Component slope</w:t>
            </w:r>
          </w:p>
        </w:tc>
        <w:tc>
          <w:tcPr>
            <w:tcW w:w="0" w:type="auto"/>
            <w:tcBorders>
              <w:top w:val="single" w:sz="4" w:space="0" w:color="auto"/>
              <w:bottom w:val="single" w:sz="4" w:space="0" w:color="auto"/>
            </w:tcBorders>
            <w:vAlign w:val="center"/>
          </w:tcPr>
          <w:p w:rsidR="0085429C" w:rsidRPr="0085429C" w:rsidRDefault="0085429C" w:rsidP="00E528F8">
            <w:pPr>
              <w:wordWrap/>
              <w:jc w:val="center"/>
              <w:rPr>
                <w:sz w:val="22"/>
              </w:rPr>
            </w:pPr>
            <w:r w:rsidRPr="0085429C">
              <w:rPr>
                <w:sz w:val="22"/>
              </w:rPr>
              <w:t>Conventional</w:t>
            </w:r>
          </w:p>
        </w:tc>
        <w:tc>
          <w:tcPr>
            <w:tcW w:w="0" w:type="auto"/>
            <w:tcBorders>
              <w:top w:val="single" w:sz="4" w:space="0" w:color="auto"/>
              <w:bottom w:val="single" w:sz="4" w:space="0" w:color="auto"/>
            </w:tcBorders>
            <w:vAlign w:val="center"/>
          </w:tcPr>
          <w:p w:rsidR="0085429C" w:rsidRPr="0085429C" w:rsidRDefault="0085429C" w:rsidP="00E528F8">
            <w:pPr>
              <w:wordWrap/>
              <w:jc w:val="center"/>
              <w:rPr>
                <w:sz w:val="22"/>
              </w:rPr>
            </w:pPr>
            <w:r w:rsidRPr="0085429C">
              <w:rPr>
                <w:sz w:val="22"/>
              </w:rPr>
              <w:t>State-balanced</w:t>
            </w:r>
          </w:p>
        </w:tc>
      </w:tr>
      <w:tr w:rsidR="0085429C" w:rsidRPr="0085429C" w:rsidTr="0085429C">
        <w:trPr>
          <w:trHeight w:val="407"/>
        </w:trPr>
        <w:tc>
          <w:tcPr>
            <w:tcW w:w="0" w:type="auto"/>
            <w:tcBorders>
              <w:top w:val="single" w:sz="4" w:space="0" w:color="auto"/>
            </w:tcBorders>
          </w:tcPr>
          <w:p w:rsidR="0085429C" w:rsidRPr="0085429C" w:rsidRDefault="0085429C" w:rsidP="00E528F8">
            <w:pPr>
              <w:wordWrap/>
              <w:rPr>
                <w:sz w:val="22"/>
              </w:rPr>
            </w:pPr>
            <w:r w:rsidRPr="0085429C">
              <w:rPr>
                <w:sz w:val="22"/>
              </w:rPr>
              <w:t>Treated-side slope</w:t>
            </w:r>
          </w:p>
        </w:tc>
        <w:tc>
          <w:tcPr>
            <w:tcW w:w="0" w:type="auto"/>
            <w:tcBorders>
              <w:top w:val="single" w:sz="4" w:space="0" w:color="auto"/>
            </w:tcBorders>
          </w:tcPr>
          <w:p w:rsidR="0085429C" w:rsidRPr="0085429C" w:rsidRDefault="0085429C" w:rsidP="00E528F8">
            <w:pPr>
              <w:wordWrap/>
              <w:jc w:val="center"/>
              <w:rPr>
                <w:sz w:val="22"/>
              </w:rPr>
            </w:pPr>
            <w:r w:rsidRPr="0085429C">
              <w:rPr>
                <w:sz w:val="22"/>
              </w:rPr>
              <w:t>0.8425</w:t>
            </w:r>
          </w:p>
        </w:tc>
        <w:tc>
          <w:tcPr>
            <w:tcW w:w="0" w:type="auto"/>
            <w:tcBorders>
              <w:top w:val="single" w:sz="4" w:space="0" w:color="auto"/>
            </w:tcBorders>
          </w:tcPr>
          <w:p w:rsidR="0085429C" w:rsidRPr="0085429C" w:rsidRDefault="0085429C" w:rsidP="00E528F8">
            <w:pPr>
              <w:wordWrap/>
              <w:jc w:val="center"/>
              <w:rPr>
                <w:sz w:val="22"/>
              </w:rPr>
            </w:pPr>
            <w:r w:rsidRPr="0085429C">
              <w:rPr>
                <w:sz w:val="22"/>
              </w:rPr>
              <w:t>0.8425</w:t>
            </w:r>
          </w:p>
        </w:tc>
      </w:tr>
      <w:tr w:rsidR="0085429C" w:rsidRPr="0085429C" w:rsidTr="0085429C">
        <w:trPr>
          <w:trHeight w:val="407"/>
        </w:trPr>
        <w:tc>
          <w:tcPr>
            <w:tcW w:w="0" w:type="auto"/>
          </w:tcPr>
          <w:p w:rsidR="0085429C" w:rsidRPr="0085429C" w:rsidRDefault="0085429C" w:rsidP="00E528F8">
            <w:pPr>
              <w:wordWrap/>
              <w:rPr>
                <w:sz w:val="22"/>
              </w:rPr>
            </w:pPr>
            <w:r w:rsidRPr="0085429C">
              <w:rPr>
                <w:sz w:val="22"/>
              </w:rPr>
              <w:t>Control-side slope with respect to treated state</w:t>
            </w:r>
          </w:p>
        </w:tc>
        <w:tc>
          <w:tcPr>
            <w:tcW w:w="0" w:type="auto"/>
          </w:tcPr>
          <w:p w:rsidR="0085429C" w:rsidRPr="0085429C" w:rsidRDefault="0085429C" w:rsidP="00E528F8">
            <w:pPr>
              <w:wordWrap/>
              <w:jc w:val="center"/>
              <w:rPr>
                <w:sz w:val="22"/>
              </w:rPr>
            </w:pPr>
            <w:r w:rsidRPr="0085429C">
              <w:rPr>
                <w:sz w:val="22"/>
              </w:rPr>
              <w:t>0.2950</w:t>
            </w:r>
          </w:p>
        </w:tc>
        <w:tc>
          <w:tcPr>
            <w:tcW w:w="0" w:type="auto"/>
          </w:tcPr>
          <w:p w:rsidR="0085429C" w:rsidRPr="0085429C" w:rsidRDefault="0085429C" w:rsidP="00E528F8">
            <w:pPr>
              <w:wordWrap/>
              <w:jc w:val="center"/>
              <w:rPr>
                <w:sz w:val="22"/>
              </w:rPr>
            </w:pPr>
            <w:r w:rsidRPr="0085429C">
              <w:rPr>
                <w:sz w:val="22"/>
              </w:rPr>
              <w:t>0.0056</w:t>
            </w:r>
          </w:p>
        </w:tc>
      </w:tr>
    </w:tbl>
    <w:p w:rsidR="0085429C" w:rsidRPr="0085429C" w:rsidRDefault="00E34E0E" w:rsidP="00E528F8">
      <w:pPr>
        <w:wordWrap/>
        <w:rPr>
          <w:color w:val="595959" w:themeColor="text1" w:themeTint="A6"/>
          <w:kern w:val="0"/>
        </w:rPr>
      </w:pPr>
      <w:r w:rsidRPr="00E34E0E">
        <w:rPr>
          <w:color w:val="595959" w:themeColor="text1" w:themeTint="A6"/>
          <w:kern w:val="0"/>
        </w:rPr>
        <w:t xml:space="preserve">Notes. Panel A reports the primary 5/95-winsorised specification. The confidence interval is obtained from 2,000 treated-event bootstrap draws. The untreated reference distribution is based on 2,000 gradients constructed from the 1,205 untreated pseudo-events in the primary pool. The empirical two-sided </w:t>
      </w:r>
      <m:oMath>
        <m:r>
          <w:rPr>
            <w:rFonts w:ascii="Cambria Math" w:hAnsi="Cambria Math"/>
            <w:color w:val="595959" w:themeColor="text1" w:themeTint="A6"/>
            <w:kern w:val="0"/>
          </w:rPr>
          <m:t>p</m:t>
        </m:r>
      </m:oMath>
      <w:r w:rsidRPr="00E34E0E">
        <w:rPr>
          <w:color w:val="595959" w:themeColor="text1" w:themeTint="A6"/>
          <w:kern w:val="0"/>
        </w:rPr>
        <w:t>-value follows the centred rule described in Section 4.3. Panel B compares matching procedures on the same 286 treated events. Panel C uses an unwinsorised outcome and is a control-path diagnostic; its component slopes therefore do not subtract numerically to the winsorised gradients reported in Panel B.</w:t>
      </w:r>
    </w:p>
    <w:p w:rsidR="00793834" w:rsidRDefault="00793834" w:rsidP="00E528F8">
      <w:pPr>
        <w:pStyle w:val="3"/>
      </w:pPr>
      <w:r>
        <w:t xml:space="preserve">5.3 </w:t>
      </w:r>
      <w:r w:rsidR="0085429C" w:rsidRPr="0085429C">
        <w:t>Worker inflows and net employment</w:t>
      </w:r>
    </w:p>
    <w:p w:rsidR="0085429C" w:rsidRPr="0085429C" w:rsidRDefault="0085429C" w:rsidP="00E528F8">
      <w:pPr>
        <w:pStyle w:val="aff3"/>
        <w:wordWrap/>
      </w:pPr>
      <w:r>
        <w:t>We next remove employment from the denominator and compare worker inflows with changes in the employment stock. Holding the state-balanced sample fixed, the log worker-entry count has a gradient of 0.6315, an untreated mean of 0.1858, and a two-sided empirical p-value of 0.0110 (Table 4, Panel A). The corresponding figures for the primary log hiring rate are 0.7101, 0.1006, and 0.0005. Adding the change in log employment to the worker-entry-count specification gives a gradient of 0.6957 against an untreated mean of 0.0377 (p = 0.0005). Since employment is post-treatment, this is a denominator diagnostic rather than a causal adjustment.</w:t>
      </w:r>
    </w:p>
    <w:p w:rsidR="0085429C" w:rsidRPr="0085429C" w:rsidRDefault="0085429C" w:rsidP="00E528F8">
      <w:pPr>
        <w:pStyle w:val="aff3"/>
        <w:wordWrap/>
      </w:pPr>
      <w:r>
        <w:t>Net employment has the opposite cross-state pattern. Its gradient is -0.0580, 2.60 reference-distribution standard deviations below its untreated mean (two-sided p = 0.005). This does not conflict with the positive average in Table 2: employment can rise across targets while rising less among those that entered with lower hiring. Churn also rises more from low-hiring states: its gradient is 0.3816, 3.08 standard deviations above the untreated mean (p = 0.002). Because churn includes entries, it is not independent evidence of a stronger exit response.</w:t>
      </w:r>
    </w:p>
    <w:p w:rsidR="0085429C" w:rsidRPr="0085429C" w:rsidRDefault="0085429C" w:rsidP="00E528F8">
      <w:pPr>
        <w:pStyle w:val="aff3"/>
        <w:wordWrap/>
      </w:pPr>
      <w:r>
        <w:t xml:space="preserve">The separation gradient is 0.1788, with a standardised distance of 1.17 and p = 0.2384. The interval is </w:t>
      </w:r>
      <w:r>
        <w:lastRenderedPageBreak/>
        <w:t>too wide to isolate a state-dependent separation margin, so we do not infer worker replacement or two-sided reallocation. Within-event contrasts make the difference in margins explicit. The hiring-minus-employment gradient is 0.7536 on 286 common events, 4.56 standard deviations above its reference mean of 0.0232 (p = 0.001). The churn-minus-employment contrast is 0.4539 on 288 events, compared with a reference mean of -0.0750 and a standardised distance of 4.19 (p = 0.001). The robust distinction is between worker inflows and net employment. Low-hiring targets record unusually large inflows but smaller relative employment gains. The available separation evidence does not support a stronger claim about exits or replacement.</w:t>
      </w:r>
    </w:p>
    <w:p w:rsidR="0085429C" w:rsidRPr="0085429C" w:rsidRDefault="0085429C" w:rsidP="00E528F8">
      <w:pPr>
        <w:pStyle w:val="aff3"/>
        <w:wordWrap/>
        <w:rPr>
          <w:b/>
          <w:bCs/>
        </w:rPr>
      </w:pPr>
      <w:r w:rsidRPr="0085429C">
        <w:rPr>
          <w:b/>
          <w:bCs/>
        </w:rPr>
        <w:t>Table 4. Worker-flow and employment gradients across pre-deal hiring states</w:t>
      </w:r>
    </w:p>
    <w:p w:rsidR="0085429C" w:rsidRPr="0085429C" w:rsidRDefault="0085429C" w:rsidP="00E528F8">
      <w:pPr>
        <w:pStyle w:val="aff3"/>
        <w:wordWrap/>
        <w:rPr>
          <w:b/>
          <w:bCs/>
        </w:rPr>
      </w:pPr>
      <w:r>
        <w:rPr>
          <w:b/>
          <w:bCs/>
        </w:rPr>
        <w:t>Panel A. Worker-inflow measures</w:t>
      </w:r>
    </w:p>
    <w:tbl>
      <w:tblPr>
        <w:tblStyle w:val="Table0"/>
        <w:tblW w:w="5000" w:type="pct"/>
        <w:tblBorders>
          <w:top w:val="none" w:sz="0" w:space="0" w:color="auto"/>
          <w:bottom w:val="none" w:sz="0" w:space="0" w:color="auto"/>
        </w:tblBorders>
        <w:tblLayout w:type="fixed"/>
        <w:tblLook w:val="0020" w:firstRow="1" w:lastRow="0" w:firstColumn="0" w:lastColumn="0" w:noHBand="0" w:noVBand="0"/>
      </w:tblPr>
      <w:tblGrid>
        <w:gridCol w:w="3686"/>
        <w:gridCol w:w="1277"/>
        <w:gridCol w:w="1706"/>
        <w:gridCol w:w="1421"/>
        <w:gridCol w:w="937"/>
      </w:tblGrid>
      <w:tr w:rsidR="0085429C" w:rsidTr="00584550">
        <w:trPr>
          <w:cnfStyle w:val="100000000000" w:firstRow="1" w:lastRow="0" w:firstColumn="0" w:lastColumn="0" w:oddVBand="0" w:evenVBand="0" w:oddHBand="0" w:evenHBand="0" w:firstRowFirstColumn="0" w:firstRowLastColumn="0" w:lastRowFirstColumn="0" w:lastRowLastColumn="0"/>
          <w:tblHeader/>
        </w:trPr>
        <w:tc>
          <w:tcPr>
            <w:tcW w:w="3686" w:type="dxa"/>
            <w:tcBorders>
              <w:top w:val="single" w:sz="4" w:space="0" w:color="auto"/>
              <w:bottom w:val="single" w:sz="4" w:space="0" w:color="auto"/>
            </w:tcBorders>
            <w:vAlign w:val="center"/>
          </w:tcPr>
          <w:p w:rsidR="0085429C" w:rsidRPr="0085429C" w:rsidRDefault="0085429C" w:rsidP="00E528F8">
            <w:pPr>
              <w:wordWrap/>
              <w:snapToGrid w:val="0"/>
              <w:rPr>
                <w:sz w:val="22"/>
              </w:rPr>
            </w:pPr>
            <w:r w:rsidRPr="0085429C">
              <w:rPr>
                <w:sz w:val="22"/>
              </w:rPr>
              <w:t>Outcome</w:t>
            </w:r>
          </w:p>
        </w:tc>
        <w:tc>
          <w:tcPr>
            <w:tcW w:w="1277" w:type="dxa"/>
            <w:tcBorders>
              <w:top w:val="single" w:sz="4" w:space="0" w:color="auto"/>
              <w:bottom w:val="single" w:sz="4" w:space="0" w:color="auto"/>
            </w:tcBorders>
            <w:vAlign w:val="center"/>
          </w:tcPr>
          <w:p w:rsidR="0085429C" w:rsidRPr="0085429C" w:rsidRDefault="0085429C" w:rsidP="00E528F8">
            <w:pPr>
              <w:wordWrap/>
              <w:snapToGrid w:val="0"/>
              <w:rPr>
                <w:sz w:val="22"/>
              </w:rPr>
            </w:pPr>
            <w:r w:rsidRPr="0085429C">
              <w:rPr>
                <w:sz w:val="22"/>
              </w:rPr>
              <w:t>Gradient</w:t>
            </w:r>
          </w:p>
        </w:tc>
        <w:tc>
          <w:tcPr>
            <w:tcW w:w="1706" w:type="dxa"/>
            <w:tcBorders>
              <w:top w:val="single" w:sz="4" w:space="0" w:color="auto"/>
              <w:bottom w:val="single" w:sz="4" w:space="0" w:color="auto"/>
            </w:tcBorders>
            <w:vAlign w:val="center"/>
          </w:tcPr>
          <w:p w:rsidR="0085429C" w:rsidRPr="0085429C" w:rsidRDefault="0085429C" w:rsidP="00E528F8">
            <w:pPr>
              <w:wordWrap/>
              <w:snapToGrid w:val="0"/>
              <w:rPr>
                <w:sz w:val="22"/>
              </w:rPr>
            </w:pPr>
            <w:r w:rsidRPr="0085429C">
              <w:rPr>
                <w:sz w:val="22"/>
              </w:rPr>
              <w:t xml:space="preserve">Untreated </w:t>
            </w:r>
            <w:r>
              <w:rPr>
                <w:sz w:val="22"/>
              </w:rPr>
              <w:br/>
            </w:r>
            <w:r w:rsidRPr="0085429C">
              <w:rPr>
                <w:sz w:val="22"/>
              </w:rPr>
              <w:t>reference mean</w:t>
            </w:r>
          </w:p>
        </w:tc>
        <w:tc>
          <w:tcPr>
            <w:tcW w:w="1421" w:type="dxa"/>
            <w:tcBorders>
              <w:top w:val="single" w:sz="4" w:space="0" w:color="auto"/>
              <w:bottom w:val="single" w:sz="4" w:space="0" w:color="auto"/>
            </w:tcBorders>
            <w:vAlign w:val="center"/>
          </w:tcPr>
          <w:p w:rsidR="0085429C" w:rsidRPr="0085429C" w:rsidRDefault="0085429C" w:rsidP="00E528F8">
            <w:pPr>
              <w:wordWrap/>
              <w:snapToGrid w:val="0"/>
              <w:rPr>
                <w:sz w:val="22"/>
              </w:rPr>
            </w:pPr>
            <w:r w:rsidRPr="0085429C">
              <w:rPr>
                <w:sz w:val="22"/>
              </w:rPr>
              <w:t xml:space="preserve">Empirical </w:t>
            </w:r>
            <w:r>
              <w:rPr>
                <w:sz w:val="22"/>
              </w:rPr>
              <w:br/>
            </w:r>
            <w:r w:rsidRPr="0085429C">
              <w:rPr>
                <w:sz w:val="22"/>
              </w:rPr>
              <w:t xml:space="preserve">two-sided </w:t>
            </w:r>
            <m:oMath>
              <m:r>
                <w:rPr>
                  <w:rFonts w:ascii="Cambria Math" w:hAnsi="Cambria Math"/>
                  <w:sz w:val="22"/>
                </w:rPr>
                <m:t>p</m:t>
              </m:r>
            </m:oMath>
          </w:p>
        </w:tc>
        <w:tc>
          <w:tcPr>
            <w:tcW w:w="937" w:type="dxa"/>
            <w:tcBorders>
              <w:top w:val="single" w:sz="4" w:space="0" w:color="auto"/>
              <w:bottom w:val="single" w:sz="4" w:space="0" w:color="auto"/>
            </w:tcBorders>
            <w:vAlign w:val="center"/>
          </w:tcPr>
          <w:p w:rsidR="0085429C" w:rsidRPr="0085429C" w:rsidRDefault="0085429C" w:rsidP="00E528F8">
            <w:pPr>
              <w:wordWrap/>
              <w:snapToGrid w:val="0"/>
              <w:rPr>
                <w:sz w:val="22"/>
              </w:rPr>
            </w:pPr>
            <w:r w:rsidRPr="0085429C">
              <w:rPr>
                <w:sz w:val="22"/>
              </w:rPr>
              <w:t>Events</w:t>
            </w:r>
          </w:p>
        </w:tc>
      </w:tr>
      <w:tr w:rsidR="0085429C" w:rsidTr="00584550">
        <w:trPr>
          <w:trHeight w:val="511"/>
        </w:trPr>
        <w:tc>
          <w:tcPr>
            <w:tcW w:w="3686" w:type="dxa"/>
            <w:tcBorders>
              <w:top w:val="single" w:sz="4" w:space="0" w:color="auto"/>
            </w:tcBorders>
            <w:vAlign w:val="center"/>
          </w:tcPr>
          <w:p w:rsidR="0085429C" w:rsidRPr="0085429C" w:rsidRDefault="0085429C" w:rsidP="00E528F8">
            <w:pPr>
              <w:pStyle w:val="af3"/>
              <w:wordWrap/>
            </w:pPr>
            <w:r w:rsidRPr="0085429C">
              <w:t>Log hiring rate</w:t>
            </w:r>
          </w:p>
        </w:tc>
        <w:tc>
          <w:tcPr>
            <w:tcW w:w="1277" w:type="dxa"/>
            <w:tcBorders>
              <w:top w:val="single" w:sz="4" w:space="0" w:color="auto"/>
            </w:tcBorders>
            <w:vAlign w:val="center"/>
          </w:tcPr>
          <w:p w:rsidR="0085429C" w:rsidRPr="0085429C" w:rsidRDefault="0085429C" w:rsidP="00E528F8">
            <w:pPr>
              <w:wordWrap/>
              <w:snapToGrid w:val="0"/>
              <w:jc w:val="center"/>
              <w:rPr>
                <w:sz w:val="22"/>
              </w:rPr>
            </w:pPr>
            <w:r w:rsidRPr="0085429C">
              <w:rPr>
                <w:sz w:val="22"/>
              </w:rPr>
              <w:t>0.7101</w:t>
            </w:r>
          </w:p>
        </w:tc>
        <w:tc>
          <w:tcPr>
            <w:tcW w:w="1706" w:type="dxa"/>
            <w:tcBorders>
              <w:top w:val="single" w:sz="4" w:space="0" w:color="auto"/>
            </w:tcBorders>
            <w:vAlign w:val="center"/>
          </w:tcPr>
          <w:p w:rsidR="0085429C" w:rsidRPr="0085429C" w:rsidRDefault="0085429C" w:rsidP="00E528F8">
            <w:pPr>
              <w:wordWrap/>
              <w:snapToGrid w:val="0"/>
              <w:jc w:val="center"/>
              <w:rPr>
                <w:sz w:val="22"/>
              </w:rPr>
            </w:pPr>
            <w:r w:rsidRPr="0085429C">
              <w:rPr>
                <w:sz w:val="22"/>
              </w:rPr>
              <w:t>0.1006</w:t>
            </w:r>
          </w:p>
        </w:tc>
        <w:tc>
          <w:tcPr>
            <w:tcW w:w="1421" w:type="dxa"/>
            <w:tcBorders>
              <w:top w:val="single" w:sz="4" w:space="0" w:color="auto"/>
            </w:tcBorders>
            <w:vAlign w:val="center"/>
          </w:tcPr>
          <w:p w:rsidR="0085429C" w:rsidRPr="0085429C" w:rsidRDefault="0085429C" w:rsidP="00E528F8">
            <w:pPr>
              <w:wordWrap/>
              <w:snapToGrid w:val="0"/>
              <w:jc w:val="center"/>
              <w:rPr>
                <w:sz w:val="22"/>
              </w:rPr>
            </w:pPr>
            <w:r w:rsidRPr="0085429C">
              <w:rPr>
                <w:sz w:val="22"/>
              </w:rPr>
              <w:t>0.0005</w:t>
            </w:r>
          </w:p>
        </w:tc>
        <w:tc>
          <w:tcPr>
            <w:tcW w:w="937" w:type="dxa"/>
            <w:tcBorders>
              <w:top w:val="single" w:sz="4" w:space="0" w:color="auto"/>
            </w:tcBorders>
            <w:vAlign w:val="center"/>
          </w:tcPr>
          <w:p w:rsidR="0085429C" w:rsidRPr="0085429C" w:rsidRDefault="0085429C" w:rsidP="00E528F8">
            <w:pPr>
              <w:wordWrap/>
              <w:snapToGrid w:val="0"/>
              <w:jc w:val="center"/>
              <w:rPr>
                <w:sz w:val="22"/>
              </w:rPr>
            </w:pPr>
            <w:r w:rsidRPr="0085429C">
              <w:rPr>
                <w:sz w:val="22"/>
              </w:rPr>
              <w:t>286</w:t>
            </w:r>
          </w:p>
        </w:tc>
      </w:tr>
      <w:tr w:rsidR="0085429C" w:rsidTr="00584550">
        <w:trPr>
          <w:trHeight w:val="511"/>
        </w:trPr>
        <w:tc>
          <w:tcPr>
            <w:tcW w:w="3686" w:type="dxa"/>
            <w:vAlign w:val="center"/>
          </w:tcPr>
          <w:p w:rsidR="0085429C" w:rsidRPr="0085429C" w:rsidRDefault="0085429C" w:rsidP="00E528F8">
            <w:pPr>
              <w:wordWrap/>
              <w:snapToGrid w:val="0"/>
              <w:rPr>
                <w:sz w:val="22"/>
              </w:rPr>
            </w:pPr>
            <w:r w:rsidRPr="0085429C">
              <w:rPr>
                <w:sz w:val="22"/>
              </w:rPr>
              <w:t>Log worker-entry count</w:t>
            </w:r>
          </w:p>
        </w:tc>
        <w:tc>
          <w:tcPr>
            <w:tcW w:w="1277" w:type="dxa"/>
            <w:vAlign w:val="center"/>
          </w:tcPr>
          <w:p w:rsidR="0085429C" w:rsidRPr="0085429C" w:rsidRDefault="0085429C" w:rsidP="00E528F8">
            <w:pPr>
              <w:wordWrap/>
              <w:snapToGrid w:val="0"/>
              <w:jc w:val="center"/>
              <w:rPr>
                <w:sz w:val="22"/>
              </w:rPr>
            </w:pPr>
            <w:r w:rsidRPr="0085429C">
              <w:rPr>
                <w:sz w:val="22"/>
              </w:rPr>
              <w:t>0.6315</w:t>
            </w:r>
          </w:p>
        </w:tc>
        <w:tc>
          <w:tcPr>
            <w:tcW w:w="1706" w:type="dxa"/>
            <w:vAlign w:val="center"/>
          </w:tcPr>
          <w:p w:rsidR="0085429C" w:rsidRPr="0085429C" w:rsidRDefault="0085429C" w:rsidP="00E528F8">
            <w:pPr>
              <w:wordWrap/>
              <w:snapToGrid w:val="0"/>
              <w:jc w:val="center"/>
              <w:rPr>
                <w:sz w:val="22"/>
              </w:rPr>
            </w:pPr>
            <w:r w:rsidRPr="0085429C">
              <w:rPr>
                <w:sz w:val="22"/>
              </w:rPr>
              <w:t>0.1858</w:t>
            </w:r>
          </w:p>
        </w:tc>
        <w:tc>
          <w:tcPr>
            <w:tcW w:w="1421" w:type="dxa"/>
            <w:vAlign w:val="center"/>
          </w:tcPr>
          <w:p w:rsidR="0085429C" w:rsidRPr="0085429C" w:rsidRDefault="0085429C" w:rsidP="00E528F8">
            <w:pPr>
              <w:wordWrap/>
              <w:snapToGrid w:val="0"/>
              <w:jc w:val="center"/>
              <w:rPr>
                <w:sz w:val="22"/>
              </w:rPr>
            </w:pPr>
            <w:r w:rsidRPr="0085429C">
              <w:rPr>
                <w:sz w:val="22"/>
              </w:rPr>
              <w:t>0.0110</w:t>
            </w:r>
          </w:p>
        </w:tc>
        <w:tc>
          <w:tcPr>
            <w:tcW w:w="937" w:type="dxa"/>
            <w:vAlign w:val="center"/>
          </w:tcPr>
          <w:p w:rsidR="0085429C" w:rsidRPr="0085429C" w:rsidRDefault="0085429C" w:rsidP="00E528F8">
            <w:pPr>
              <w:wordWrap/>
              <w:snapToGrid w:val="0"/>
              <w:jc w:val="center"/>
              <w:rPr>
                <w:sz w:val="22"/>
              </w:rPr>
            </w:pPr>
            <w:r w:rsidRPr="0085429C">
              <w:rPr>
                <w:sz w:val="22"/>
              </w:rPr>
              <w:t>286</w:t>
            </w:r>
          </w:p>
        </w:tc>
      </w:tr>
      <w:tr w:rsidR="0085429C" w:rsidTr="00584550">
        <w:trPr>
          <w:trHeight w:val="511"/>
        </w:trPr>
        <w:tc>
          <w:tcPr>
            <w:tcW w:w="3686" w:type="dxa"/>
            <w:tcBorders>
              <w:bottom w:val="single" w:sz="4" w:space="0" w:color="auto"/>
            </w:tcBorders>
            <w:vAlign w:val="center"/>
          </w:tcPr>
          <w:p w:rsidR="0085429C" w:rsidRPr="0085429C" w:rsidRDefault="0085429C" w:rsidP="00E528F8">
            <w:pPr>
              <w:wordWrap/>
              <w:snapToGrid w:val="0"/>
              <w:rPr>
                <w:sz w:val="22"/>
              </w:rPr>
            </w:pPr>
            <w:r w:rsidRPr="0085429C">
              <w:rPr>
                <w:sz w:val="22"/>
              </w:rPr>
              <w:t xml:space="preserve">Log worker-entry count, controlling for </w:t>
            </w:r>
            <m:oMath>
              <m:r>
                <m:rPr>
                  <m:sty m:val="p"/>
                </m:rPr>
                <w:rPr>
                  <w:rFonts w:ascii="Cambria Math" w:hAnsi="Cambria Math"/>
                  <w:sz w:val="22"/>
                </w:rPr>
                <m:t>Δ</m:t>
              </m:r>
            </m:oMath>
            <w:r w:rsidRPr="0085429C">
              <w:rPr>
                <w:sz w:val="22"/>
              </w:rPr>
              <w:t xml:space="preserve"> log employment</w:t>
            </w:r>
          </w:p>
        </w:tc>
        <w:tc>
          <w:tcPr>
            <w:tcW w:w="1277" w:type="dxa"/>
            <w:tcBorders>
              <w:bottom w:val="single" w:sz="4" w:space="0" w:color="auto"/>
            </w:tcBorders>
            <w:vAlign w:val="center"/>
          </w:tcPr>
          <w:p w:rsidR="0085429C" w:rsidRPr="0085429C" w:rsidRDefault="0085429C" w:rsidP="00E528F8">
            <w:pPr>
              <w:wordWrap/>
              <w:snapToGrid w:val="0"/>
              <w:jc w:val="center"/>
              <w:rPr>
                <w:sz w:val="22"/>
              </w:rPr>
            </w:pPr>
            <w:r w:rsidRPr="0085429C">
              <w:rPr>
                <w:sz w:val="22"/>
              </w:rPr>
              <w:t>0.6957</w:t>
            </w:r>
          </w:p>
        </w:tc>
        <w:tc>
          <w:tcPr>
            <w:tcW w:w="1706" w:type="dxa"/>
            <w:tcBorders>
              <w:bottom w:val="single" w:sz="4" w:space="0" w:color="auto"/>
            </w:tcBorders>
            <w:vAlign w:val="center"/>
          </w:tcPr>
          <w:p w:rsidR="0085429C" w:rsidRPr="0085429C" w:rsidRDefault="0085429C" w:rsidP="00E528F8">
            <w:pPr>
              <w:wordWrap/>
              <w:snapToGrid w:val="0"/>
              <w:jc w:val="center"/>
              <w:rPr>
                <w:sz w:val="22"/>
              </w:rPr>
            </w:pPr>
            <w:r w:rsidRPr="0085429C">
              <w:rPr>
                <w:sz w:val="22"/>
              </w:rPr>
              <w:t>0.0377</w:t>
            </w:r>
          </w:p>
        </w:tc>
        <w:tc>
          <w:tcPr>
            <w:tcW w:w="1421" w:type="dxa"/>
            <w:tcBorders>
              <w:bottom w:val="single" w:sz="4" w:space="0" w:color="auto"/>
            </w:tcBorders>
            <w:vAlign w:val="center"/>
          </w:tcPr>
          <w:p w:rsidR="0085429C" w:rsidRPr="0085429C" w:rsidRDefault="0085429C" w:rsidP="00E528F8">
            <w:pPr>
              <w:wordWrap/>
              <w:snapToGrid w:val="0"/>
              <w:jc w:val="center"/>
              <w:rPr>
                <w:sz w:val="22"/>
              </w:rPr>
            </w:pPr>
            <w:r w:rsidRPr="0085429C">
              <w:rPr>
                <w:sz w:val="22"/>
              </w:rPr>
              <w:t>0.0005</w:t>
            </w:r>
          </w:p>
        </w:tc>
        <w:tc>
          <w:tcPr>
            <w:tcW w:w="937" w:type="dxa"/>
            <w:tcBorders>
              <w:bottom w:val="single" w:sz="4" w:space="0" w:color="auto"/>
            </w:tcBorders>
            <w:vAlign w:val="center"/>
          </w:tcPr>
          <w:p w:rsidR="0085429C" w:rsidRPr="0085429C" w:rsidRDefault="0085429C" w:rsidP="00E528F8">
            <w:pPr>
              <w:wordWrap/>
              <w:snapToGrid w:val="0"/>
              <w:jc w:val="center"/>
              <w:rPr>
                <w:sz w:val="22"/>
              </w:rPr>
            </w:pPr>
            <w:r w:rsidRPr="0085429C">
              <w:rPr>
                <w:sz w:val="22"/>
              </w:rPr>
              <w:t>286</w:t>
            </w:r>
          </w:p>
        </w:tc>
      </w:tr>
    </w:tbl>
    <w:p w:rsidR="0085429C" w:rsidRPr="0085429C" w:rsidRDefault="0085429C" w:rsidP="00E528F8">
      <w:pPr>
        <w:pStyle w:val="aff3"/>
        <w:wordWrap/>
        <w:rPr>
          <w:b/>
          <w:bCs/>
        </w:rPr>
      </w:pPr>
      <w:r>
        <w:rPr>
          <w:b/>
          <w:bCs/>
        </w:rPr>
        <w:t>Panel B. Worker flows and employment</w:t>
      </w:r>
    </w:p>
    <w:tbl>
      <w:tblPr>
        <w:tblStyle w:val="Table0"/>
        <w:tblW w:w="5000" w:type="pct"/>
        <w:tblBorders>
          <w:top w:val="none" w:sz="0" w:space="0" w:color="auto"/>
          <w:bottom w:val="none" w:sz="0" w:space="0" w:color="auto"/>
        </w:tblBorders>
        <w:tblLayout w:type="fixed"/>
        <w:tblLook w:val="0020" w:firstRow="1" w:lastRow="0" w:firstColumn="0" w:lastColumn="0" w:noHBand="0" w:noVBand="0"/>
      </w:tblPr>
      <w:tblGrid>
        <w:gridCol w:w="2410"/>
        <w:gridCol w:w="1276"/>
        <w:gridCol w:w="2983"/>
        <w:gridCol w:w="1421"/>
        <w:gridCol w:w="937"/>
      </w:tblGrid>
      <w:tr w:rsidR="0085429C" w:rsidTr="0085429C">
        <w:trPr>
          <w:cnfStyle w:val="100000000000" w:firstRow="1" w:lastRow="0" w:firstColumn="0" w:lastColumn="0" w:oddVBand="0" w:evenVBand="0" w:oddHBand="0" w:evenHBand="0" w:firstRowFirstColumn="0" w:firstRowLastColumn="0" w:lastRowFirstColumn="0" w:lastRowLastColumn="0"/>
          <w:tblHeader/>
        </w:trPr>
        <w:tc>
          <w:tcPr>
            <w:tcW w:w="2410" w:type="dxa"/>
            <w:tcBorders>
              <w:top w:val="single" w:sz="4" w:space="0" w:color="auto"/>
              <w:bottom w:val="single" w:sz="4" w:space="0" w:color="auto"/>
            </w:tcBorders>
            <w:vAlign w:val="center"/>
          </w:tcPr>
          <w:p w:rsidR="0085429C" w:rsidRPr="0085429C" w:rsidRDefault="0085429C" w:rsidP="00E528F8">
            <w:pPr>
              <w:pStyle w:val="af3"/>
              <w:wordWrap/>
            </w:pPr>
            <w:r w:rsidRPr="0085429C">
              <w:t>Outcome</w:t>
            </w:r>
          </w:p>
        </w:tc>
        <w:tc>
          <w:tcPr>
            <w:tcW w:w="1276" w:type="dxa"/>
            <w:tcBorders>
              <w:top w:val="single" w:sz="4" w:space="0" w:color="auto"/>
              <w:bottom w:val="single" w:sz="4" w:space="0" w:color="auto"/>
            </w:tcBorders>
            <w:vAlign w:val="center"/>
          </w:tcPr>
          <w:p w:rsidR="0085429C" w:rsidRPr="0085429C" w:rsidRDefault="0085429C" w:rsidP="00E528F8">
            <w:pPr>
              <w:pStyle w:val="af3"/>
              <w:wordWrap/>
              <w:jc w:val="center"/>
            </w:pPr>
            <w:r w:rsidRPr="0085429C">
              <w:t>Gradient</w:t>
            </w:r>
          </w:p>
        </w:tc>
        <w:tc>
          <w:tcPr>
            <w:tcW w:w="2983" w:type="dxa"/>
            <w:tcBorders>
              <w:top w:val="single" w:sz="4" w:space="0" w:color="auto"/>
              <w:bottom w:val="single" w:sz="4" w:space="0" w:color="auto"/>
            </w:tcBorders>
            <w:vAlign w:val="center"/>
          </w:tcPr>
          <w:p w:rsidR="0085429C" w:rsidRPr="0085429C" w:rsidRDefault="0085429C" w:rsidP="00E528F8">
            <w:pPr>
              <w:pStyle w:val="af3"/>
              <w:wordWrap/>
              <w:jc w:val="center"/>
            </w:pPr>
            <w:r w:rsidRPr="0085429C">
              <w:t>Standardized distance</w:t>
            </w:r>
          </w:p>
        </w:tc>
        <w:tc>
          <w:tcPr>
            <w:tcW w:w="1421" w:type="dxa"/>
            <w:tcBorders>
              <w:top w:val="single" w:sz="4" w:space="0" w:color="auto"/>
              <w:bottom w:val="single" w:sz="4" w:space="0" w:color="auto"/>
            </w:tcBorders>
            <w:vAlign w:val="center"/>
          </w:tcPr>
          <w:p w:rsidR="0085429C" w:rsidRPr="0085429C" w:rsidRDefault="0085429C" w:rsidP="00E528F8">
            <w:pPr>
              <w:pStyle w:val="af3"/>
              <w:wordWrap/>
              <w:jc w:val="center"/>
            </w:pPr>
            <w:r w:rsidRPr="0085429C">
              <w:t xml:space="preserve">Empirical </w:t>
            </w:r>
            <w:r>
              <w:br/>
            </w:r>
            <w:r w:rsidRPr="0085429C">
              <w:t xml:space="preserve">two-sided </w:t>
            </w:r>
            <m:oMath>
              <m:r>
                <w:rPr>
                  <w:rFonts w:ascii="Cambria Math" w:hAnsi="Cambria Math"/>
                </w:rPr>
                <m:t>p</m:t>
              </m:r>
            </m:oMath>
          </w:p>
        </w:tc>
        <w:tc>
          <w:tcPr>
            <w:tcW w:w="937" w:type="dxa"/>
            <w:tcBorders>
              <w:top w:val="single" w:sz="4" w:space="0" w:color="auto"/>
              <w:bottom w:val="single" w:sz="4" w:space="0" w:color="auto"/>
            </w:tcBorders>
            <w:vAlign w:val="center"/>
          </w:tcPr>
          <w:p w:rsidR="0085429C" w:rsidRPr="0085429C" w:rsidRDefault="0085429C" w:rsidP="00E528F8">
            <w:pPr>
              <w:pStyle w:val="af3"/>
              <w:wordWrap/>
              <w:jc w:val="center"/>
            </w:pPr>
            <w:r w:rsidRPr="0085429C">
              <w:t>Events</w:t>
            </w:r>
          </w:p>
        </w:tc>
      </w:tr>
      <w:tr w:rsidR="0085429C" w:rsidTr="0085429C">
        <w:trPr>
          <w:trHeight w:val="397"/>
        </w:trPr>
        <w:tc>
          <w:tcPr>
            <w:tcW w:w="2410" w:type="dxa"/>
            <w:tcBorders>
              <w:top w:val="single" w:sz="4" w:space="0" w:color="auto"/>
            </w:tcBorders>
            <w:vAlign w:val="center"/>
          </w:tcPr>
          <w:p w:rsidR="0085429C" w:rsidRPr="0085429C" w:rsidRDefault="0085429C" w:rsidP="00E528F8">
            <w:pPr>
              <w:pStyle w:val="af3"/>
              <w:wordWrap/>
            </w:pPr>
            <w:r w:rsidRPr="0085429C">
              <w:t>Log churn rate</w:t>
            </w:r>
          </w:p>
        </w:tc>
        <w:tc>
          <w:tcPr>
            <w:tcW w:w="1276" w:type="dxa"/>
            <w:tcBorders>
              <w:top w:val="single" w:sz="4" w:space="0" w:color="auto"/>
            </w:tcBorders>
            <w:vAlign w:val="center"/>
          </w:tcPr>
          <w:p w:rsidR="0085429C" w:rsidRPr="0085429C" w:rsidRDefault="0085429C" w:rsidP="00E528F8">
            <w:pPr>
              <w:pStyle w:val="af3"/>
              <w:wordWrap/>
              <w:jc w:val="center"/>
            </w:pPr>
            <w:r w:rsidRPr="0085429C">
              <w:t>0.3816</w:t>
            </w:r>
          </w:p>
        </w:tc>
        <w:tc>
          <w:tcPr>
            <w:tcW w:w="2983" w:type="dxa"/>
            <w:tcBorders>
              <w:top w:val="single" w:sz="4" w:space="0" w:color="auto"/>
            </w:tcBorders>
            <w:vAlign w:val="center"/>
          </w:tcPr>
          <w:p w:rsidR="0085429C" w:rsidRPr="0085429C" w:rsidRDefault="0085429C" w:rsidP="00E528F8">
            <w:pPr>
              <w:pStyle w:val="af3"/>
              <w:wordWrap/>
              <w:jc w:val="center"/>
            </w:pPr>
            <w:r w:rsidRPr="0085429C">
              <w:t>3.08</w:t>
            </w:r>
          </w:p>
        </w:tc>
        <w:tc>
          <w:tcPr>
            <w:tcW w:w="1421" w:type="dxa"/>
            <w:tcBorders>
              <w:top w:val="single" w:sz="4" w:space="0" w:color="auto"/>
            </w:tcBorders>
            <w:vAlign w:val="center"/>
          </w:tcPr>
          <w:p w:rsidR="0085429C" w:rsidRPr="0085429C" w:rsidRDefault="0085429C" w:rsidP="00E528F8">
            <w:pPr>
              <w:pStyle w:val="af3"/>
              <w:wordWrap/>
              <w:jc w:val="center"/>
            </w:pPr>
            <w:r w:rsidRPr="0085429C">
              <w:t>0.002</w:t>
            </w:r>
            <w:r w:rsidR="00584550">
              <w:t>0</w:t>
            </w:r>
          </w:p>
        </w:tc>
        <w:tc>
          <w:tcPr>
            <w:tcW w:w="937" w:type="dxa"/>
            <w:tcBorders>
              <w:top w:val="single" w:sz="4" w:space="0" w:color="auto"/>
            </w:tcBorders>
            <w:vAlign w:val="center"/>
          </w:tcPr>
          <w:p w:rsidR="0085429C" w:rsidRPr="0085429C" w:rsidRDefault="0085429C" w:rsidP="00E528F8">
            <w:pPr>
              <w:pStyle w:val="af3"/>
              <w:wordWrap/>
              <w:jc w:val="center"/>
            </w:pPr>
            <w:r w:rsidRPr="0085429C">
              <w:t>288</w:t>
            </w:r>
          </w:p>
        </w:tc>
      </w:tr>
      <w:tr w:rsidR="0085429C" w:rsidTr="0085429C">
        <w:trPr>
          <w:trHeight w:val="397"/>
        </w:trPr>
        <w:tc>
          <w:tcPr>
            <w:tcW w:w="2410" w:type="dxa"/>
            <w:vAlign w:val="center"/>
          </w:tcPr>
          <w:p w:rsidR="0085429C" w:rsidRPr="0085429C" w:rsidRDefault="0085429C" w:rsidP="00E528F8">
            <w:pPr>
              <w:pStyle w:val="af3"/>
              <w:wordWrap/>
            </w:pPr>
            <w:r w:rsidRPr="0085429C">
              <w:t>Log separation rate</w:t>
            </w:r>
          </w:p>
        </w:tc>
        <w:tc>
          <w:tcPr>
            <w:tcW w:w="1276" w:type="dxa"/>
            <w:vAlign w:val="center"/>
          </w:tcPr>
          <w:p w:rsidR="0085429C" w:rsidRPr="0085429C" w:rsidRDefault="0085429C" w:rsidP="00E528F8">
            <w:pPr>
              <w:pStyle w:val="af3"/>
              <w:wordWrap/>
              <w:jc w:val="center"/>
            </w:pPr>
            <w:r w:rsidRPr="0085429C">
              <w:t>0.1788</w:t>
            </w:r>
          </w:p>
        </w:tc>
        <w:tc>
          <w:tcPr>
            <w:tcW w:w="2983" w:type="dxa"/>
            <w:vAlign w:val="center"/>
          </w:tcPr>
          <w:p w:rsidR="0085429C" w:rsidRPr="0085429C" w:rsidRDefault="0085429C" w:rsidP="00E528F8">
            <w:pPr>
              <w:pStyle w:val="af3"/>
              <w:wordWrap/>
              <w:jc w:val="center"/>
            </w:pPr>
            <w:r w:rsidRPr="0085429C">
              <w:t>1.17</w:t>
            </w:r>
          </w:p>
        </w:tc>
        <w:tc>
          <w:tcPr>
            <w:tcW w:w="1421" w:type="dxa"/>
            <w:vAlign w:val="center"/>
          </w:tcPr>
          <w:p w:rsidR="0085429C" w:rsidRPr="0085429C" w:rsidRDefault="0085429C" w:rsidP="00E528F8">
            <w:pPr>
              <w:pStyle w:val="af3"/>
              <w:wordWrap/>
              <w:jc w:val="center"/>
            </w:pPr>
            <w:r w:rsidRPr="0085429C">
              <w:t>0.2384</w:t>
            </w:r>
          </w:p>
        </w:tc>
        <w:tc>
          <w:tcPr>
            <w:tcW w:w="937" w:type="dxa"/>
            <w:vAlign w:val="center"/>
          </w:tcPr>
          <w:p w:rsidR="0085429C" w:rsidRPr="0085429C" w:rsidRDefault="0085429C" w:rsidP="00E528F8">
            <w:pPr>
              <w:pStyle w:val="af3"/>
              <w:wordWrap/>
              <w:jc w:val="center"/>
            </w:pPr>
            <w:r w:rsidRPr="0085429C">
              <w:t>281</w:t>
            </w:r>
          </w:p>
        </w:tc>
      </w:tr>
      <w:tr w:rsidR="0085429C" w:rsidTr="0085429C">
        <w:trPr>
          <w:trHeight w:val="397"/>
        </w:trPr>
        <w:tc>
          <w:tcPr>
            <w:tcW w:w="2410" w:type="dxa"/>
            <w:tcBorders>
              <w:bottom w:val="single" w:sz="4" w:space="0" w:color="auto"/>
            </w:tcBorders>
            <w:vAlign w:val="center"/>
          </w:tcPr>
          <w:p w:rsidR="0085429C" w:rsidRPr="0085429C" w:rsidRDefault="0085429C" w:rsidP="00E528F8">
            <w:pPr>
              <w:pStyle w:val="af3"/>
              <w:wordWrap/>
            </w:pPr>
            <w:r w:rsidRPr="0085429C">
              <w:t>Log employment</w:t>
            </w:r>
          </w:p>
        </w:tc>
        <w:tc>
          <w:tcPr>
            <w:tcW w:w="1276" w:type="dxa"/>
            <w:tcBorders>
              <w:bottom w:val="single" w:sz="4" w:space="0" w:color="auto"/>
            </w:tcBorders>
            <w:vAlign w:val="center"/>
          </w:tcPr>
          <w:p w:rsidR="0085429C" w:rsidRPr="0085429C" w:rsidRDefault="0085429C" w:rsidP="00E528F8">
            <w:pPr>
              <w:pStyle w:val="af3"/>
              <w:wordWrap/>
              <w:jc w:val="center"/>
            </w:pPr>
            <w:r w:rsidRPr="0085429C">
              <w:t>−0.0580</w:t>
            </w:r>
          </w:p>
        </w:tc>
        <w:tc>
          <w:tcPr>
            <w:tcW w:w="2983" w:type="dxa"/>
            <w:tcBorders>
              <w:bottom w:val="single" w:sz="4" w:space="0" w:color="auto"/>
            </w:tcBorders>
            <w:vAlign w:val="center"/>
          </w:tcPr>
          <w:p w:rsidR="0085429C" w:rsidRPr="0085429C" w:rsidRDefault="0085429C" w:rsidP="00E528F8">
            <w:pPr>
              <w:pStyle w:val="af3"/>
              <w:wordWrap/>
              <w:jc w:val="center"/>
            </w:pPr>
            <w:r w:rsidRPr="0085429C">
              <w:t>−2.60</w:t>
            </w:r>
          </w:p>
        </w:tc>
        <w:tc>
          <w:tcPr>
            <w:tcW w:w="1421" w:type="dxa"/>
            <w:tcBorders>
              <w:bottom w:val="single" w:sz="4" w:space="0" w:color="auto"/>
            </w:tcBorders>
            <w:vAlign w:val="center"/>
          </w:tcPr>
          <w:p w:rsidR="0085429C" w:rsidRPr="0085429C" w:rsidRDefault="0085429C" w:rsidP="00E528F8">
            <w:pPr>
              <w:pStyle w:val="af3"/>
              <w:wordWrap/>
              <w:jc w:val="center"/>
            </w:pPr>
            <w:r w:rsidRPr="0085429C">
              <w:t>0.005</w:t>
            </w:r>
            <w:r w:rsidR="00584550">
              <w:t>0</w:t>
            </w:r>
          </w:p>
        </w:tc>
        <w:tc>
          <w:tcPr>
            <w:tcW w:w="937" w:type="dxa"/>
            <w:tcBorders>
              <w:bottom w:val="single" w:sz="4" w:space="0" w:color="auto"/>
            </w:tcBorders>
            <w:vAlign w:val="center"/>
          </w:tcPr>
          <w:p w:rsidR="0085429C" w:rsidRPr="0085429C" w:rsidRDefault="0085429C" w:rsidP="00E528F8">
            <w:pPr>
              <w:pStyle w:val="af3"/>
              <w:wordWrap/>
              <w:jc w:val="center"/>
            </w:pPr>
            <w:r w:rsidRPr="0085429C">
              <w:t>289</w:t>
            </w:r>
          </w:p>
        </w:tc>
      </w:tr>
    </w:tbl>
    <w:p w:rsidR="0085429C" w:rsidRPr="0085429C" w:rsidRDefault="0085429C" w:rsidP="00E528F8">
      <w:pPr>
        <w:pStyle w:val="aff3"/>
        <w:wordWrap/>
        <w:rPr>
          <w:b/>
          <w:bCs/>
        </w:rPr>
      </w:pPr>
      <w:r>
        <w:rPr>
          <w:b/>
          <w:bCs/>
        </w:rPr>
        <w:t>Panel C. Within-event outcome contrasts</w:t>
      </w:r>
    </w:p>
    <w:tbl>
      <w:tblPr>
        <w:tblStyle w:val="Table0"/>
        <w:tblW w:w="5000" w:type="pct"/>
        <w:tblBorders>
          <w:top w:val="none" w:sz="0" w:space="0" w:color="auto"/>
          <w:bottom w:val="none" w:sz="0" w:space="0" w:color="auto"/>
        </w:tblBorders>
        <w:tblLayout w:type="fixed"/>
        <w:tblLook w:val="0020" w:firstRow="1" w:lastRow="0" w:firstColumn="0" w:lastColumn="0" w:noHBand="0" w:noVBand="0"/>
      </w:tblPr>
      <w:tblGrid>
        <w:gridCol w:w="2410"/>
        <w:gridCol w:w="992"/>
        <w:gridCol w:w="3267"/>
        <w:gridCol w:w="1421"/>
        <w:gridCol w:w="937"/>
      </w:tblGrid>
      <w:tr w:rsidR="0085429C" w:rsidTr="0085429C">
        <w:trPr>
          <w:cnfStyle w:val="100000000000" w:firstRow="1" w:lastRow="0" w:firstColumn="0" w:lastColumn="0" w:oddVBand="0" w:evenVBand="0" w:oddHBand="0" w:evenHBand="0" w:firstRowFirstColumn="0" w:firstRowLastColumn="0" w:lastRowFirstColumn="0" w:lastRowLastColumn="0"/>
          <w:tblHeader/>
        </w:trPr>
        <w:tc>
          <w:tcPr>
            <w:tcW w:w="2410" w:type="dxa"/>
            <w:tcBorders>
              <w:top w:val="single" w:sz="4" w:space="0" w:color="auto"/>
              <w:bottom w:val="single" w:sz="4" w:space="0" w:color="auto"/>
            </w:tcBorders>
            <w:vAlign w:val="center"/>
          </w:tcPr>
          <w:p w:rsidR="0085429C" w:rsidRDefault="0085429C" w:rsidP="00E528F8">
            <w:pPr>
              <w:pStyle w:val="af3"/>
              <w:wordWrap/>
            </w:pPr>
            <w:r>
              <w:t>Contrast</w:t>
            </w:r>
          </w:p>
        </w:tc>
        <w:tc>
          <w:tcPr>
            <w:tcW w:w="992" w:type="dxa"/>
            <w:tcBorders>
              <w:top w:val="single" w:sz="4" w:space="0" w:color="auto"/>
              <w:bottom w:val="single" w:sz="4" w:space="0" w:color="auto"/>
            </w:tcBorders>
            <w:vAlign w:val="center"/>
          </w:tcPr>
          <w:p w:rsidR="0085429C" w:rsidRDefault="0085429C" w:rsidP="00E528F8">
            <w:pPr>
              <w:pStyle w:val="af3"/>
              <w:wordWrap/>
              <w:jc w:val="center"/>
            </w:pPr>
            <w:r>
              <w:t>Estimate</w:t>
            </w:r>
          </w:p>
        </w:tc>
        <w:tc>
          <w:tcPr>
            <w:tcW w:w="3267" w:type="dxa"/>
            <w:tcBorders>
              <w:top w:val="single" w:sz="4" w:space="0" w:color="auto"/>
              <w:bottom w:val="single" w:sz="4" w:space="0" w:color="auto"/>
            </w:tcBorders>
            <w:vAlign w:val="center"/>
          </w:tcPr>
          <w:p w:rsidR="0085429C" w:rsidRDefault="0085429C" w:rsidP="00E528F8">
            <w:pPr>
              <w:pStyle w:val="af3"/>
              <w:wordWrap/>
              <w:jc w:val="center"/>
            </w:pPr>
            <w:r>
              <w:t xml:space="preserve">Reference mean / </w:t>
            </w:r>
            <w:r>
              <w:br/>
              <w:t>standardized distance</w:t>
            </w:r>
          </w:p>
        </w:tc>
        <w:tc>
          <w:tcPr>
            <w:tcW w:w="1421" w:type="dxa"/>
            <w:tcBorders>
              <w:top w:val="single" w:sz="4" w:space="0" w:color="auto"/>
              <w:bottom w:val="single" w:sz="4" w:space="0" w:color="auto"/>
            </w:tcBorders>
            <w:vAlign w:val="center"/>
          </w:tcPr>
          <w:p w:rsidR="0085429C" w:rsidRDefault="0085429C" w:rsidP="00E528F8">
            <w:pPr>
              <w:pStyle w:val="af3"/>
              <w:wordWrap/>
              <w:jc w:val="center"/>
            </w:pPr>
            <w:r>
              <w:t xml:space="preserve">Empirical </w:t>
            </w:r>
            <w:r>
              <w:br/>
              <w:t xml:space="preserve">two-sided </w:t>
            </w:r>
            <m:oMath>
              <m:r>
                <w:rPr>
                  <w:rFonts w:ascii="Cambria Math" w:hAnsi="Cambria Math"/>
                </w:rPr>
                <m:t>p</m:t>
              </m:r>
            </m:oMath>
          </w:p>
        </w:tc>
        <w:tc>
          <w:tcPr>
            <w:tcW w:w="937" w:type="dxa"/>
            <w:tcBorders>
              <w:top w:val="single" w:sz="4" w:space="0" w:color="auto"/>
              <w:bottom w:val="single" w:sz="4" w:space="0" w:color="auto"/>
            </w:tcBorders>
            <w:vAlign w:val="center"/>
          </w:tcPr>
          <w:p w:rsidR="0085429C" w:rsidRDefault="0085429C" w:rsidP="00E528F8">
            <w:pPr>
              <w:pStyle w:val="af3"/>
              <w:wordWrap/>
              <w:jc w:val="center"/>
            </w:pPr>
            <w:r>
              <w:t>Events</w:t>
            </w:r>
          </w:p>
        </w:tc>
      </w:tr>
      <w:tr w:rsidR="0085429C" w:rsidTr="0085429C">
        <w:trPr>
          <w:trHeight w:val="454"/>
        </w:trPr>
        <w:tc>
          <w:tcPr>
            <w:tcW w:w="2410" w:type="dxa"/>
            <w:tcBorders>
              <w:top w:val="single" w:sz="4" w:space="0" w:color="auto"/>
            </w:tcBorders>
            <w:vAlign w:val="center"/>
          </w:tcPr>
          <w:p w:rsidR="0085429C" w:rsidRDefault="0085429C" w:rsidP="00E528F8">
            <w:pPr>
              <w:pStyle w:val="af3"/>
              <w:wordWrap/>
            </w:pPr>
            <w:r>
              <w:t>Hiring − employment</w:t>
            </w:r>
          </w:p>
        </w:tc>
        <w:tc>
          <w:tcPr>
            <w:tcW w:w="992" w:type="dxa"/>
            <w:tcBorders>
              <w:top w:val="single" w:sz="4" w:space="0" w:color="auto"/>
            </w:tcBorders>
            <w:vAlign w:val="center"/>
          </w:tcPr>
          <w:p w:rsidR="0085429C" w:rsidRDefault="0085429C" w:rsidP="00E528F8">
            <w:pPr>
              <w:pStyle w:val="af3"/>
              <w:wordWrap/>
              <w:jc w:val="center"/>
            </w:pPr>
            <w:r>
              <w:t>0.7536</w:t>
            </w:r>
          </w:p>
        </w:tc>
        <w:tc>
          <w:tcPr>
            <w:tcW w:w="3267" w:type="dxa"/>
            <w:tcBorders>
              <w:top w:val="single" w:sz="4" w:space="0" w:color="auto"/>
            </w:tcBorders>
            <w:vAlign w:val="center"/>
          </w:tcPr>
          <w:p w:rsidR="0085429C" w:rsidRDefault="0085429C" w:rsidP="00E528F8">
            <w:pPr>
              <w:pStyle w:val="af3"/>
              <w:wordWrap/>
              <w:jc w:val="center"/>
            </w:pPr>
            <w:r>
              <w:t>0.0232 / 4.56</w:t>
            </w:r>
          </w:p>
        </w:tc>
        <w:tc>
          <w:tcPr>
            <w:tcW w:w="1421" w:type="dxa"/>
            <w:tcBorders>
              <w:top w:val="single" w:sz="4" w:space="0" w:color="auto"/>
            </w:tcBorders>
            <w:vAlign w:val="center"/>
          </w:tcPr>
          <w:p w:rsidR="0085429C" w:rsidRDefault="0085429C" w:rsidP="00E528F8">
            <w:pPr>
              <w:pStyle w:val="af3"/>
              <w:wordWrap/>
              <w:jc w:val="center"/>
            </w:pPr>
            <w:r>
              <w:t>0.001</w:t>
            </w:r>
            <w:r w:rsidR="00584550">
              <w:t>0</w:t>
            </w:r>
          </w:p>
        </w:tc>
        <w:tc>
          <w:tcPr>
            <w:tcW w:w="937" w:type="dxa"/>
            <w:tcBorders>
              <w:top w:val="single" w:sz="4" w:space="0" w:color="auto"/>
            </w:tcBorders>
            <w:vAlign w:val="center"/>
          </w:tcPr>
          <w:p w:rsidR="0085429C" w:rsidRDefault="0085429C" w:rsidP="00E528F8">
            <w:pPr>
              <w:pStyle w:val="af3"/>
              <w:wordWrap/>
              <w:jc w:val="center"/>
            </w:pPr>
            <w:r>
              <w:t>286</w:t>
            </w:r>
          </w:p>
        </w:tc>
      </w:tr>
      <w:tr w:rsidR="0085429C" w:rsidTr="0085429C">
        <w:trPr>
          <w:trHeight w:val="454"/>
        </w:trPr>
        <w:tc>
          <w:tcPr>
            <w:tcW w:w="2410" w:type="dxa"/>
            <w:tcBorders>
              <w:bottom w:val="single" w:sz="4" w:space="0" w:color="auto"/>
            </w:tcBorders>
            <w:vAlign w:val="center"/>
          </w:tcPr>
          <w:p w:rsidR="0085429C" w:rsidRDefault="0085429C" w:rsidP="00E528F8">
            <w:pPr>
              <w:pStyle w:val="af3"/>
              <w:wordWrap/>
            </w:pPr>
            <w:r>
              <w:t>Churn − employment</w:t>
            </w:r>
          </w:p>
        </w:tc>
        <w:tc>
          <w:tcPr>
            <w:tcW w:w="992" w:type="dxa"/>
            <w:tcBorders>
              <w:bottom w:val="single" w:sz="4" w:space="0" w:color="auto"/>
            </w:tcBorders>
            <w:vAlign w:val="center"/>
          </w:tcPr>
          <w:p w:rsidR="0085429C" w:rsidRDefault="0085429C" w:rsidP="00E528F8">
            <w:pPr>
              <w:pStyle w:val="af3"/>
              <w:wordWrap/>
              <w:jc w:val="center"/>
            </w:pPr>
            <w:r>
              <w:t>0.4539</w:t>
            </w:r>
          </w:p>
        </w:tc>
        <w:tc>
          <w:tcPr>
            <w:tcW w:w="3267" w:type="dxa"/>
            <w:tcBorders>
              <w:bottom w:val="single" w:sz="4" w:space="0" w:color="auto"/>
            </w:tcBorders>
            <w:vAlign w:val="center"/>
          </w:tcPr>
          <w:p w:rsidR="0085429C" w:rsidRDefault="0085429C" w:rsidP="00E528F8">
            <w:pPr>
              <w:pStyle w:val="af3"/>
              <w:wordWrap/>
              <w:jc w:val="center"/>
            </w:pPr>
            <w:r>
              <w:t>−0.0750 / 4.19</w:t>
            </w:r>
          </w:p>
        </w:tc>
        <w:tc>
          <w:tcPr>
            <w:tcW w:w="1421" w:type="dxa"/>
            <w:tcBorders>
              <w:bottom w:val="single" w:sz="4" w:space="0" w:color="auto"/>
            </w:tcBorders>
            <w:vAlign w:val="center"/>
          </w:tcPr>
          <w:p w:rsidR="0085429C" w:rsidRDefault="0085429C" w:rsidP="00E528F8">
            <w:pPr>
              <w:pStyle w:val="af3"/>
              <w:wordWrap/>
              <w:jc w:val="center"/>
            </w:pPr>
            <w:r>
              <w:t>0.001</w:t>
            </w:r>
            <w:r w:rsidR="00584550">
              <w:t>0</w:t>
            </w:r>
          </w:p>
        </w:tc>
        <w:tc>
          <w:tcPr>
            <w:tcW w:w="937" w:type="dxa"/>
            <w:tcBorders>
              <w:bottom w:val="single" w:sz="4" w:space="0" w:color="auto"/>
            </w:tcBorders>
            <w:vAlign w:val="center"/>
          </w:tcPr>
          <w:p w:rsidR="0085429C" w:rsidRDefault="0085429C" w:rsidP="00E528F8">
            <w:pPr>
              <w:pStyle w:val="af3"/>
              <w:wordWrap/>
              <w:jc w:val="center"/>
            </w:pPr>
            <w:r>
              <w:t>288</w:t>
            </w:r>
          </w:p>
        </w:tc>
      </w:tr>
    </w:tbl>
    <w:p w:rsidR="00584550" w:rsidRDefault="00584550" w:rsidP="00E528F8">
      <w:pPr>
        <w:pStyle w:val="a4"/>
        <w:wordWrap/>
        <w:rPr>
          <w:color w:val="595959" w:themeColor="text1" w:themeTint="A6"/>
          <w:sz w:val="20"/>
        </w:rPr>
      </w:pPr>
      <w:r w:rsidRPr="00584550">
        <w:rPr>
          <w:color w:val="595959" w:themeColor="text1" w:themeTint="A6"/>
          <w:sz w:val="20"/>
        </w:rPr>
        <w:t xml:space="preserve">Notes. Panel A fixes the primary 286-event state-balanced design while changing the worker-inflow outcome; the untreated reference mean is recomputed for each outcome. The employment-change control in the third row is post-treatment and is used only as a denominator diagnostic. Panel B uses outcome-specific eligible samples. Churn contains worker entries as well as separations and is therefore not independent evidence of an exit response. Panel C constructs contrasts within events. The reference distributions in this table come from an outcome-specific </w:t>
      </w:r>
      <w:r w:rsidRPr="00584550">
        <w:rPr>
          <w:color w:val="595959" w:themeColor="text1" w:themeTint="A6"/>
          <w:sz w:val="20"/>
        </w:rPr>
        <w:lastRenderedPageBreak/>
        <w:t>run whose pseudo-event pool contains 1,246 observations, whereas Section 4.3, Figure 1, and Table 3 use the 1,205-event primary pool. The outcome-specific run retains pseudo-events that are available for other outcomes but do not have a defined primary log-hiring response; this accounts for both the difference in pool size and the small difference between the hiring-rate reference means of 0.1006 and 0.1010.</w:t>
      </w:r>
    </w:p>
    <w:p w:rsidR="00D17A83" w:rsidRDefault="00D17A83" w:rsidP="00E528F8">
      <w:pPr>
        <w:pStyle w:val="3"/>
        <w:rPr>
          <w:kern w:val="36"/>
        </w:rPr>
      </w:pPr>
      <w:r>
        <w:t xml:space="preserve">6. </w:t>
      </w:r>
      <w:r w:rsidR="00A46A7F" w:rsidRPr="00A46A7F">
        <w:t>Validity, interpretation, and remaining selection</w:t>
      </w:r>
    </w:p>
    <w:p w:rsidR="00A46A7F" w:rsidRPr="00A46A7F" w:rsidRDefault="00A46A7F" w:rsidP="00E528F8">
      <w:pPr>
        <w:pStyle w:val="3"/>
      </w:pPr>
      <w:r w:rsidRPr="00A46A7F">
        <w:t>6.1 Untreated rebound and pre-deal hiring dynamics</w:t>
      </w:r>
    </w:p>
    <w:p w:rsidR="00A46A7F" w:rsidRPr="00A46A7F" w:rsidRDefault="00A46A7F" w:rsidP="00E528F8">
      <w:pPr>
        <w:pStyle w:val="aff3"/>
        <w:wordWrap/>
      </w:pPr>
      <w:r>
        <w:t>State-balanced controls remove an observed source of counterfactual heterogeneity, but they do not by themselves establish causality. We examine two observable alternatives: rebound among low-hiring firms generally and a different hiring path among eventual targets before investment. The untreated distribution addresses the first. Its mean gradient is about 0.101, compared with 0.7101 for the targets. Ordinary rebound is present but too small to account for the target gradient on its own; the comparison does not capture forces specific to firms selected for investment.</w:t>
      </w:r>
    </w:p>
    <w:p w:rsidR="00A46A7F" w:rsidRPr="00A46A7F" w:rsidRDefault="00A46A7F" w:rsidP="00E528F8">
      <w:pPr>
        <w:pStyle w:val="aff3"/>
        <w:wordWrap/>
      </w:pPr>
      <w:r>
        <w:t>Pre-deal diagnostics involve a trade-off. Moving the state window earlier avoids mechanical overlap with the earlier outcome but changes the moderator. Retaining the primary state preserves comparability while allowing the state and earlier outcome to share observations. The non-overlapping specification moves the state to months -36 through -25. Relative to its untreated reference, the pre-deal excess gradient is -0.1770 [−0.4394, 0.0854] across 250 events (Table 5). Its interval excludes a positive divergence close to the post-investment gradient, although the moderator is no longer the primary state.</w:t>
      </w:r>
    </w:p>
    <w:p w:rsidR="00A46A7F" w:rsidRPr="00A46A7F" w:rsidRDefault="00A46A7F" w:rsidP="00E528F8">
      <w:pPr>
        <w:pStyle w:val="aff3"/>
        <w:wordWrap/>
      </w:pPr>
      <w:r>
        <w:t>Keeping the primary state gives a pre-deal gradient of 0.1068 [−0.1955, 0.4351] for 283 events. The post-deal gradient on the same events is 0.7250 [0.3259, 1.1081]. The earlier estimate is much smaller but remains compatible with a meaningful positive relationship. Neither diagnostic dominates: one cleanly separates the windows, while the other holds the moderator fixed. We treat them as complementary evidence rather than tests of the identifying assumption.</w:t>
      </w:r>
    </w:p>
    <w:p w:rsidR="00A46A7F" w:rsidRPr="00A46A7F" w:rsidRDefault="00A46A7F" w:rsidP="00E528F8">
      <w:pPr>
        <w:pStyle w:val="aff3"/>
        <w:wordWrap/>
      </w:pPr>
      <w:r>
        <w:t xml:space="preserve">Quarterly estimates in Online Appendix D show no persistent positive ordering before investment. The four gradients are +0.087, -0.042, -0.038, and -0.056; their mean is -0.012 [−0.163, 0.131], and a fitted linear drift is -0.038 [−0.600, 0.473]. The estimates are nevertheless too imprecise to exclude moderate differential dynamics. Relative-magnitude calculations following Rambachan and Roth (2023) give a breakdown value of 3.126 at the twelve-month resolution. The quarterly calculation is uninformative </w:t>
      </w:r>
      <w:r>
        <w:lastRenderedPageBreak/>
        <w:t>because pre-period gradients are too noisy to yield a stable bound. We use both as sensitivity calibrations, not as validation of the design.</w:t>
      </w:r>
    </w:p>
    <w:p w:rsidR="00CA307F" w:rsidRPr="006F58E8" w:rsidRDefault="00CA307F" w:rsidP="00E528F8">
      <w:pPr>
        <w:pStyle w:val="aff3"/>
        <w:wordWrap/>
        <w:rPr>
          <w:b/>
        </w:rPr>
      </w:pPr>
      <w:r>
        <w:rPr>
          <w:b/>
          <w:bCs/>
        </w:rPr>
        <w:t xml:space="preserve">Table 5. </w:t>
      </w:r>
      <w:r w:rsidRPr="00CA307F">
        <w:rPr>
          <w:b/>
          <w:bCs/>
        </w:rPr>
        <w:t>Pre-deal dynamics of the hiring-state gradient</w:t>
      </w:r>
    </w:p>
    <w:tbl>
      <w:tblPr>
        <w:tblStyle w:val="Table0"/>
        <w:tblW w:w="9027" w:type="dxa"/>
        <w:tblLayout w:type="fixed"/>
        <w:tblCellMar>
          <w:left w:w="28" w:type="dxa"/>
          <w:right w:w="28" w:type="dxa"/>
        </w:tblCellMar>
        <w:tblLook w:val="0020" w:firstRow="1" w:lastRow="0" w:firstColumn="0" w:lastColumn="0" w:noHBand="0" w:noVBand="0"/>
      </w:tblPr>
      <w:tblGrid>
        <w:gridCol w:w="5063"/>
        <w:gridCol w:w="1050"/>
        <w:gridCol w:w="2251"/>
        <w:gridCol w:w="663"/>
      </w:tblGrid>
      <w:tr w:rsidR="00A46A7F" w:rsidTr="00CA307F">
        <w:trPr>
          <w:cnfStyle w:val="100000000000" w:firstRow="1" w:lastRow="0" w:firstColumn="0" w:lastColumn="0" w:oddVBand="0" w:evenVBand="0" w:oddHBand="0" w:evenHBand="0" w:firstRowFirstColumn="0" w:firstRowLastColumn="0" w:lastRowFirstColumn="0" w:lastRowLastColumn="0"/>
          <w:tblHeader/>
        </w:trPr>
        <w:tc>
          <w:tcPr>
            <w:tcW w:w="5063" w:type="dxa"/>
          </w:tcPr>
          <w:p w:rsidR="00A46A7F" w:rsidRPr="00A46A7F" w:rsidRDefault="00A46A7F" w:rsidP="00E528F8">
            <w:pPr>
              <w:wordWrap/>
              <w:rPr>
                <w:sz w:val="22"/>
              </w:rPr>
            </w:pPr>
            <w:r w:rsidRPr="00A46A7F">
              <w:rPr>
                <w:sz w:val="22"/>
              </w:rPr>
              <w:t>Diagnostic</w:t>
            </w:r>
          </w:p>
        </w:tc>
        <w:tc>
          <w:tcPr>
            <w:tcW w:w="1050" w:type="dxa"/>
          </w:tcPr>
          <w:p w:rsidR="00A46A7F" w:rsidRPr="00DA5FF1" w:rsidRDefault="00A46A7F" w:rsidP="00E528F8">
            <w:pPr>
              <w:pStyle w:val="Compact"/>
              <w:widowControl w:val="0"/>
              <w:jc w:val="right"/>
              <w:rPr>
                <w:sz w:val="22"/>
              </w:rPr>
            </w:pPr>
            <w:r>
              <w:rPr>
                <w:sz w:val="22"/>
              </w:rPr>
              <w:t>Value</w:t>
            </w:r>
          </w:p>
        </w:tc>
        <w:tc>
          <w:tcPr>
            <w:tcW w:w="2251" w:type="dxa"/>
          </w:tcPr>
          <w:p w:rsidR="00A46A7F" w:rsidRPr="00CA307F" w:rsidRDefault="00A46A7F" w:rsidP="00E528F8">
            <w:pPr>
              <w:pStyle w:val="Compact"/>
              <w:widowControl w:val="0"/>
              <w:jc w:val="center"/>
              <w:rPr>
                <w:rFonts w:eastAsia="SimSun"/>
                <w:sz w:val="22"/>
              </w:rPr>
            </w:pPr>
            <w:r w:rsidRPr="00DA5FF1">
              <w:rPr>
                <w:sz w:val="22"/>
              </w:rPr>
              <w:t xml:space="preserve">95% </w:t>
            </w:r>
            <w:r>
              <w:rPr>
                <w:rFonts w:hint="eastAsia"/>
                <w:sz w:val="22"/>
                <w:lang w:eastAsia="ko-KR"/>
              </w:rPr>
              <w:t>I</w:t>
            </w:r>
            <w:r>
              <w:rPr>
                <w:sz w:val="22"/>
                <w:lang w:eastAsia="ko-KR"/>
              </w:rPr>
              <w:t>nterval</w:t>
            </w:r>
          </w:p>
        </w:tc>
        <w:tc>
          <w:tcPr>
            <w:tcW w:w="663" w:type="dxa"/>
          </w:tcPr>
          <w:p w:rsidR="00A46A7F" w:rsidRPr="00DA5FF1" w:rsidRDefault="00A46A7F" w:rsidP="00E528F8">
            <w:pPr>
              <w:pStyle w:val="Compact"/>
              <w:widowControl w:val="0"/>
              <w:jc w:val="right"/>
              <w:rPr>
                <w:sz w:val="22"/>
              </w:rPr>
            </w:pPr>
            <w:r w:rsidRPr="00DA5FF1">
              <w:rPr>
                <w:sz w:val="22"/>
              </w:rPr>
              <w:t>Events</w:t>
            </w:r>
          </w:p>
        </w:tc>
      </w:tr>
      <w:tr w:rsidR="00A46A7F" w:rsidTr="00FA47CE">
        <w:tc>
          <w:tcPr>
            <w:tcW w:w="5063" w:type="dxa"/>
          </w:tcPr>
          <w:p w:rsidR="00A46A7F" w:rsidRPr="00E528F8" w:rsidRDefault="00A46A7F" w:rsidP="00E528F8">
            <w:pPr>
              <w:wordWrap/>
              <w:rPr>
                <w:spacing w:val="-4"/>
                <w:sz w:val="22"/>
              </w:rPr>
            </w:pPr>
            <w:r w:rsidRPr="00E528F8">
              <w:rPr>
                <w:spacing w:val="-4"/>
                <w:sz w:val="22"/>
              </w:rPr>
              <w:t>Pre-deal excess gradient, non-overlapping earlier state</w:t>
            </w:r>
          </w:p>
        </w:tc>
        <w:tc>
          <w:tcPr>
            <w:tcW w:w="1050" w:type="dxa"/>
            <w:vAlign w:val="center"/>
          </w:tcPr>
          <w:p w:rsidR="000E2C12" w:rsidRDefault="000B4D64" w:rsidP="00E528F8">
            <w:pPr>
              <w:wordWrap/>
              <w:jc w:val="center"/>
            </w:pPr>
            <w:r>
              <w:t>−0.1770</w:t>
            </w:r>
          </w:p>
        </w:tc>
        <w:tc>
          <w:tcPr>
            <w:tcW w:w="2251" w:type="dxa"/>
            <w:vAlign w:val="center"/>
          </w:tcPr>
          <w:p w:rsidR="00A46A7F" w:rsidRPr="00CA307F" w:rsidRDefault="00A46A7F" w:rsidP="00E528F8">
            <w:pPr>
              <w:pStyle w:val="Compact"/>
              <w:widowControl w:val="0"/>
              <w:jc w:val="center"/>
              <w:rPr>
                <w:sz w:val="22"/>
                <w:szCs w:val="22"/>
              </w:rPr>
            </w:pPr>
            <w:r w:rsidRPr="00CA307F">
              <w:rPr>
                <w:sz w:val="22"/>
                <w:szCs w:val="22"/>
              </w:rPr>
              <w:t>[−0.4394, 0.0854]</w:t>
            </w:r>
          </w:p>
        </w:tc>
        <w:tc>
          <w:tcPr>
            <w:tcW w:w="663" w:type="dxa"/>
            <w:vAlign w:val="center"/>
          </w:tcPr>
          <w:p w:rsidR="00A46A7F" w:rsidRPr="00CA307F" w:rsidRDefault="00A46A7F" w:rsidP="00E528F8">
            <w:pPr>
              <w:pStyle w:val="Compact"/>
              <w:widowControl w:val="0"/>
              <w:jc w:val="center"/>
              <w:rPr>
                <w:sz w:val="22"/>
                <w:szCs w:val="22"/>
              </w:rPr>
            </w:pPr>
            <w:r w:rsidRPr="00CA307F">
              <w:rPr>
                <w:sz w:val="22"/>
                <w:szCs w:val="22"/>
              </w:rPr>
              <w:t>250</w:t>
            </w:r>
          </w:p>
        </w:tc>
      </w:tr>
      <w:tr w:rsidR="00A46A7F" w:rsidTr="00FA47CE">
        <w:tc>
          <w:tcPr>
            <w:tcW w:w="5063" w:type="dxa"/>
          </w:tcPr>
          <w:p w:rsidR="00A46A7F" w:rsidRPr="00A46A7F" w:rsidRDefault="00A46A7F" w:rsidP="00E528F8">
            <w:pPr>
              <w:wordWrap/>
              <w:rPr>
                <w:sz w:val="22"/>
              </w:rPr>
            </w:pPr>
            <w:r w:rsidRPr="00A46A7F">
              <w:rPr>
                <w:sz w:val="22"/>
              </w:rPr>
              <w:t>Pre-deal gradient, primary-state specification</w:t>
            </w:r>
          </w:p>
        </w:tc>
        <w:tc>
          <w:tcPr>
            <w:tcW w:w="1050" w:type="dxa"/>
            <w:vAlign w:val="center"/>
          </w:tcPr>
          <w:p w:rsidR="00A46A7F" w:rsidRPr="00CA307F" w:rsidRDefault="00A46A7F" w:rsidP="00E528F8">
            <w:pPr>
              <w:pStyle w:val="Compact"/>
              <w:widowControl w:val="0"/>
              <w:jc w:val="center"/>
              <w:rPr>
                <w:sz w:val="22"/>
                <w:szCs w:val="22"/>
              </w:rPr>
            </w:pPr>
            <w:r w:rsidRPr="00CA307F">
              <w:rPr>
                <w:sz w:val="22"/>
                <w:szCs w:val="22"/>
              </w:rPr>
              <w:t>0.1068</w:t>
            </w:r>
          </w:p>
        </w:tc>
        <w:tc>
          <w:tcPr>
            <w:tcW w:w="2251" w:type="dxa"/>
            <w:vAlign w:val="center"/>
          </w:tcPr>
          <w:p w:rsidR="00A46A7F" w:rsidRPr="00CA307F" w:rsidRDefault="00A46A7F" w:rsidP="00E528F8">
            <w:pPr>
              <w:pStyle w:val="Compact"/>
              <w:widowControl w:val="0"/>
              <w:jc w:val="center"/>
              <w:rPr>
                <w:sz w:val="22"/>
                <w:szCs w:val="22"/>
              </w:rPr>
            </w:pPr>
            <w:r w:rsidRPr="00CA307F">
              <w:rPr>
                <w:sz w:val="22"/>
                <w:szCs w:val="22"/>
              </w:rPr>
              <w:t>[−0.1955, 0.4351]</w:t>
            </w:r>
          </w:p>
        </w:tc>
        <w:tc>
          <w:tcPr>
            <w:tcW w:w="663" w:type="dxa"/>
            <w:vAlign w:val="center"/>
          </w:tcPr>
          <w:p w:rsidR="00A46A7F" w:rsidRPr="00CA307F" w:rsidRDefault="00A46A7F" w:rsidP="00E528F8">
            <w:pPr>
              <w:pStyle w:val="Compact"/>
              <w:widowControl w:val="0"/>
              <w:jc w:val="center"/>
              <w:rPr>
                <w:sz w:val="22"/>
                <w:szCs w:val="22"/>
              </w:rPr>
            </w:pPr>
            <w:r w:rsidRPr="00CA307F">
              <w:rPr>
                <w:sz w:val="22"/>
                <w:szCs w:val="22"/>
              </w:rPr>
              <w:t>283</w:t>
            </w:r>
          </w:p>
        </w:tc>
      </w:tr>
      <w:tr w:rsidR="00A46A7F" w:rsidTr="00FA47CE">
        <w:tc>
          <w:tcPr>
            <w:tcW w:w="5063" w:type="dxa"/>
          </w:tcPr>
          <w:p w:rsidR="00A46A7F" w:rsidRPr="00A46A7F" w:rsidRDefault="00A46A7F" w:rsidP="00E528F8">
            <w:pPr>
              <w:wordWrap/>
              <w:rPr>
                <w:sz w:val="22"/>
              </w:rPr>
            </w:pPr>
            <w:r w:rsidRPr="00A46A7F">
              <w:rPr>
                <w:sz w:val="22"/>
              </w:rPr>
              <w:t>Post-deal gradient, same events</w:t>
            </w:r>
          </w:p>
        </w:tc>
        <w:tc>
          <w:tcPr>
            <w:tcW w:w="1050" w:type="dxa"/>
            <w:vAlign w:val="center"/>
          </w:tcPr>
          <w:p w:rsidR="00A46A7F" w:rsidRPr="00CA307F" w:rsidRDefault="00A46A7F" w:rsidP="00E528F8">
            <w:pPr>
              <w:pStyle w:val="Compact"/>
              <w:widowControl w:val="0"/>
              <w:jc w:val="center"/>
              <w:rPr>
                <w:sz w:val="22"/>
                <w:szCs w:val="22"/>
              </w:rPr>
            </w:pPr>
            <w:r w:rsidRPr="00CA307F">
              <w:rPr>
                <w:sz w:val="22"/>
                <w:szCs w:val="22"/>
              </w:rPr>
              <w:t>0.7250</w:t>
            </w:r>
          </w:p>
        </w:tc>
        <w:tc>
          <w:tcPr>
            <w:tcW w:w="2251" w:type="dxa"/>
            <w:vAlign w:val="center"/>
          </w:tcPr>
          <w:p w:rsidR="00A46A7F" w:rsidRPr="00CA307F" w:rsidRDefault="00A46A7F" w:rsidP="00E528F8">
            <w:pPr>
              <w:pStyle w:val="Compact"/>
              <w:widowControl w:val="0"/>
              <w:jc w:val="center"/>
              <w:rPr>
                <w:sz w:val="22"/>
                <w:szCs w:val="22"/>
              </w:rPr>
            </w:pPr>
            <w:r w:rsidRPr="00CA307F">
              <w:rPr>
                <w:sz w:val="22"/>
                <w:szCs w:val="22"/>
              </w:rPr>
              <w:t>[0.3259, 1.1081]</w:t>
            </w:r>
          </w:p>
        </w:tc>
        <w:tc>
          <w:tcPr>
            <w:tcW w:w="663" w:type="dxa"/>
            <w:vAlign w:val="center"/>
          </w:tcPr>
          <w:p w:rsidR="00A46A7F" w:rsidRPr="00CA307F" w:rsidRDefault="00A46A7F" w:rsidP="00E528F8">
            <w:pPr>
              <w:pStyle w:val="Compact"/>
              <w:widowControl w:val="0"/>
              <w:jc w:val="center"/>
              <w:rPr>
                <w:sz w:val="22"/>
                <w:szCs w:val="22"/>
              </w:rPr>
            </w:pPr>
            <w:r w:rsidRPr="00CA307F">
              <w:rPr>
                <w:sz w:val="22"/>
                <w:szCs w:val="22"/>
              </w:rPr>
              <w:t>283</w:t>
            </w:r>
          </w:p>
        </w:tc>
      </w:tr>
    </w:tbl>
    <w:p w:rsidR="00CA307F" w:rsidRDefault="00CA307F" w:rsidP="00E528F8">
      <w:pPr>
        <w:wordWrap/>
        <w:rPr>
          <w:color w:val="595959" w:themeColor="text1" w:themeTint="A6"/>
        </w:rPr>
      </w:pPr>
      <w:r w:rsidRPr="00B264D8">
        <w:rPr>
          <w:i/>
          <w:iCs/>
          <w:color w:val="595959" w:themeColor="text1" w:themeTint="A6"/>
        </w:rPr>
        <w:t>Notes.</w:t>
      </w:r>
      <w:r w:rsidRPr="00CA307F">
        <w:t xml:space="preserve"> </w:t>
      </w:r>
      <w:r w:rsidR="00A46A7F" w:rsidRPr="00A46A7F">
        <w:rPr>
          <w:color w:val="595959" w:themeColor="text1" w:themeTint="A6"/>
        </w:rPr>
        <w:t>The first row avoids overlap between the state and the earlier outcome by moving the state window from months -24 through -13 to months -36 through -25. This produces a mechanically cleaner comparison but changes the moderator relative to the primary specification. The second row retains the primary state definition but shares observations between the state and the earlier outcome. The third row reports the post-investment gradient on the same 283 events as the second row. These specifications are complementary diagnostics rather than formal tests of the identifying assumption. Relative-magnitude sensitivity calculations are reported in Online Appendix D.</w:t>
      </w:r>
    </w:p>
    <w:p w:rsidR="00A46A7F" w:rsidRPr="00A46A7F" w:rsidRDefault="00A46A7F" w:rsidP="00E528F8">
      <w:pPr>
        <w:pStyle w:val="3"/>
      </w:pPr>
      <w:r w:rsidRPr="00A46A7F">
        <w:t>6.</w:t>
      </w:r>
      <w:r>
        <w:t>2</w:t>
      </w:r>
      <w:r w:rsidRPr="00A46A7F">
        <w:t xml:space="preserve"> What does the pre-deal hiring state capture?</w:t>
      </w:r>
    </w:p>
    <w:p w:rsidR="00A46A7F" w:rsidRDefault="00A46A7F" w:rsidP="00E528F8">
      <w:pPr>
        <w:pStyle w:val="aff3"/>
        <w:wordWrap/>
      </w:pPr>
      <w:r>
        <w:t>Online Appendix B asks whether the state records a broad period of low hiring or merely a pause already under way at the deal date. Controlling for employment growth leaves a state coefficient of 0.410 [0.078, 0.753]. The historical share of months with no entries predicts the response (0.559 [0.241, 0.885]), whereas the length of the current no-entry spell is estimated at 0.040 [−0.016, 0.107]. Entered jointly, the two coefficients are 0.536 and 0.032. Broader recent history is thus more informative than the duration of the pause at closing.</w:t>
      </w:r>
    </w:p>
    <w:p w:rsidR="00A46A7F" w:rsidRDefault="00A46A7F" w:rsidP="00E528F8">
      <w:pPr>
        <w:pStyle w:val="aff3"/>
        <w:wordWrap/>
      </w:pPr>
      <w:r>
        <w:t>The state is not a distinct structural trait. Size, industry, employment growth, age, and seasonality explain 63.9 percent of its variation. Residualising on those variables leaves a positive but imprecise coefficient of 0.243 [−0.221, 0.723]. Distance from the deal also matters. A state measured over months -36 through -25 produces a post-deal gradient of 0.268, against an untreated mean of 0.141 and a standardised distance of 0.92. Together with the pause results, this attenuation points to a recent condition rather than a time-invariant firm type.</w:t>
      </w:r>
    </w:p>
    <w:p w:rsidR="00A46A7F" w:rsidRDefault="00A46A7F" w:rsidP="00E528F8">
      <w:pPr>
        <w:pStyle w:val="aff3"/>
        <w:wordWrap/>
      </w:pPr>
      <w:r>
        <w:t xml:space="preserve">Accounting variables offer a separate comparison in the audited subsample. Measured in the fiscal year before the deal, clipped at the 1st and 99th percentiles, and standardised, the response coefficients are 0.0255 [−0.0650, 0.1152] for cash to assets, -0.0045 [−0.1027, 0.0875] for leverage, 0.0489 [−0.0420, </w:t>
      </w:r>
      <w:r>
        <w:lastRenderedPageBreak/>
        <w:t>0.0891] for interest coverage, and -0.0055 [−0.0911, 0.1018] for profitability. In the same audited setting, the hiring-state coefficient is 0.1087 [0.0229, 0.1964] across 169 events. All coefficients are per standard deviation and use the unwinsorised event-level hiring response. These comparisons do not reject a financing channel. Accounting ratios are noisy proxies for constraints, and audited firms are a selected, generally larger subset. They show only that the available financial measures do not reproduce the same cross-sectional ordering.</w:t>
      </w:r>
    </w:p>
    <w:p w:rsidR="00A46A7F" w:rsidRPr="00A46A7F" w:rsidRDefault="00A46A7F" w:rsidP="00E528F8">
      <w:pPr>
        <w:pStyle w:val="3"/>
      </w:pPr>
      <w:r w:rsidRPr="00A46A7F">
        <w:t>6.3 Forward-looking sponsor selection and the causal boundary</w:t>
      </w:r>
    </w:p>
    <w:p w:rsidR="00A46A7F" w:rsidRPr="00A46A7F" w:rsidRDefault="00A46A7F" w:rsidP="00E528F8">
      <w:pPr>
        <w:pStyle w:val="aff3"/>
        <w:wordWrap/>
      </w:pPr>
      <w:r>
        <w:t>The diagnostics have less power against sponsor information about future target prospects. A sponsor may invest after learning about demand, a customer contract, financing, or management changes that observably similar untreated firms do not share. Such selection need not appear as a pre-deal trend. Section 6.1 constrains information already reflected in worker flows or employment, but information that remains latent until investment can evade those tests.</w:t>
      </w:r>
    </w:p>
    <w:p w:rsidR="00A46A7F" w:rsidRPr="00A46A7F" w:rsidRDefault="00A46A7F" w:rsidP="00E528F8">
      <w:pPr>
        <w:pStyle w:val="aff3"/>
        <w:wordWrap/>
      </w:pPr>
      <w:r>
        <w:t>Online Appendix D uses fund age as a proxy for deployment pressure. The estimate runs opposite to the prediction that sponsors with greater timing discretion generate larger responses. Fund age is neither random nor a direct measure of target-specific information, so the exercise cannot remove forward-looking selection. Other comparisons have similar limits. Shareholder records check the transaction year but not the month; not-yet-treated firms offer weaker support and may anticipate their own future deals; sponsor exits and non-private-equity ownership changes are sparse or economically different. We report them as scope checks rather than substitute identification strategies.</w:t>
      </w:r>
    </w:p>
    <w:p w:rsidR="00A46A7F" w:rsidRPr="00A46A7F" w:rsidRDefault="00A46A7F" w:rsidP="00E528F8">
      <w:pPr>
        <w:pStyle w:val="aff3"/>
        <w:wordWrap/>
      </w:pPr>
      <w:r>
        <w:t>The evidence makes ordinary mean reversion and continuation of a comparably large visible trend less plausible as complete explanations. It does not eliminate selection on information missing from the pension, transaction, shareholder, and financial data. We therefore interpret the estimate as an unusually large post-investment hiring response among low-hiring targets relative to observably comparable untreated firms. A stronger causal claim depends on the absence of sufficiently large forward-looking sponsor selection.</w:t>
      </w:r>
    </w:p>
    <w:p w:rsidR="00D17A83" w:rsidRDefault="00D17A83" w:rsidP="00E528F8">
      <w:pPr>
        <w:pStyle w:val="3"/>
        <w:rPr>
          <w:kern w:val="36"/>
        </w:rPr>
      </w:pPr>
      <w:r>
        <w:t xml:space="preserve">7. </w:t>
      </w:r>
      <w:r w:rsidR="00A46A7F" w:rsidRPr="00A46A7F">
        <w:t>Additional evidence and scope checks</w:t>
      </w:r>
    </w:p>
    <w:p w:rsidR="00D17A83" w:rsidRDefault="00D17A83" w:rsidP="00E528F8">
      <w:pPr>
        <w:pStyle w:val="3"/>
      </w:pPr>
      <w:r>
        <w:t xml:space="preserve">7.1 </w:t>
      </w:r>
      <w:r w:rsidR="00A46A7F" w:rsidRPr="00A46A7F">
        <w:t>Post-investment hiring dynamics</w:t>
      </w:r>
    </w:p>
    <w:p w:rsidR="00A46A7F" w:rsidRDefault="00A46A7F" w:rsidP="00E528F8">
      <w:pPr>
        <w:pStyle w:val="aff3"/>
        <w:wordWrap/>
      </w:pPr>
      <w:r>
        <w:lastRenderedPageBreak/>
        <w:t>The average hiring difference appears soon after the deal. The first quarterly estimate is positive, with a 95 percent interval of [0.0032, 0.0250], and point estimates remain positive through quarter ten. The first four sum to about 0.048, close to the twelve-month change of 0.0485 in Table 2. Figure 2 traces this average matched path. It is not a quarterly version of the state-gradient analysis, and later quarters draw on fewer events as recent cohorts run out of follow-up.</w:t>
      </w:r>
    </w:p>
    <w:p w:rsidR="00A46A7F" w:rsidRDefault="00A46A7F" w:rsidP="00E528F8">
      <w:pPr>
        <w:pStyle w:val="aff3"/>
        <w:wordWrap/>
      </w:pPr>
      <w:r>
        <w:t>Worker entries also occur in more months after investment. Higher total entry volume can generate this pattern mechanically: with a fixed number of months, more entries generally leave fewer zero-entry months even if their allocation process is unchanged. Online Appendix A compares the observed incidence with a volume-preserving benchmark that fixes each firm-window's entry total and monthly employment exposure, then reallocates entries across months in proportion to that exposure.</w:t>
      </w:r>
    </w:p>
    <w:p w:rsidR="00A46A7F" w:rsidRDefault="00A46A7F" w:rsidP="00E528F8">
      <w:pPr>
        <w:pStyle w:val="aff3"/>
        <w:wordWrap/>
      </w:pPr>
      <w:r>
        <w:t>The observed zero-entry share falls by 0.0466. The employment-weighted benchmark predicts -0.0508, leaving an excess change of 0.0042 [−0.0088, 0.0180]. An equal-month benchmark predicts -0.0518 and leaves 0.0052 [−0.0082, 0.0189]. Increased entry volume therefore accounts for most of the broader monthly incidence under these benchmarks. This does not establish unchanged recruiting timing: neither benchmark models firm seasonality, monthly demand shocks, or other allocation determinants.</w:t>
      </w:r>
    </w:p>
    <w:p w:rsidR="00A46A7F" w:rsidRPr="00A46A7F" w:rsidRDefault="00A46A7F" w:rsidP="00E528F8">
      <w:pPr>
        <w:pStyle w:val="aff3"/>
        <w:wordWrap/>
        <w:spacing w:after="240"/>
        <w:rPr>
          <w:b/>
          <w:bCs/>
        </w:rPr>
      </w:pPr>
      <w:r w:rsidRPr="00A46A7F">
        <w:rPr>
          <w:b/>
          <w:bCs/>
        </w:rPr>
        <w:t>Figure 2. Quarterly hiring differences relative to matched controls</w:t>
      </w:r>
    </w:p>
    <w:p w:rsidR="00A46A7F" w:rsidRPr="00A46A7F" w:rsidRDefault="00A46A7F" w:rsidP="00E528F8">
      <w:pPr>
        <w:wordWrap/>
        <w:rPr>
          <w:color w:val="595959" w:themeColor="text1" w:themeTint="A6"/>
        </w:rPr>
      </w:pPr>
      <w:r>
        <w:rPr>
          <w:noProof/>
          <w:color w:val="595959" w:themeColor="text1" w:themeTint="A6"/>
        </w:rPr>
        <w:drawing>
          <wp:inline distT="0" distB="0" distL="0" distR="0">
            <wp:extent cx="5745111" cy="2937510"/>
            <wp:effectExtent l="0" t="0" r="8255"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다운로드.png"/>
                    <pic:cNvPicPr/>
                  </pic:nvPicPr>
                  <pic:blipFill rotWithShape="1">
                    <a:blip r:embed="rId9">
                      <a:extLst>
                        <a:ext uri="{28A0092B-C50C-407E-A947-70E740481C1C}">
                          <a14:useLocalDpi xmlns:a14="http://schemas.microsoft.com/office/drawing/2010/main" val="0"/>
                        </a:ext>
                      </a:extLst>
                    </a:blip>
                    <a:srcRect t="5525" r="26753" b="9274"/>
                    <a:stretch/>
                  </pic:blipFill>
                  <pic:spPr bwMode="auto">
                    <a:xfrm>
                      <a:off x="0" y="0"/>
                      <a:ext cx="5769979" cy="2950225"/>
                    </a:xfrm>
                    <a:prstGeom prst="rect">
                      <a:avLst/>
                    </a:prstGeom>
                    <a:ln>
                      <a:noFill/>
                    </a:ln>
                    <a:extLst>
                      <a:ext uri="{53640926-AAD7-44D8-BBD7-CCE9431645EC}">
                        <a14:shadowObscured xmlns:a14="http://schemas.microsoft.com/office/drawing/2010/main"/>
                      </a:ext>
                    </a:extLst>
                  </pic:spPr>
                </pic:pic>
              </a:graphicData>
            </a:graphic>
          </wp:inline>
        </w:drawing>
      </w:r>
    </w:p>
    <w:p w:rsidR="00A46A7F" w:rsidRPr="00A46A7F" w:rsidRDefault="00A46A7F" w:rsidP="00E528F8">
      <w:pPr>
        <w:wordWrap/>
        <w:rPr>
          <w:color w:val="595959" w:themeColor="text1" w:themeTint="A6"/>
        </w:rPr>
      </w:pPr>
      <w:r w:rsidRPr="00A46A7F">
        <w:rPr>
          <w:i/>
          <w:color w:val="595959" w:themeColor="text1" w:themeTint="A6"/>
        </w:rPr>
        <w:t>Notes</w:t>
      </w:r>
      <w:r w:rsidRPr="00A46A7F">
        <w:rPr>
          <w:color w:val="595959" w:themeColor="text1" w:themeTint="A6"/>
        </w:rPr>
        <w:t xml:space="preserve">. The figure plots quarterly treated-minus-control differences in the hiring rate around the private equity transaction. Estimates are shown with 95 percent event-level confidence intervals. The quarterly specification describes the average matched hiring path rather than the state-gradient estimand. The number of contributing </w:t>
      </w:r>
      <w:r w:rsidRPr="00A46A7F">
        <w:rPr>
          <w:color w:val="595959" w:themeColor="text1" w:themeTint="A6"/>
        </w:rPr>
        <w:lastRenderedPageBreak/>
        <w:t>events declines at longer post-investment horizons as the available follow-up period shortens</w:t>
      </w:r>
    </w:p>
    <w:p w:rsidR="00D17A83" w:rsidRDefault="00D17A83" w:rsidP="00E528F8">
      <w:pPr>
        <w:pStyle w:val="3"/>
      </w:pPr>
      <w:r>
        <w:t xml:space="preserve">7.2 </w:t>
      </w:r>
      <w:r w:rsidR="00A46A7F" w:rsidRPr="00A46A7F">
        <w:t>Transaction form and target composition</w:t>
      </w:r>
    </w:p>
    <w:p w:rsidR="00A46A7F" w:rsidRPr="00A46A7F" w:rsidRDefault="00A46A7F" w:rsidP="00E528F8">
      <w:pPr>
        <w:pStyle w:val="aff3"/>
        <w:wordWrap/>
      </w:pPr>
      <w:r>
        <w:t>Because the sample includes minority growth investments and control transactions, we compare event-level hiring responses across these broad forms. The unadjusted control-minus-growth contrast is 0.1218 log points [−0.0494, 0.2776]. Control targets also enter with lower recent hiring. Adjusting for hiring state, size, employment growth, age, industry, and deal year reduces the contrast to 0.0475 [−0.1062, 0.1958]. Target composition explains part of the raw contrast, but the adjusted interval still permits moderate deal-type heterogeneity. It establishes neither equality nor a distinct control-transaction effect.</w:t>
      </w:r>
    </w:p>
    <w:p w:rsidR="00A46A7F" w:rsidRDefault="00A46A7F" w:rsidP="00E528F8">
      <w:pPr>
        <w:pStyle w:val="aff3"/>
        <w:wordWrap/>
      </w:pPr>
      <w:r>
        <w:t>Online Appendix E reports ownership-stake and sponsor comparisons. Sponsor experience counts only transactions observed before the focal deal, avoiding look-ahead. We use these estimates to define scope rather than to dismiss transaction- or sponsor-level heterogeneity.</w:t>
      </w:r>
    </w:p>
    <w:p w:rsidR="00F07A8E" w:rsidRPr="0020476B" w:rsidRDefault="00CA307F" w:rsidP="00E528F8">
      <w:pPr>
        <w:pStyle w:val="2"/>
      </w:pPr>
      <w:r>
        <w:t>8</w:t>
      </w:r>
      <w:r w:rsidR="0020476B" w:rsidRPr="0020476B">
        <w:t>. Conclusion</w:t>
      </w:r>
    </w:p>
    <w:p w:rsidR="00A46A7F" w:rsidRPr="00A46A7F" w:rsidRDefault="00A46A7F" w:rsidP="00E528F8">
      <w:pPr>
        <w:pStyle w:val="aff3"/>
        <w:wordWrap/>
      </w:pPr>
      <w:r>
        <w:t>Recent target hiring sharply orders labour adjustment after private equity investment. In monthly Korean pension records, a one-interquartile shift towards lower pre-deal hiring predicts a 0.2005-log-point larger treated-minus-control increase in the hiring rate. Rebound among untreated low-hiring firms is real but much smaller. Applying the same state definition, matching, transformation, and estimation to untreated pseudo-events yields a mean gradient of 0.1010, compared with 0.7101 for the targets. The empirical benchmark therefore separates the target pattern from the positive state dependence that arises without a private equity event.</w:t>
      </w:r>
    </w:p>
    <w:p w:rsidR="00A46A7F" w:rsidRPr="00A46A7F" w:rsidRDefault="00A46A7F" w:rsidP="00E528F8">
      <w:pPr>
        <w:pStyle w:val="aff3"/>
        <w:wordWrap/>
      </w:pPr>
      <w:r>
        <w:t>The counterfactual is part of the finding. Under conventional matching, assigned control outcomes vary with the target's state. Matching within state terciles nearly eliminates this control-side slope. More generally, a variable used to organise heterogeneous responses should also be examined as a predictor of the untreated path. The heterogeneity lies in worker inflows, not net job growth. It remains in entry counts that remove employment from the denominator, while the net-employment gradient is negative. Churn follows the inflow pattern, but imprecise separation estimates do not identify an exit or replacement mechanism.</w:t>
      </w:r>
    </w:p>
    <w:p w:rsidR="00A46A7F" w:rsidRPr="00A46A7F" w:rsidRDefault="00A46A7F" w:rsidP="00E528F8">
      <w:pPr>
        <w:pStyle w:val="aff3"/>
        <w:wordWrap/>
      </w:pPr>
      <w:r>
        <w:lastRenderedPageBreak/>
        <w:t>The hiring state is a recent empirical condition, not a structural latent state. Conventional characteristics explain much of it; a more distant state and a current hiring pause are less informative than the preceding year's history. The data do not distinguish financing, demand, recruiting, or organisational mechanisms. Forward-looking sponsor selection also remains. Private information may become visible only after investment. The result is therefore an unusually large matched response among low-hiring targets, not an unconditional causal effect of private equity ownership.</w:t>
      </w:r>
    </w:p>
    <w:p w:rsidR="00A46A7F" w:rsidRPr="00A46A7F" w:rsidRDefault="00A46A7F" w:rsidP="00E528F8">
      <w:pPr>
        <w:pStyle w:val="aff3"/>
        <w:wordWrap/>
      </w:pPr>
      <w:r>
        <w:t>The matched support consists mainly of smaller Korean private firms and covers growth and control transactions. Large public-to-private buyouts and other institutional settings require separate evidence. Within that population, recent hiring history reveals a dimension of post-investment adjustment that net employment alone would miss. It also shows why the study of heterogeneous outcomes cannot be separated from the design of the state-specific counterfactual.</w:t>
      </w:r>
    </w:p>
    <w:p w:rsidR="005C23D4" w:rsidRDefault="005C23D4" w:rsidP="00E528F8">
      <w:pPr>
        <w:wordWrap/>
        <w:jc w:val="left"/>
        <w:rPr>
          <w:rFonts w:eastAsia="바탕"/>
          <w:b/>
          <w:bCs/>
          <w:color w:val="000000"/>
          <w:kern w:val="0"/>
          <w:sz w:val="28"/>
          <w:szCs w:val="28"/>
        </w:rPr>
      </w:pPr>
      <w:r>
        <w:rPr>
          <w:b/>
          <w:bCs/>
          <w:sz w:val="28"/>
          <w:szCs w:val="28"/>
        </w:rPr>
        <w:br w:type="page"/>
      </w:r>
    </w:p>
    <w:p w:rsidR="00F07A8E" w:rsidRPr="00DA49CF" w:rsidRDefault="00F07A8E" w:rsidP="00E528F8">
      <w:pPr>
        <w:pStyle w:val="afc"/>
        <w:widowControl w:val="0"/>
        <w:spacing w:line="480" w:lineRule="auto"/>
        <w:rPr>
          <w:rFonts w:ascii="Times New Roman" w:hAnsi="Times New Roman" w:cs="Times New Roman"/>
          <w:b/>
          <w:bCs/>
          <w:sz w:val="28"/>
          <w:szCs w:val="28"/>
        </w:rPr>
      </w:pPr>
      <w:r>
        <w:rPr>
          <w:rFonts w:ascii="Times New Roman" w:hAnsi="Times New Roman" w:cs="Times New Roman" w:hint="eastAsia"/>
          <w:b/>
          <w:bCs/>
          <w:sz w:val="28"/>
          <w:szCs w:val="28"/>
        </w:rPr>
        <w:lastRenderedPageBreak/>
        <w:t>References</w:t>
      </w:r>
    </w:p>
    <w:p w:rsidR="00C83D6F" w:rsidRPr="00C83D6F" w:rsidRDefault="00C83D6F" w:rsidP="00E528F8">
      <w:pPr>
        <w:pStyle w:val="aff3"/>
        <w:wordWrap/>
      </w:pPr>
      <w:r w:rsidRPr="00C83D6F">
        <w:rPr>
          <w:rFonts w:hint="eastAsia"/>
        </w:rPr>
        <w:t xml:space="preserve">Abadie, Alberto, and Guido W. Imbens. 2006. </w:t>
      </w:r>
      <w:r w:rsidR="00456B66">
        <w:t>"</w:t>
      </w:r>
      <w:r w:rsidRPr="00C83D6F">
        <w:rPr>
          <w:rFonts w:hint="eastAsia"/>
        </w:rPr>
        <w:t>Large Sample Properties of Matching Estimators for Average Treatment Effects.</w:t>
      </w:r>
      <w:r w:rsidR="00456B66">
        <w:t>"</w:t>
      </w:r>
      <w:r w:rsidRPr="00C83D6F">
        <w:rPr>
          <w:rFonts w:hint="eastAsia"/>
        </w:rPr>
        <w:t xml:space="preserve"> Econometrica 74 (1): 235</w:t>
      </w:r>
      <w:r w:rsidRPr="00C83D6F">
        <w:rPr>
          <w:rFonts w:hint="eastAsia"/>
        </w:rPr>
        <w:t>–</w:t>
      </w:r>
      <w:r w:rsidRPr="00C83D6F">
        <w:rPr>
          <w:rFonts w:hint="eastAsia"/>
        </w:rPr>
        <w:t xml:space="preserve">67. https://doi.org/10.1111/j.1468-0262.2006.00655.x. </w:t>
      </w:r>
    </w:p>
    <w:p w:rsidR="00B612A6" w:rsidRPr="00B612A6" w:rsidRDefault="00B612A6" w:rsidP="00E528F8">
      <w:pPr>
        <w:pStyle w:val="aff3"/>
        <w:wordWrap/>
        <w:rPr>
          <w:noProof/>
        </w:rPr>
      </w:pPr>
      <w:r w:rsidRPr="00B612A6">
        <w:rPr>
          <w:noProof/>
        </w:rPr>
        <w:t>Agrawal, Ashw</w:t>
      </w:r>
      <w:r w:rsidR="00BB3316">
        <w:rPr>
          <w:noProof/>
        </w:rPr>
        <w:t xml:space="preserve">ini, and Prasanna Tambe. 2016. </w:t>
      </w:r>
      <w:r w:rsidR="00456B66">
        <w:rPr>
          <w:noProof/>
        </w:rPr>
        <w:t>"</w:t>
      </w:r>
      <w:r w:rsidRPr="00B612A6">
        <w:rPr>
          <w:noProof/>
        </w:rPr>
        <w:t>Private Equity and Workers</w:t>
      </w:r>
      <w:r w:rsidR="00456B66">
        <w:rPr>
          <w:noProof/>
        </w:rPr>
        <w:t>'</w:t>
      </w:r>
      <w:r w:rsidRPr="00B612A6">
        <w:rPr>
          <w:noProof/>
        </w:rPr>
        <w:t xml:space="preserve"> Career Paths: The Role of Technological Change.</w:t>
      </w:r>
      <w:r w:rsidR="00456B66">
        <w:rPr>
          <w:noProof/>
        </w:rPr>
        <w:t>"</w:t>
      </w:r>
      <w:r w:rsidRPr="00B612A6">
        <w:rPr>
          <w:noProof/>
        </w:rPr>
        <w:t xml:space="preserve"> Review of Financial Studies 29 (9): 2455–89. https://doi.org/10.1093/rfs/hhw025.</w:t>
      </w:r>
    </w:p>
    <w:p w:rsidR="00B612A6" w:rsidRPr="00B612A6" w:rsidRDefault="00B612A6" w:rsidP="00E528F8">
      <w:pPr>
        <w:pStyle w:val="aff3"/>
        <w:wordWrap/>
        <w:rPr>
          <w:noProof/>
        </w:rPr>
      </w:pPr>
      <w:r w:rsidRPr="00B612A6">
        <w:rPr>
          <w:noProof/>
        </w:rPr>
        <w:t xml:space="preserve">Antoni, Manfred, Ernst Maug, and Stefan Obernberger. 2019. </w:t>
      </w:r>
      <w:r w:rsidR="00456B66">
        <w:rPr>
          <w:noProof/>
        </w:rPr>
        <w:t>"</w:t>
      </w:r>
      <w:r w:rsidRPr="00B612A6">
        <w:rPr>
          <w:noProof/>
        </w:rPr>
        <w:t>Private Equity and Human Capital Risk.</w:t>
      </w:r>
      <w:r w:rsidR="00456B66">
        <w:rPr>
          <w:noProof/>
        </w:rPr>
        <w:t>"</w:t>
      </w:r>
      <w:r w:rsidRPr="00B612A6">
        <w:rPr>
          <w:noProof/>
        </w:rPr>
        <w:t xml:space="preserve"> Journal of Financial Economics 133 (3): 634–57. https://doi.org/10.1016/j.jfineco.2019.04.010.</w:t>
      </w:r>
    </w:p>
    <w:p w:rsidR="00B612A6" w:rsidRPr="00B612A6" w:rsidRDefault="00B612A6" w:rsidP="00E528F8">
      <w:pPr>
        <w:pStyle w:val="aff3"/>
        <w:wordWrap/>
        <w:rPr>
          <w:noProof/>
        </w:rPr>
      </w:pPr>
      <w:r w:rsidRPr="00B612A6">
        <w:rPr>
          <w:noProof/>
        </w:rPr>
        <w:t xml:space="preserve">Bernstein, Shai, and Albert Sheen. 2016. </w:t>
      </w:r>
      <w:r w:rsidR="00456B66">
        <w:rPr>
          <w:noProof/>
        </w:rPr>
        <w:t>"</w:t>
      </w:r>
      <w:r w:rsidRPr="00B612A6">
        <w:rPr>
          <w:noProof/>
        </w:rPr>
        <w:t>The Operational Consequences of Private Equity Buyouts: Evidence from the Restaurant Industry.</w:t>
      </w:r>
      <w:r w:rsidR="00456B66">
        <w:rPr>
          <w:noProof/>
        </w:rPr>
        <w:t>"</w:t>
      </w:r>
      <w:r w:rsidRPr="00B612A6">
        <w:rPr>
          <w:noProof/>
        </w:rPr>
        <w:t xml:space="preserve"> Review of Financial Studies 29 (9): 2387–418. https://doi.org/10.1093/rfs/hhw037.</w:t>
      </w:r>
    </w:p>
    <w:p w:rsidR="00B612A6" w:rsidRPr="00B612A6" w:rsidRDefault="00B612A6" w:rsidP="00E528F8">
      <w:pPr>
        <w:pStyle w:val="aff3"/>
        <w:wordWrap/>
        <w:rPr>
          <w:noProof/>
        </w:rPr>
      </w:pPr>
      <w:r w:rsidRPr="00B612A6">
        <w:rPr>
          <w:noProof/>
        </w:rPr>
        <w:t xml:space="preserve">Blind, Georg D., and Stefania Lottanti von Mandach. 2021. </w:t>
      </w:r>
      <w:r w:rsidR="00456B66">
        <w:rPr>
          <w:noProof/>
        </w:rPr>
        <w:t>"</w:t>
      </w:r>
      <w:r w:rsidRPr="00B612A6">
        <w:rPr>
          <w:noProof/>
        </w:rPr>
        <w:t>Private Equity Buyouts in Japan: Effects on Employment Numbers.</w:t>
      </w:r>
      <w:r w:rsidR="00456B66">
        <w:rPr>
          <w:noProof/>
        </w:rPr>
        <w:t>"</w:t>
      </w:r>
      <w:r w:rsidRPr="00B612A6">
        <w:rPr>
          <w:noProof/>
        </w:rPr>
        <w:t xml:space="preserve"> Journal of the Japanese and International Economies 59: 101121. https://doi.org/10.1016/j.jjie.2020.101121.</w:t>
      </w:r>
    </w:p>
    <w:p w:rsidR="00B612A6" w:rsidRDefault="00B612A6" w:rsidP="00E528F8">
      <w:pPr>
        <w:pStyle w:val="aff3"/>
        <w:wordWrap/>
        <w:rPr>
          <w:noProof/>
        </w:rPr>
      </w:pPr>
      <w:r w:rsidRPr="00B612A6">
        <w:rPr>
          <w:noProof/>
        </w:rPr>
        <w:t xml:space="preserve">Boucly, Quentin, David Sraer, and David Thesmar. 2011. </w:t>
      </w:r>
      <w:r w:rsidR="00456B66">
        <w:rPr>
          <w:noProof/>
        </w:rPr>
        <w:t>"</w:t>
      </w:r>
      <w:r w:rsidRPr="00B612A6">
        <w:rPr>
          <w:noProof/>
        </w:rPr>
        <w:t>Growth LBOs.</w:t>
      </w:r>
      <w:r w:rsidR="00456B66">
        <w:rPr>
          <w:noProof/>
        </w:rPr>
        <w:t>"</w:t>
      </w:r>
      <w:r w:rsidRPr="00B612A6">
        <w:rPr>
          <w:noProof/>
        </w:rPr>
        <w:t xml:space="preserve"> Journal of Financial Economics 102 (2): 432–53. https://doi.org/10.1016/j.jfineco.2011.05.014.</w:t>
      </w:r>
    </w:p>
    <w:p w:rsidR="00C83D6F" w:rsidRPr="00C83D6F" w:rsidRDefault="00C83D6F" w:rsidP="00E528F8">
      <w:pPr>
        <w:pStyle w:val="aff3"/>
        <w:wordWrap/>
      </w:pPr>
      <w:r w:rsidRPr="00C83D6F">
        <w:rPr>
          <w:rFonts w:hint="eastAsia"/>
        </w:rPr>
        <w:t xml:space="preserve">Braun, Reiner, Tim Jenkinson, and Ingo Stoff. 2017. </w:t>
      </w:r>
      <w:r w:rsidR="00456B66">
        <w:t>"</w:t>
      </w:r>
      <w:r w:rsidRPr="00C83D6F">
        <w:rPr>
          <w:rFonts w:hint="eastAsia"/>
        </w:rPr>
        <w:t>How Persistent Is Private Equity Performance? Evidence from Deal-Level Data.</w:t>
      </w:r>
      <w:r w:rsidR="00456B66">
        <w:t>"</w:t>
      </w:r>
      <w:r w:rsidRPr="00C83D6F">
        <w:rPr>
          <w:rFonts w:hint="eastAsia"/>
        </w:rPr>
        <w:t xml:space="preserve"> Journal of Financial Economics 123 (2): 273</w:t>
      </w:r>
      <w:r w:rsidRPr="00C83D6F">
        <w:rPr>
          <w:rFonts w:hint="eastAsia"/>
        </w:rPr>
        <w:t>–</w:t>
      </w:r>
      <w:r w:rsidRPr="00C83D6F">
        <w:rPr>
          <w:rFonts w:hint="eastAsia"/>
        </w:rPr>
        <w:t xml:space="preserve">91. https://doi.org/10.1016/j.jfineco.2016.01.033. </w:t>
      </w:r>
    </w:p>
    <w:p w:rsidR="00B612A6" w:rsidRDefault="00B612A6" w:rsidP="00E528F8">
      <w:pPr>
        <w:pStyle w:val="aff3"/>
        <w:wordWrap/>
        <w:rPr>
          <w:noProof/>
        </w:rPr>
      </w:pPr>
      <w:r w:rsidRPr="00B612A6">
        <w:rPr>
          <w:noProof/>
        </w:rPr>
        <w:t xml:space="preserve">Cohn, Jonathan B, Edith S Hotchkiss, and Erin M Towery. 2022. </w:t>
      </w:r>
      <w:r w:rsidR="00456B66">
        <w:rPr>
          <w:noProof/>
        </w:rPr>
        <w:t>"</w:t>
      </w:r>
      <w:r w:rsidRPr="00B612A6">
        <w:rPr>
          <w:noProof/>
        </w:rPr>
        <w:t>Sources of Value Creation in Private Equity Buyouts of Private Firms.</w:t>
      </w:r>
      <w:r w:rsidR="00456B66">
        <w:rPr>
          <w:noProof/>
        </w:rPr>
        <w:t>"</w:t>
      </w:r>
      <w:r w:rsidRPr="00B612A6">
        <w:rPr>
          <w:noProof/>
        </w:rPr>
        <w:t xml:space="preserve"> Review of Finance 26 (2): 257–85. https://doi.org/10.1093/rof/rfac005.</w:t>
      </w:r>
    </w:p>
    <w:p w:rsidR="00C83D6F" w:rsidRPr="00C83D6F" w:rsidRDefault="00C83D6F" w:rsidP="00E528F8">
      <w:pPr>
        <w:pStyle w:val="aff3"/>
        <w:wordWrap/>
      </w:pPr>
      <w:r w:rsidRPr="00C83D6F">
        <w:t xml:space="preserve">Cohn, Jonathan B., Lillian F. Mills, and Erin M. Towery. 2014. </w:t>
      </w:r>
      <w:r w:rsidR="00456B66">
        <w:t>"</w:t>
      </w:r>
      <w:r w:rsidRPr="00C83D6F">
        <w:t>The Evolution of Capital Structure and Operating Performance after Leveraged Buyouts: Evidence from U.S. Corporate Tax Returns.</w:t>
      </w:r>
      <w:r w:rsidR="00456B66">
        <w:t>"</w:t>
      </w:r>
      <w:r w:rsidRPr="00C83D6F">
        <w:t xml:space="preserve"> Journal of Financial Economics 111 (2): 469–94. https://doi.org</w:t>
      </w:r>
      <w:r w:rsidRPr="00C83D6F">
        <w:rPr>
          <w:rFonts w:hint="eastAsia"/>
        </w:rPr>
        <w:t xml:space="preserve">/10.1016/j.jfineco.2013.11.007. </w:t>
      </w:r>
    </w:p>
    <w:p w:rsidR="00B612A6" w:rsidRPr="00B612A6" w:rsidRDefault="00B612A6" w:rsidP="00E528F8">
      <w:pPr>
        <w:pStyle w:val="aff3"/>
        <w:wordWrap/>
        <w:rPr>
          <w:noProof/>
        </w:rPr>
      </w:pPr>
      <w:r w:rsidRPr="00B612A6">
        <w:rPr>
          <w:noProof/>
        </w:rPr>
        <w:lastRenderedPageBreak/>
        <w:t xml:space="preserve">Cohn, Jonathan, Nicole Nestoriak, and Malcolm Wardlaw. 2021. </w:t>
      </w:r>
      <w:r w:rsidR="00456B66">
        <w:rPr>
          <w:noProof/>
        </w:rPr>
        <w:t>"</w:t>
      </w:r>
      <w:r w:rsidRPr="00B612A6">
        <w:rPr>
          <w:noProof/>
        </w:rPr>
        <w:t>Private Equity Buyouts and Workplace Safety.</w:t>
      </w:r>
      <w:r w:rsidR="00456B66">
        <w:rPr>
          <w:noProof/>
        </w:rPr>
        <w:t>"</w:t>
      </w:r>
      <w:r w:rsidRPr="00B612A6">
        <w:rPr>
          <w:noProof/>
        </w:rPr>
        <w:t xml:space="preserve"> The Review of Financial Studies 34 (10): 4832–75. https://doi.org/10.1093/rfs/hhab001.</w:t>
      </w:r>
    </w:p>
    <w:p w:rsidR="00B612A6" w:rsidRDefault="00B612A6" w:rsidP="00E528F8">
      <w:pPr>
        <w:pStyle w:val="aff3"/>
        <w:wordWrap/>
        <w:rPr>
          <w:noProof/>
        </w:rPr>
      </w:pPr>
      <w:r w:rsidRPr="00B612A6">
        <w:rPr>
          <w:noProof/>
        </w:rPr>
        <w:t xml:space="preserve">Cooper, Russell, John Haltiwanger, and Jonathan L. Willis. 2015. </w:t>
      </w:r>
      <w:r w:rsidR="00456B66">
        <w:rPr>
          <w:noProof/>
        </w:rPr>
        <w:t>"</w:t>
      </w:r>
      <w:r w:rsidRPr="00B612A6">
        <w:rPr>
          <w:noProof/>
        </w:rPr>
        <w:t>Dynamics of Labor Demand: Evidence from Plant-Level Observations and Aggregate Implications.</w:t>
      </w:r>
      <w:r w:rsidR="00456B66">
        <w:rPr>
          <w:noProof/>
        </w:rPr>
        <w:t>"</w:t>
      </w:r>
      <w:r w:rsidRPr="00B612A6">
        <w:rPr>
          <w:noProof/>
        </w:rPr>
        <w:t xml:space="preserve"> Research in Economics 69 (1): 37–50. https://doi.org/10.1016/j.rie.2015.01.002.</w:t>
      </w:r>
    </w:p>
    <w:p w:rsidR="00C83D6F" w:rsidRPr="00C83D6F" w:rsidRDefault="00C83D6F" w:rsidP="00E528F8">
      <w:pPr>
        <w:pStyle w:val="aff3"/>
        <w:wordWrap/>
      </w:pPr>
      <w:r w:rsidRPr="00C83D6F">
        <w:rPr>
          <w:rFonts w:hint="eastAsia"/>
        </w:rPr>
        <w:t xml:space="preserve">Davis, Steven J., and John Haltiwanger. 1992. </w:t>
      </w:r>
      <w:r w:rsidR="00456B66">
        <w:t>"</w:t>
      </w:r>
      <w:r w:rsidRPr="00C83D6F">
        <w:rPr>
          <w:rFonts w:hint="eastAsia"/>
        </w:rPr>
        <w:t>Gross Job Creation, Gross Job Destruction, and Employment Reallocation.</w:t>
      </w:r>
      <w:r w:rsidR="00456B66">
        <w:t>"</w:t>
      </w:r>
      <w:r w:rsidRPr="00C83D6F">
        <w:rPr>
          <w:rFonts w:hint="eastAsia"/>
        </w:rPr>
        <w:t xml:space="preserve"> Quarterly Journal of Economics 107 (3): 819</w:t>
      </w:r>
      <w:r w:rsidRPr="00C83D6F">
        <w:rPr>
          <w:rFonts w:hint="eastAsia"/>
        </w:rPr>
        <w:t>–</w:t>
      </w:r>
      <w:r w:rsidRPr="00C83D6F">
        <w:rPr>
          <w:rFonts w:hint="eastAsia"/>
        </w:rPr>
        <w:t xml:space="preserve">63. https://doi.org/10.2307/2118365. </w:t>
      </w:r>
    </w:p>
    <w:p w:rsidR="00B612A6" w:rsidRPr="00B612A6" w:rsidRDefault="00B612A6" w:rsidP="00E528F8">
      <w:pPr>
        <w:pStyle w:val="aff3"/>
        <w:wordWrap/>
        <w:rPr>
          <w:noProof/>
        </w:rPr>
      </w:pPr>
      <w:r w:rsidRPr="00B612A6">
        <w:rPr>
          <w:noProof/>
        </w:rPr>
        <w:t xml:space="preserve">Davis, Steven J., John Haltiwanger, Kyle Handley, Ron Jarmin, Josh Lerner, and Javier Miranda. 2014. </w:t>
      </w:r>
      <w:r w:rsidR="00456B66">
        <w:rPr>
          <w:noProof/>
        </w:rPr>
        <w:t>"</w:t>
      </w:r>
      <w:r w:rsidRPr="00B612A6">
        <w:rPr>
          <w:noProof/>
        </w:rPr>
        <w:t>Private Equity, Jobs, and Productivity.</w:t>
      </w:r>
      <w:r w:rsidR="00456B66">
        <w:rPr>
          <w:noProof/>
        </w:rPr>
        <w:t>"</w:t>
      </w:r>
      <w:r w:rsidRPr="00B612A6">
        <w:rPr>
          <w:noProof/>
        </w:rPr>
        <w:t xml:space="preserve"> American Economic Review 104 (12): 3956–90. https://doi.org/10.1257/aer.104.12.3956.</w:t>
      </w:r>
    </w:p>
    <w:p w:rsidR="00B612A6" w:rsidRDefault="00B612A6" w:rsidP="00E528F8">
      <w:pPr>
        <w:pStyle w:val="aff3"/>
        <w:wordWrap/>
        <w:rPr>
          <w:noProof/>
        </w:rPr>
      </w:pPr>
      <w:r w:rsidRPr="00B612A6">
        <w:rPr>
          <w:noProof/>
        </w:rPr>
        <w:t xml:space="preserve">Davis, Steven J., John Haltiwanger, Kyle Handley, Ben Lipsius, Josh Lerner, and Javier Miranda. 2025. </w:t>
      </w:r>
      <w:r w:rsidR="00456B66">
        <w:rPr>
          <w:noProof/>
        </w:rPr>
        <w:t>"</w:t>
      </w:r>
      <w:r w:rsidRPr="00B612A6">
        <w:rPr>
          <w:noProof/>
        </w:rPr>
        <w:t>The (Heterogeneous) Economic Effects of Private Equity Buyouts.</w:t>
      </w:r>
      <w:r w:rsidR="00456B66">
        <w:rPr>
          <w:noProof/>
        </w:rPr>
        <w:t>"</w:t>
      </w:r>
      <w:r w:rsidRPr="00B612A6">
        <w:rPr>
          <w:noProof/>
        </w:rPr>
        <w:t xml:space="preserve"> Management Science 71 (11): 9569–87. https://doi.org/10.1287/mnsc.2021.03890.</w:t>
      </w:r>
    </w:p>
    <w:p w:rsidR="005C23D4" w:rsidRPr="005C23D4" w:rsidRDefault="005C23D4" w:rsidP="00E528F8">
      <w:pPr>
        <w:pStyle w:val="aff3"/>
        <w:wordWrap/>
      </w:pPr>
      <w:r w:rsidRPr="005C23D4">
        <w:t xml:space="preserve">Dong, Jing, Junni L. Zhang, Shuxi Zeng, and Fan Li. 2020. </w:t>
      </w:r>
      <w:r w:rsidR="00456B66">
        <w:t>"</w:t>
      </w:r>
      <w:r w:rsidRPr="005C23D4">
        <w:t>Subgroup Balancing Propensity Score.</w:t>
      </w:r>
      <w:r w:rsidR="00456B66">
        <w:t>"</w:t>
      </w:r>
      <w:r w:rsidRPr="005C23D4">
        <w:t xml:space="preserve"> </w:t>
      </w:r>
      <w:r w:rsidRPr="005C23D4">
        <w:rPr>
          <w:i/>
          <w:iCs/>
        </w:rPr>
        <w:t>Statistical Methods in Medical Research</w:t>
      </w:r>
      <w:r w:rsidRPr="005C23D4">
        <w:t xml:space="preserve"> 29(3): 659–676. doi:10.1177/0962280219870836.</w:t>
      </w:r>
    </w:p>
    <w:p w:rsidR="00C83D6F" w:rsidRPr="00C83D6F" w:rsidRDefault="00C83D6F" w:rsidP="00E528F8">
      <w:pPr>
        <w:pStyle w:val="aff3"/>
        <w:wordWrap/>
      </w:pPr>
      <w:r w:rsidRPr="00C83D6F">
        <w:rPr>
          <w:rFonts w:hint="eastAsia"/>
        </w:rPr>
        <w:t xml:space="preserve">Dunne, Timothy, Mark J. Roberts, and Larry Samuelson. 1989. </w:t>
      </w:r>
      <w:r w:rsidR="00456B66">
        <w:t>"</w:t>
      </w:r>
      <w:r w:rsidRPr="00C83D6F">
        <w:rPr>
          <w:rFonts w:hint="eastAsia"/>
        </w:rPr>
        <w:t>Plant Turnover and Gross Employment Flows in the U.S. Manufacturing Sector.</w:t>
      </w:r>
      <w:r w:rsidR="00456B66">
        <w:t>"</w:t>
      </w:r>
      <w:r w:rsidRPr="00C83D6F">
        <w:rPr>
          <w:rFonts w:hint="eastAsia"/>
        </w:rPr>
        <w:t xml:space="preserve"> Journal of Labor Economics 7 (1): 48</w:t>
      </w:r>
      <w:r w:rsidRPr="00C83D6F">
        <w:rPr>
          <w:rFonts w:hint="eastAsia"/>
        </w:rPr>
        <w:t>–</w:t>
      </w:r>
      <w:r w:rsidRPr="00C83D6F">
        <w:rPr>
          <w:rFonts w:hint="eastAsia"/>
        </w:rPr>
        <w:t xml:space="preserve">71. https://doi.org/10.1086/298198. </w:t>
      </w:r>
    </w:p>
    <w:p w:rsidR="00B612A6" w:rsidRDefault="00B612A6" w:rsidP="00E528F8">
      <w:pPr>
        <w:pStyle w:val="aff3"/>
        <w:wordWrap/>
        <w:rPr>
          <w:noProof/>
        </w:rPr>
      </w:pPr>
      <w:r w:rsidRPr="00B612A6">
        <w:rPr>
          <w:noProof/>
        </w:rPr>
        <w:t xml:space="preserve">Fang, Lily, Jim Goldman, and Alexandra Roulet. 2026. </w:t>
      </w:r>
      <w:r w:rsidR="00456B66">
        <w:rPr>
          <w:noProof/>
        </w:rPr>
        <w:t>"</w:t>
      </w:r>
      <w:r w:rsidRPr="00B612A6">
        <w:rPr>
          <w:noProof/>
        </w:rPr>
        <w:t>Private Equity and Pay Gaps Inside the Firm.</w:t>
      </w:r>
      <w:r w:rsidR="00456B66">
        <w:rPr>
          <w:noProof/>
        </w:rPr>
        <w:t>"</w:t>
      </w:r>
      <w:r w:rsidRPr="00B612A6">
        <w:rPr>
          <w:noProof/>
        </w:rPr>
        <w:t xml:space="preserve"> The Journal of Finance 81 (4): 1805–40. https://doi.org/10.1111/jofi.70043.</w:t>
      </w:r>
    </w:p>
    <w:p w:rsidR="00C83D6F" w:rsidRPr="00C83D6F" w:rsidRDefault="00C83D6F" w:rsidP="00E528F8">
      <w:pPr>
        <w:pStyle w:val="aff3"/>
        <w:wordWrap/>
      </w:pPr>
      <w:r w:rsidRPr="00C83D6F">
        <w:rPr>
          <w:rFonts w:hint="eastAsia"/>
        </w:rPr>
        <w:t xml:space="preserve">Gompers, Paul, Steven N. Kaplan, and Vladimir Mukharlyamov. 2016. </w:t>
      </w:r>
      <w:r w:rsidR="00456B66">
        <w:t>"</w:t>
      </w:r>
      <w:r w:rsidRPr="00C83D6F">
        <w:rPr>
          <w:rFonts w:hint="eastAsia"/>
        </w:rPr>
        <w:t>What Do Private Equity Firms Say They Do?</w:t>
      </w:r>
      <w:r w:rsidR="00456B66">
        <w:t>"</w:t>
      </w:r>
      <w:r w:rsidRPr="00C83D6F">
        <w:rPr>
          <w:rFonts w:hint="eastAsia"/>
        </w:rPr>
        <w:t xml:space="preserve"> Journal of Financial Economics 121 (3): 449</w:t>
      </w:r>
      <w:r w:rsidRPr="00C83D6F">
        <w:rPr>
          <w:rFonts w:hint="eastAsia"/>
        </w:rPr>
        <w:t>–</w:t>
      </w:r>
      <w:r w:rsidRPr="00C83D6F">
        <w:rPr>
          <w:rFonts w:hint="eastAsia"/>
        </w:rPr>
        <w:t>76. https://doi.org/10.1016/j.jfineco.2016.06.003.</w:t>
      </w:r>
    </w:p>
    <w:p w:rsidR="00B612A6" w:rsidRDefault="00B612A6" w:rsidP="00E528F8">
      <w:pPr>
        <w:pStyle w:val="aff3"/>
        <w:wordWrap/>
        <w:rPr>
          <w:noProof/>
        </w:rPr>
      </w:pPr>
      <w:r w:rsidRPr="00B612A6">
        <w:rPr>
          <w:noProof/>
        </w:rPr>
        <w:t xml:space="preserve">Herkenhoff, Kyle, Josh Lerner, Gordon Phillips, Francisca Rebelo, and Benjamin Sampson. 2025. Private Equity and Workers: Modeling and Measuring Monopsony, Implicit Contracts, and Efficient </w:t>
      </w:r>
      <w:r w:rsidRPr="00B612A6">
        <w:rPr>
          <w:noProof/>
        </w:rPr>
        <w:lastRenderedPageBreak/>
        <w:t>Reallocation. Working Paper No. 33942. National Bureau of Economic Research. https://doi.org/10.3386/w33942.</w:t>
      </w:r>
    </w:p>
    <w:p w:rsidR="00C83D6F" w:rsidRPr="00C83D6F" w:rsidRDefault="00C83D6F" w:rsidP="00E528F8">
      <w:pPr>
        <w:pStyle w:val="aff3"/>
        <w:wordWrap/>
      </w:pPr>
      <w:r w:rsidRPr="00C83D6F">
        <w:t xml:space="preserve">Iacus, Stefano M., Gary King, and Giuseppe Porro. 2012. </w:t>
      </w:r>
      <w:r w:rsidR="00456B66">
        <w:t>"</w:t>
      </w:r>
      <w:r w:rsidRPr="00C83D6F">
        <w:t>Causal Inference without Balance Checking: Coarsened Exact Matching.</w:t>
      </w:r>
      <w:r w:rsidR="00456B66">
        <w:t>"</w:t>
      </w:r>
      <w:r w:rsidRPr="00C83D6F">
        <w:t xml:space="preserve"> Political Analysis 20 (1): 1–24. https://doi.org/10.1093/pan/mpr013.</w:t>
      </w:r>
    </w:p>
    <w:p w:rsidR="00C83D6F" w:rsidRDefault="00C83D6F" w:rsidP="00E528F8">
      <w:pPr>
        <w:pStyle w:val="aff3"/>
        <w:wordWrap/>
      </w:pPr>
      <w:r w:rsidRPr="00C83D6F">
        <w:rPr>
          <w:rFonts w:hint="eastAsia"/>
        </w:rPr>
        <w:t xml:space="preserve">Kaplan, Steven N., and Antoinette Schoar. 2005. </w:t>
      </w:r>
      <w:r w:rsidR="00456B66">
        <w:t>"</w:t>
      </w:r>
      <w:r w:rsidRPr="00C83D6F">
        <w:rPr>
          <w:rFonts w:hint="eastAsia"/>
        </w:rPr>
        <w:t>Private Equity Performance: Returns, Persistence, and Capital Flows.</w:t>
      </w:r>
      <w:r w:rsidR="00456B66">
        <w:t>"</w:t>
      </w:r>
      <w:r w:rsidRPr="00C83D6F">
        <w:rPr>
          <w:rFonts w:hint="eastAsia"/>
        </w:rPr>
        <w:t xml:space="preserve"> Journal of Finance 60 (4): 1791</w:t>
      </w:r>
      <w:r w:rsidRPr="00C83D6F">
        <w:rPr>
          <w:rFonts w:hint="eastAsia"/>
        </w:rPr>
        <w:t>–</w:t>
      </w:r>
      <w:r w:rsidRPr="00C83D6F">
        <w:rPr>
          <w:rFonts w:hint="eastAsia"/>
        </w:rPr>
        <w:t xml:space="preserve">1823. https://doi.org/10.1111/j.1540-6261.2005.00780.x. </w:t>
      </w:r>
    </w:p>
    <w:p w:rsidR="00C83D6F" w:rsidRPr="00C83D6F" w:rsidRDefault="00C83D6F" w:rsidP="00E528F8">
      <w:pPr>
        <w:pStyle w:val="aff3"/>
        <w:wordWrap/>
      </w:pPr>
      <w:r w:rsidRPr="00C83D6F">
        <w:rPr>
          <w:rFonts w:hint="eastAsia"/>
        </w:rPr>
        <w:t xml:space="preserve">Kaplan, Steven N., and Per Strömberg. 2009. </w:t>
      </w:r>
      <w:r w:rsidR="00456B66">
        <w:t>"</w:t>
      </w:r>
      <w:r w:rsidRPr="00C83D6F">
        <w:rPr>
          <w:rFonts w:hint="eastAsia"/>
        </w:rPr>
        <w:t>Leveraged Buyouts and Private Equity.</w:t>
      </w:r>
      <w:r w:rsidR="00456B66">
        <w:t>"</w:t>
      </w:r>
      <w:r w:rsidRPr="00C83D6F">
        <w:rPr>
          <w:rFonts w:hint="eastAsia"/>
        </w:rPr>
        <w:t xml:space="preserve"> Journal of Economic Perspectives 23 (1): 121</w:t>
      </w:r>
      <w:r w:rsidRPr="00C83D6F">
        <w:rPr>
          <w:rFonts w:hint="eastAsia"/>
        </w:rPr>
        <w:t>–</w:t>
      </w:r>
      <w:r w:rsidRPr="00C83D6F">
        <w:rPr>
          <w:rFonts w:hint="eastAsia"/>
        </w:rPr>
        <w:t>46. https://doi.org/10.1257/jep.23.1.121.</w:t>
      </w:r>
    </w:p>
    <w:p w:rsidR="00B612A6" w:rsidRPr="00B612A6" w:rsidRDefault="00B612A6" w:rsidP="00E528F8">
      <w:pPr>
        <w:pStyle w:val="aff3"/>
        <w:wordWrap/>
        <w:rPr>
          <w:noProof/>
        </w:rPr>
      </w:pPr>
      <w:r w:rsidRPr="00B612A6">
        <w:rPr>
          <w:noProof/>
        </w:rPr>
        <w:t xml:space="preserve">Koo, Jahyun. 2016. </w:t>
      </w:r>
      <w:r w:rsidR="00456B66">
        <w:rPr>
          <w:noProof/>
        </w:rPr>
        <w:t>"</w:t>
      </w:r>
      <w:r w:rsidRPr="00B612A6">
        <w:rPr>
          <w:noProof/>
        </w:rPr>
        <w:t>Private Equity as an Alternative Corporate Restructuring Scheme: Does Private Equity Increase the Operating Performance of PE-Backed Firms?</w:t>
      </w:r>
      <w:r w:rsidR="00456B66">
        <w:rPr>
          <w:noProof/>
        </w:rPr>
        <w:t>"</w:t>
      </w:r>
      <w:r w:rsidRPr="00B612A6">
        <w:rPr>
          <w:noProof/>
        </w:rPr>
        <w:t xml:space="preserve"> KDI Journal of Economic Policy 38 (2): 21–44. https://doi.org/10.23895/kdijep.2016.38.2.21.</w:t>
      </w:r>
    </w:p>
    <w:p w:rsidR="00B612A6" w:rsidRPr="00B612A6" w:rsidRDefault="00B612A6" w:rsidP="00E528F8">
      <w:pPr>
        <w:pStyle w:val="aff3"/>
        <w:wordWrap/>
        <w:rPr>
          <w:noProof/>
        </w:rPr>
      </w:pPr>
      <w:r w:rsidRPr="00B612A6">
        <w:rPr>
          <w:noProof/>
        </w:rPr>
        <w:t xml:space="preserve">Olsson, Martin, and Joacim Tåg. 2017. </w:t>
      </w:r>
      <w:r w:rsidR="00456B66">
        <w:rPr>
          <w:noProof/>
        </w:rPr>
        <w:t>"</w:t>
      </w:r>
      <w:r w:rsidRPr="00B612A6">
        <w:rPr>
          <w:noProof/>
        </w:rPr>
        <w:t>Private Equity, Layoffs, and Job Polarization.</w:t>
      </w:r>
      <w:r w:rsidR="00456B66">
        <w:rPr>
          <w:noProof/>
        </w:rPr>
        <w:t>"</w:t>
      </w:r>
      <w:r w:rsidRPr="00B612A6">
        <w:rPr>
          <w:noProof/>
        </w:rPr>
        <w:t xml:space="preserve"> Journal of Labor Economics 35 (3): 697–754. https://doi.org/10.1086/690712.</w:t>
      </w:r>
    </w:p>
    <w:p w:rsidR="00B612A6" w:rsidRDefault="00B612A6" w:rsidP="00E528F8">
      <w:pPr>
        <w:pStyle w:val="aff3"/>
        <w:wordWrap/>
        <w:rPr>
          <w:noProof/>
        </w:rPr>
      </w:pPr>
      <w:r w:rsidRPr="00B612A6">
        <w:rPr>
          <w:noProof/>
        </w:rPr>
        <w:t xml:space="preserve">Rambachan, Ashesh, and Jonathan Roth. 2023. </w:t>
      </w:r>
      <w:r w:rsidR="00456B66">
        <w:rPr>
          <w:noProof/>
        </w:rPr>
        <w:t>"</w:t>
      </w:r>
      <w:r w:rsidRPr="00B612A6">
        <w:rPr>
          <w:noProof/>
        </w:rPr>
        <w:t>A More Credible Approach to Parallel Trends.</w:t>
      </w:r>
      <w:r w:rsidR="00456B66">
        <w:rPr>
          <w:noProof/>
        </w:rPr>
        <w:t>"</w:t>
      </w:r>
      <w:r w:rsidRPr="00B612A6">
        <w:rPr>
          <w:noProof/>
        </w:rPr>
        <w:t xml:space="preserve"> Review of Economic Studies 90 (5): 2555–91. https://doi.org/10.1093/restud/rdad018.</w:t>
      </w:r>
    </w:p>
    <w:p w:rsidR="00C83D6F" w:rsidRDefault="00C83D6F" w:rsidP="00E528F8">
      <w:pPr>
        <w:pStyle w:val="aff3"/>
        <w:wordWrap/>
      </w:pPr>
      <w:r w:rsidRPr="00C83D6F">
        <w:rPr>
          <w:rFonts w:hint="eastAsia"/>
        </w:rPr>
        <w:t xml:space="preserve">Stuart, Elizabeth A. 2010. </w:t>
      </w:r>
      <w:r w:rsidR="00456B66">
        <w:t>"</w:t>
      </w:r>
      <w:r w:rsidRPr="00C83D6F">
        <w:rPr>
          <w:rFonts w:hint="eastAsia"/>
        </w:rPr>
        <w:t>Matching Methods for Causal Inference: A Review and a Look Forward.</w:t>
      </w:r>
      <w:r w:rsidR="00456B66">
        <w:t>"</w:t>
      </w:r>
      <w:r w:rsidRPr="00C83D6F">
        <w:rPr>
          <w:rFonts w:hint="eastAsia"/>
        </w:rPr>
        <w:t xml:space="preserve"> Statistical Science 25 (1): 1</w:t>
      </w:r>
      <w:r w:rsidRPr="00C83D6F">
        <w:rPr>
          <w:rFonts w:hint="eastAsia"/>
        </w:rPr>
        <w:t>–</w:t>
      </w:r>
      <w:r w:rsidRPr="00C83D6F">
        <w:rPr>
          <w:rFonts w:hint="eastAsia"/>
        </w:rPr>
        <w:t xml:space="preserve">21. https://doi.org/10.1214/09-STS313. </w:t>
      </w:r>
    </w:p>
    <w:p w:rsidR="005C23D4" w:rsidRPr="005C23D4" w:rsidRDefault="005C23D4" w:rsidP="00E528F8">
      <w:pPr>
        <w:pStyle w:val="aff3"/>
        <w:wordWrap/>
      </w:pPr>
      <w:r w:rsidRPr="005C23D4">
        <w:t xml:space="preserve">Yang, Siyun, Elizabeth Lorenzi, Georgia Papadogeorgou, Daniel M. Wojdyla, Fan Li, and Laine E. Thomas. 2021. </w:t>
      </w:r>
      <w:r w:rsidR="00456B66">
        <w:t>"</w:t>
      </w:r>
      <w:r w:rsidRPr="005C23D4">
        <w:t>Propensity Score Weighting for Causal Subgroup Analysis.</w:t>
      </w:r>
      <w:r w:rsidR="00456B66">
        <w:t>"</w:t>
      </w:r>
      <w:r w:rsidRPr="005C23D4">
        <w:t xml:space="preserve"> Statistics in Medicine 40(19): 4294–4309. doi:10.1002/sim.9029.</w:t>
      </w:r>
    </w:p>
    <w:sectPr w:rsidR="005C23D4" w:rsidRPr="005C23D4" w:rsidSect="00F2490B">
      <w:footerReference w:type="default" r:id="rId10"/>
      <w:pgSz w:w="11907" w:h="16839" w:code="9"/>
      <w:pgMar w:top="1701" w:right="1440" w:bottom="1440" w:left="1440" w:header="851" w:footer="645" w:gutter="0"/>
      <w:cols w:space="425"/>
      <w:docGrid w:type="linesAndChars" w:linePitch="42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49AF" w:rsidRDefault="003949AF">
      <w:r>
        <w:separator/>
      </w:r>
    </w:p>
    <w:p w:rsidR="003949AF" w:rsidRDefault="003949AF"/>
  </w:endnote>
  <w:endnote w:type="continuationSeparator" w:id="0">
    <w:p w:rsidR="003949AF" w:rsidRDefault="003949AF">
      <w:r>
        <w:continuationSeparator/>
      </w:r>
    </w:p>
    <w:p w:rsidR="003949AF" w:rsidRDefault="003949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Palatino">
    <w:panose1 w:val="00000000000000000000"/>
    <w:charset w:val="00"/>
    <w:family w:val="roman"/>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견명조">
    <w:panose1 w:val="02030600000101010101"/>
    <w:charset w:val="81"/>
    <w:family w:val="roman"/>
    <w:pitch w:val="variable"/>
    <w:sig w:usb0="00000001" w:usb1="09060000" w:usb2="00000010" w:usb3="00000000" w:csb0="00080000" w:csb1="00000000"/>
  </w:font>
  <w:font w:name="Arial Narrow">
    <w:panose1 w:val="020B0606020202030204"/>
    <w:charset w:val="00"/>
    <w:family w:val="swiss"/>
    <w:pitch w:val="variable"/>
    <w:sig w:usb0="00000287" w:usb1="000008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휴먼고딕">
    <w:altName w:val="훈민일본어sJIS"/>
    <w:charset w:val="81"/>
    <w:family w:val="auto"/>
    <w:pitch w:val="variable"/>
    <w:sig w:usb0="800002A7" w:usb1="19D77CFB" w:usb2="00000010" w:usb3="00000000" w:csb0="00080000" w:csb1="00000000"/>
  </w:font>
  <w:font w:name="HCI Hollyhock">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8567724"/>
      <w:docPartObj>
        <w:docPartGallery w:val="Page Numbers (Bottom of Page)"/>
        <w:docPartUnique/>
      </w:docPartObj>
    </w:sdtPr>
    <w:sdtContent>
      <w:p w:rsidR="004E4243" w:rsidRDefault="004E4243">
        <w:pPr>
          <w:pStyle w:val="a9"/>
          <w:jc w:val="center"/>
        </w:pPr>
        <w:r>
          <w:fldChar w:fldCharType="begin"/>
        </w:r>
        <w:r>
          <w:instrText>PAGE   \* MERGEFORMAT</w:instrText>
        </w:r>
        <w:r>
          <w:fldChar w:fldCharType="separate"/>
        </w:r>
        <w:r w:rsidR="00374CB5" w:rsidRPr="00374CB5">
          <w:rPr>
            <w:noProof/>
            <w:lang w:val="ko-KR"/>
          </w:rPr>
          <w:t>1</w:t>
        </w:r>
        <w:r>
          <w:fldChar w:fldCharType="end"/>
        </w:r>
      </w:p>
    </w:sdtContent>
  </w:sdt>
  <w:p w:rsidR="004E4243" w:rsidRDefault="004E4243">
    <w:pPr>
      <w:pStyle w:val="a9"/>
    </w:pPr>
  </w:p>
  <w:p w:rsidR="004E4243" w:rsidRDefault="004E4243"/>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49AF" w:rsidRDefault="003949AF">
      <w:r>
        <w:separator/>
      </w:r>
    </w:p>
  </w:footnote>
  <w:footnote w:type="continuationSeparator" w:id="0">
    <w:p w:rsidR="003949AF" w:rsidRDefault="003949AF">
      <w:r>
        <w:continuationSeparator/>
      </w:r>
    </w:p>
    <w:p w:rsidR="003949AF" w:rsidRDefault="003949AF"/>
  </w:footnote>
  <w:footnote w:id="1">
    <w:p w:rsidR="004E4243" w:rsidRDefault="004E4243" w:rsidP="00FA47CE">
      <w:pPr>
        <w:pStyle w:val="ad"/>
        <w:adjustRightInd w:val="0"/>
      </w:pPr>
      <w:r>
        <w:rPr>
          <w:rStyle w:val="ac"/>
        </w:rPr>
        <w:footnoteRef/>
      </w:r>
      <w:r>
        <w:t xml:space="preserve"> A </w:t>
      </w:r>
      <w:r>
        <w:rPr>
          <w:i/>
          <w:iCs/>
        </w:rPr>
        <w:t>saeopjang</w:t>
      </w:r>
      <w:r>
        <w:t xml:space="preserve"> is </w:t>
      </w:r>
      <w:r w:rsidRPr="009D23FF">
        <w:t>the administrative workplace unit used for National Pension reporting and need not correspond one-for-one to an economic firm. We construct the panel using the business registration number associated with the pension filing and separately check changes in the number of registered workplaces around private equity transactions.</w:t>
      </w:r>
    </w:p>
  </w:footnote>
  <w:footnote w:id="2">
    <w:p w:rsidR="004E4243" w:rsidRDefault="004E4243" w:rsidP="00680828">
      <w:pPr>
        <w:pStyle w:val="ad"/>
      </w:pPr>
      <w:r w:rsidRPr="00680828">
        <w:rPr>
          <w:rStyle w:val="ac"/>
          <w:color w:val="000000" w:themeColor="text1"/>
        </w:rPr>
        <w:footnoteRef/>
      </w:r>
      <w:r w:rsidRPr="00680828">
        <w:rPr>
          <w:color w:val="000000" w:themeColor="text1"/>
        </w:rPr>
        <w:t xml:space="preserve"> Transactions are linked first using business registration numbers. Additional links recovered through firm names are manually reviewed before inclusion, and ambiguous candidate matches are excluded. Among the 379 events in the baseline matched universe, 283 are direct business-registration-number links and 96 are reviewed name-based recoveries. We do not report a separate count of rejected candidates because they are not part of the matched event universe.</w:t>
      </w:r>
    </w:p>
  </w:footnote>
  <w:footnote w:id="3">
    <w:p w:rsidR="004E4243" w:rsidRDefault="004E4243" w:rsidP="00680828">
      <w:pPr>
        <w:pStyle w:val="ad"/>
      </w:pPr>
      <w:r>
        <w:rPr>
          <w:rStyle w:val="ac"/>
        </w:rPr>
        <w:footnoteRef/>
      </w:r>
      <w:r>
        <w:t xml:space="preserve"> "Private equity"</w:t>
      </w:r>
      <w:r w:rsidRPr="00A54430">
        <w:t xml:space="preserve"> follows the transaction classification used to construct the PitchBook sample rather than a single statutory fund category. The treatment set includes minority growth investments as well as transactions involving control.</w:t>
      </w:r>
    </w:p>
  </w:footnote>
  <w:footnote w:id="4">
    <w:p w:rsidR="004E4243" w:rsidRDefault="004E4243">
      <w:pPr>
        <w:pStyle w:val="ad"/>
      </w:pPr>
      <w:r>
        <w:rPr>
          <w:rStyle w:val="ac"/>
        </w:rPr>
        <w:footnoteRef/>
      </w:r>
      <w:r>
        <w:t xml:space="preserve"> </w:t>
      </w:r>
      <w:r w:rsidRPr="00A54430">
        <w:t>The baseline matched universe spans December 2016 through June 2026. Because matching uses pre-investment covariates, an event can enter the matching universe even when it occurs too late to contribute a complete post-investment outcome. Such events are excluded from the corresponding outcome-specific samples.</w:t>
      </w:r>
    </w:p>
  </w:footnote>
  <w:footnote w:id="5">
    <w:p w:rsidR="004E4243" w:rsidRPr="00A54430" w:rsidRDefault="004E4243" w:rsidP="00680828">
      <w:pPr>
        <w:pStyle w:val="ad"/>
        <w:rPr>
          <w:color w:val="FF0000"/>
        </w:rPr>
      </w:pPr>
      <w:r w:rsidRPr="00A54430">
        <w:rPr>
          <w:rStyle w:val="ac"/>
        </w:rPr>
        <w:footnoteRef/>
      </w:r>
      <w:r w:rsidRPr="00A54430">
        <w:t xml:space="preserve"> </w:t>
      </w:r>
      <w:r w:rsidRPr="00680828">
        <w:t>The log specification requires positive worker entries in both the pre- and post-investment windows. Three treated events are removed by this restriction. Online Appendix B.3 reports transformations that retain zero-entry windows.</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B0CD1"/>
    <w:multiLevelType w:val="multilevel"/>
    <w:tmpl w:val="6A62A7A6"/>
    <w:lvl w:ilvl="0">
      <w:start w:val="1"/>
      <w:numFmt w:val="upperRoman"/>
      <w:pStyle w:val="11"/>
      <w:lvlText w:val="%1"/>
      <w:lvlJc w:val="center"/>
      <w:pPr>
        <w:tabs>
          <w:tab w:val="num" w:pos="555"/>
        </w:tabs>
        <w:ind w:left="555" w:hanging="267"/>
      </w:pPr>
      <w:rPr>
        <w:rFonts w:hint="eastAsia"/>
      </w:rPr>
    </w:lvl>
    <w:lvl w:ilvl="1">
      <w:start w:val="1"/>
      <w:numFmt w:val="decimal"/>
      <w:lvlText w:val="2.%2"/>
      <w:lvlJc w:val="left"/>
      <w:pPr>
        <w:tabs>
          <w:tab w:val="num" w:pos="555"/>
        </w:tabs>
        <w:ind w:left="555" w:hanging="555"/>
      </w:pPr>
      <w:rPr>
        <w:rFonts w:hint="eastAsia"/>
      </w:rPr>
    </w:lvl>
    <w:lvl w:ilvl="2">
      <w:start w:val="1"/>
      <w:numFmt w:val="decimal"/>
      <w:lvlRestart w:val="1"/>
      <w:lvlText w:val="2.%2.%3"/>
      <w:lvlJc w:val="left"/>
      <w:pPr>
        <w:tabs>
          <w:tab w:val="num" w:pos="555"/>
        </w:tabs>
        <w:ind w:left="555" w:hanging="555"/>
      </w:pPr>
      <w:rPr>
        <w:rFonts w:hint="eastAsia"/>
      </w:rPr>
    </w:lvl>
    <w:lvl w:ilvl="3">
      <w:start w:val="1"/>
      <w:numFmt w:val="decimal"/>
      <w:lvlText w:val="2.%2.%3.%4"/>
      <w:lvlJc w:val="left"/>
      <w:pPr>
        <w:tabs>
          <w:tab w:val="num" w:pos="555"/>
        </w:tabs>
        <w:ind w:left="555" w:hanging="555"/>
      </w:pPr>
      <w:rPr>
        <w:rFonts w:hint="eastAsia"/>
      </w:rPr>
    </w:lvl>
    <w:lvl w:ilvl="4">
      <w:start w:val="1"/>
      <w:numFmt w:val="decimal"/>
      <w:lvlText w:val="2.%2.%3.%4.%5"/>
      <w:lvlJc w:val="left"/>
      <w:pPr>
        <w:tabs>
          <w:tab w:val="num" w:pos="555"/>
        </w:tabs>
        <w:ind w:left="555" w:hanging="555"/>
      </w:pPr>
      <w:rPr>
        <w:rFonts w:hint="eastAsia"/>
      </w:rPr>
    </w:lvl>
    <w:lvl w:ilvl="5">
      <w:start w:val="1"/>
      <w:numFmt w:val="decimal"/>
      <w:lvlText w:val="1.%2.%3.%4.%5.%6"/>
      <w:lvlJc w:val="left"/>
      <w:pPr>
        <w:tabs>
          <w:tab w:val="num" w:pos="555"/>
        </w:tabs>
        <w:ind w:left="555" w:hanging="555"/>
      </w:pPr>
      <w:rPr>
        <w:rFonts w:hint="eastAsia"/>
      </w:rPr>
    </w:lvl>
    <w:lvl w:ilvl="6">
      <w:start w:val="1"/>
      <w:numFmt w:val="decimal"/>
      <w:lvlText w:val="%1.%2.%3.%4.%5.%6.%7"/>
      <w:lvlJc w:val="left"/>
      <w:pPr>
        <w:tabs>
          <w:tab w:val="num" w:pos="555"/>
        </w:tabs>
        <w:ind w:left="555" w:hanging="555"/>
      </w:pPr>
      <w:rPr>
        <w:rFonts w:hint="eastAsia"/>
      </w:rPr>
    </w:lvl>
    <w:lvl w:ilvl="7">
      <w:start w:val="1"/>
      <w:numFmt w:val="decimal"/>
      <w:lvlText w:val="%1.%2.%3.%4.%5.%6.%7.%8"/>
      <w:lvlJc w:val="left"/>
      <w:pPr>
        <w:tabs>
          <w:tab w:val="num" w:pos="555"/>
        </w:tabs>
        <w:ind w:left="555" w:hanging="555"/>
      </w:pPr>
      <w:rPr>
        <w:rFonts w:hint="eastAsia"/>
      </w:rPr>
    </w:lvl>
    <w:lvl w:ilvl="8">
      <w:start w:val="1"/>
      <w:numFmt w:val="decimal"/>
      <w:lvlText w:val="%1.%2.%3.%4.%5.%6.%7.%8.%9"/>
      <w:lvlJc w:val="left"/>
      <w:pPr>
        <w:tabs>
          <w:tab w:val="num" w:pos="555"/>
        </w:tabs>
        <w:ind w:left="555" w:hanging="555"/>
      </w:pPr>
      <w:rPr>
        <w:rFonts w:hint="eastAsia"/>
      </w:rPr>
    </w:lvl>
  </w:abstractNum>
  <w:abstractNum w:abstractNumId="1" w15:restartNumberingAfterBreak="0">
    <w:nsid w:val="26FE1FCF"/>
    <w:multiLevelType w:val="multilevel"/>
    <w:tmpl w:val="33826962"/>
    <w:lvl w:ilvl="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3" w15:restartNumberingAfterBreak="0">
    <w:nsid w:val="4F605694"/>
    <w:multiLevelType w:val="singleLevel"/>
    <w:tmpl w:val="27B489C0"/>
    <w:lvl w:ilvl="0">
      <w:start w:val="1"/>
      <w:numFmt w:val="decimal"/>
      <w:pStyle w:val="a"/>
      <w:lvlText w:val="[%1]"/>
      <w:lvlJc w:val="left"/>
      <w:pPr>
        <w:tabs>
          <w:tab w:val="num" w:pos="360"/>
        </w:tabs>
        <w:ind w:left="360" w:hanging="360"/>
      </w:pPr>
      <w:rPr>
        <w:rFonts w:hint="eastAsia"/>
      </w:rPr>
    </w:lvl>
  </w:abstractNum>
  <w:abstractNum w:abstractNumId="4" w15:restartNumberingAfterBreak="0">
    <w:nsid w:val="52CA544A"/>
    <w:multiLevelType w:val="singleLevel"/>
    <w:tmpl w:val="AED6D67E"/>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16"/>
        <w:szCs w:val="16"/>
      </w:rPr>
    </w:lvl>
  </w:abstractNum>
  <w:num w:numId="1">
    <w:abstractNumId w:val="0"/>
  </w:num>
  <w:num w:numId="2">
    <w:abstractNumId w:val="4"/>
  </w:num>
  <w:num w:numId="3">
    <w:abstractNumId w:val="3"/>
  </w:num>
  <w:num w:numId="4">
    <w:abstractNumId w:val="2"/>
  </w:num>
  <w:num w:numId="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2"/>
  <w:autoHyphenation/>
  <w:hyphenationZone w:val="357"/>
  <w:drawingGridHorizontalSpacing w:val="100"/>
  <w:drawingGridVerticalSpacing w:val="211"/>
  <w:displayHorizontalDrawingGridEvery w:val="0"/>
  <w:displayVerticalDrawingGridEvery w:val="2"/>
  <w:doNotShadeFormData/>
  <w:noPunctuationKerning/>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26E"/>
    <w:rsid w:val="000001F4"/>
    <w:rsid w:val="000004E5"/>
    <w:rsid w:val="00000A73"/>
    <w:rsid w:val="00000B50"/>
    <w:rsid w:val="0000101D"/>
    <w:rsid w:val="00001760"/>
    <w:rsid w:val="000022F3"/>
    <w:rsid w:val="0000276A"/>
    <w:rsid w:val="00002C63"/>
    <w:rsid w:val="00002FF3"/>
    <w:rsid w:val="000031A6"/>
    <w:rsid w:val="000031E6"/>
    <w:rsid w:val="000032B1"/>
    <w:rsid w:val="00003362"/>
    <w:rsid w:val="00003E48"/>
    <w:rsid w:val="00003E86"/>
    <w:rsid w:val="00004169"/>
    <w:rsid w:val="00004A2E"/>
    <w:rsid w:val="00005647"/>
    <w:rsid w:val="00005679"/>
    <w:rsid w:val="000056DC"/>
    <w:rsid w:val="00005789"/>
    <w:rsid w:val="00005864"/>
    <w:rsid w:val="00005893"/>
    <w:rsid w:val="00005FD1"/>
    <w:rsid w:val="00006716"/>
    <w:rsid w:val="00006890"/>
    <w:rsid w:val="00006975"/>
    <w:rsid w:val="00006EC9"/>
    <w:rsid w:val="0000714E"/>
    <w:rsid w:val="00007586"/>
    <w:rsid w:val="00007B15"/>
    <w:rsid w:val="00007D0C"/>
    <w:rsid w:val="00007EAC"/>
    <w:rsid w:val="00010391"/>
    <w:rsid w:val="00010CBC"/>
    <w:rsid w:val="00010D42"/>
    <w:rsid w:val="00012661"/>
    <w:rsid w:val="00013B8E"/>
    <w:rsid w:val="00015007"/>
    <w:rsid w:val="000152A3"/>
    <w:rsid w:val="0001536E"/>
    <w:rsid w:val="00015FDF"/>
    <w:rsid w:val="00016107"/>
    <w:rsid w:val="0001622A"/>
    <w:rsid w:val="000167DA"/>
    <w:rsid w:val="00016970"/>
    <w:rsid w:val="00016ADC"/>
    <w:rsid w:val="00017827"/>
    <w:rsid w:val="000178FB"/>
    <w:rsid w:val="00017BDB"/>
    <w:rsid w:val="00017C5B"/>
    <w:rsid w:val="00017CB9"/>
    <w:rsid w:val="0002011E"/>
    <w:rsid w:val="000204FE"/>
    <w:rsid w:val="0002078F"/>
    <w:rsid w:val="00020F4E"/>
    <w:rsid w:val="00021908"/>
    <w:rsid w:val="00021C01"/>
    <w:rsid w:val="00022101"/>
    <w:rsid w:val="00022EA5"/>
    <w:rsid w:val="00023044"/>
    <w:rsid w:val="0002308F"/>
    <w:rsid w:val="0002323F"/>
    <w:rsid w:val="000237FE"/>
    <w:rsid w:val="00023D65"/>
    <w:rsid w:val="0002409B"/>
    <w:rsid w:val="00025051"/>
    <w:rsid w:val="00025648"/>
    <w:rsid w:val="00025CD6"/>
    <w:rsid w:val="00025CD9"/>
    <w:rsid w:val="00025F16"/>
    <w:rsid w:val="000268AC"/>
    <w:rsid w:val="000268F5"/>
    <w:rsid w:val="00026B64"/>
    <w:rsid w:val="00026DB6"/>
    <w:rsid w:val="00026FB2"/>
    <w:rsid w:val="000271EF"/>
    <w:rsid w:val="00027243"/>
    <w:rsid w:val="0002760B"/>
    <w:rsid w:val="000278EF"/>
    <w:rsid w:val="00027B72"/>
    <w:rsid w:val="0003048D"/>
    <w:rsid w:val="00030686"/>
    <w:rsid w:val="000307A1"/>
    <w:rsid w:val="00030E5A"/>
    <w:rsid w:val="00031087"/>
    <w:rsid w:val="00031952"/>
    <w:rsid w:val="00031EA4"/>
    <w:rsid w:val="0003348F"/>
    <w:rsid w:val="0003366A"/>
    <w:rsid w:val="000338D4"/>
    <w:rsid w:val="0003397E"/>
    <w:rsid w:val="00033A45"/>
    <w:rsid w:val="00033AB0"/>
    <w:rsid w:val="00033E28"/>
    <w:rsid w:val="00034168"/>
    <w:rsid w:val="00034AA0"/>
    <w:rsid w:val="00034D9D"/>
    <w:rsid w:val="00034DFF"/>
    <w:rsid w:val="0003516A"/>
    <w:rsid w:val="000352FC"/>
    <w:rsid w:val="000353E7"/>
    <w:rsid w:val="000356D9"/>
    <w:rsid w:val="00035AA6"/>
    <w:rsid w:val="00035AAF"/>
    <w:rsid w:val="00035EA7"/>
    <w:rsid w:val="0003660E"/>
    <w:rsid w:val="00036799"/>
    <w:rsid w:val="000368AF"/>
    <w:rsid w:val="00036F9B"/>
    <w:rsid w:val="00036FE6"/>
    <w:rsid w:val="0003713C"/>
    <w:rsid w:val="0003744E"/>
    <w:rsid w:val="00037F33"/>
    <w:rsid w:val="00040682"/>
    <w:rsid w:val="00040C39"/>
    <w:rsid w:val="00041289"/>
    <w:rsid w:val="00041A9F"/>
    <w:rsid w:val="00041F9F"/>
    <w:rsid w:val="000422B8"/>
    <w:rsid w:val="000424DA"/>
    <w:rsid w:val="00042739"/>
    <w:rsid w:val="00042B4C"/>
    <w:rsid w:val="00043210"/>
    <w:rsid w:val="0004443E"/>
    <w:rsid w:val="000444EE"/>
    <w:rsid w:val="00044591"/>
    <w:rsid w:val="0004465F"/>
    <w:rsid w:val="00044D18"/>
    <w:rsid w:val="00045074"/>
    <w:rsid w:val="000455C1"/>
    <w:rsid w:val="000456A9"/>
    <w:rsid w:val="00045DF8"/>
    <w:rsid w:val="00045F0B"/>
    <w:rsid w:val="000462CA"/>
    <w:rsid w:val="00046419"/>
    <w:rsid w:val="000465E8"/>
    <w:rsid w:val="00046950"/>
    <w:rsid w:val="000471C3"/>
    <w:rsid w:val="0004745E"/>
    <w:rsid w:val="000477FF"/>
    <w:rsid w:val="000478E9"/>
    <w:rsid w:val="0005098B"/>
    <w:rsid w:val="00051151"/>
    <w:rsid w:val="0005281F"/>
    <w:rsid w:val="00052FA8"/>
    <w:rsid w:val="00052FBA"/>
    <w:rsid w:val="0005309F"/>
    <w:rsid w:val="00053402"/>
    <w:rsid w:val="000537DD"/>
    <w:rsid w:val="00053DD7"/>
    <w:rsid w:val="00053F51"/>
    <w:rsid w:val="00054634"/>
    <w:rsid w:val="00054648"/>
    <w:rsid w:val="000548D1"/>
    <w:rsid w:val="00054B3B"/>
    <w:rsid w:val="00056C9F"/>
    <w:rsid w:val="00056F0C"/>
    <w:rsid w:val="00057227"/>
    <w:rsid w:val="000573CB"/>
    <w:rsid w:val="000575A1"/>
    <w:rsid w:val="00057B78"/>
    <w:rsid w:val="000608AB"/>
    <w:rsid w:val="0006098E"/>
    <w:rsid w:val="0006153F"/>
    <w:rsid w:val="00061879"/>
    <w:rsid w:val="00061912"/>
    <w:rsid w:val="00061A31"/>
    <w:rsid w:val="00061C85"/>
    <w:rsid w:val="00061F0E"/>
    <w:rsid w:val="000628C0"/>
    <w:rsid w:val="000629B8"/>
    <w:rsid w:val="00062A4B"/>
    <w:rsid w:val="00062AC6"/>
    <w:rsid w:val="00062C08"/>
    <w:rsid w:val="00063011"/>
    <w:rsid w:val="00063110"/>
    <w:rsid w:val="0006364B"/>
    <w:rsid w:val="00063741"/>
    <w:rsid w:val="00064057"/>
    <w:rsid w:val="0006456E"/>
    <w:rsid w:val="00064D3C"/>
    <w:rsid w:val="000650C8"/>
    <w:rsid w:val="0006516C"/>
    <w:rsid w:val="00065243"/>
    <w:rsid w:val="00065872"/>
    <w:rsid w:val="00065F3A"/>
    <w:rsid w:val="000660E6"/>
    <w:rsid w:val="00066A65"/>
    <w:rsid w:val="00066C23"/>
    <w:rsid w:val="00066E58"/>
    <w:rsid w:val="00066ED1"/>
    <w:rsid w:val="00066F85"/>
    <w:rsid w:val="00067A17"/>
    <w:rsid w:val="00067E18"/>
    <w:rsid w:val="000700C0"/>
    <w:rsid w:val="000711F4"/>
    <w:rsid w:val="000714E6"/>
    <w:rsid w:val="0007192C"/>
    <w:rsid w:val="00071AB6"/>
    <w:rsid w:val="00071C3C"/>
    <w:rsid w:val="00071DA8"/>
    <w:rsid w:val="000721FB"/>
    <w:rsid w:val="00072B35"/>
    <w:rsid w:val="00072EE5"/>
    <w:rsid w:val="00073624"/>
    <w:rsid w:val="0007374D"/>
    <w:rsid w:val="00075880"/>
    <w:rsid w:val="00076090"/>
    <w:rsid w:val="000769CF"/>
    <w:rsid w:val="00077431"/>
    <w:rsid w:val="00077EE3"/>
    <w:rsid w:val="00077FC4"/>
    <w:rsid w:val="000802A0"/>
    <w:rsid w:val="00081AFE"/>
    <w:rsid w:val="00081DAF"/>
    <w:rsid w:val="00082EA6"/>
    <w:rsid w:val="00082EC2"/>
    <w:rsid w:val="0008304B"/>
    <w:rsid w:val="00083156"/>
    <w:rsid w:val="00083C49"/>
    <w:rsid w:val="00083E35"/>
    <w:rsid w:val="00083EAB"/>
    <w:rsid w:val="00084038"/>
    <w:rsid w:val="0008409C"/>
    <w:rsid w:val="000845F1"/>
    <w:rsid w:val="00084911"/>
    <w:rsid w:val="00084B30"/>
    <w:rsid w:val="0008508A"/>
    <w:rsid w:val="0008553F"/>
    <w:rsid w:val="00085AF7"/>
    <w:rsid w:val="00086012"/>
    <w:rsid w:val="00086507"/>
    <w:rsid w:val="00086901"/>
    <w:rsid w:val="0008690E"/>
    <w:rsid w:val="000869C6"/>
    <w:rsid w:val="00086BCF"/>
    <w:rsid w:val="00087AFE"/>
    <w:rsid w:val="00087EB7"/>
    <w:rsid w:val="000901B4"/>
    <w:rsid w:val="0009034D"/>
    <w:rsid w:val="00090907"/>
    <w:rsid w:val="00090AE0"/>
    <w:rsid w:val="00090B44"/>
    <w:rsid w:val="00090BF9"/>
    <w:rsid w:val="00090FFB"/>
    <w:rsid w:val="000918B8"/>
    <w:rsid w:val="00091BBC"/>
    <w:rsid w:val="00091E88"/>
    <w:rsid w:val="000921C7"/>
    <w:rsid w:val="000922C4"/>
    <w:rsid w:val="00092398"/>
    <w:rsid w:val="00092CA0"/>
    <w:rsid w:val="0009343A"/>
    <w:rsid w:val="0009370A"/>
    <w:rsid w:val="000938B3"/>
    <w:rsid w:val="00093B25"/>
    <w:rsid w:val="000942A7"/>
    <w:rsid w:val="00094498"/>
    <w:rsid w:val="00094822"/>
    <w:rsid w:val="00094F11"/>
    <w:rsid w:val="00094FCA"/>
    <w:rsid w:val="000953AF"/>
    <w:rsid w:val="00095E4B"/>
    <w:rsid w:val="00096028"/>
    <w:rsid w:val="000963AA"/>
    <w:rsid w:val="000964B9"/>
    <w:rsid w:val="0009657C"/>
    <w:rsid w:val="000966D4"/>
    <w:rsid w:val="00096A25"/>
    <w:rsid w:val="00096A86"/>
    <w:rsid w:val="00096B40"/>
    <w:rsid w:val="00096D80"/>
    <w:rsid w:val="000972C4"/>
    <w:rsid w:val="00097857"/>
    <w:rsid w:val="00097A3B"/>
    <w:rsid w:val="00097C68"/>
    <w:rsid w:val="00097D54"/>
    <w:rsid w:val="000A0040"/>
    <w:rsid w:val="000A0635"/>
    <w:rsid w:val="000A0EBD"/>
    <w:rsid w:val="000A19B1"/>
    <w:rsid w:val="000A1B83"/>
    <w:rsid w:val="000A1D64"/>
    <w:rsid w:val="000A200F"/>
    <w:rsid w:val="000A2097"/>
    <w:rsid w:val="000A22FA"/>
    <w:rsid w:val="000A2EC3"/>
    <w:rsid w:val="000A3466"/>
    <w:rsid w:val="000A38C0"/>
    <w:rsid w:val="000A3D31"/>
    <w:rsid w:val="000A3D9B"/>
    <w:rsid w:val="000A3FAD"/>
    <w:rsid w:val="000A4246"/>
    <w:rsid w:val="000A4283"/>
    <w:rsid w:val="000A4648"/>
    <w:rsid w:val="000A48BF"/>
    <w:rsid w:val="000A494D"/>
    <w:rsid w:val="000A4975"/>
    <w:rsid w:val="000A49CE"/>
    <w:rsid w:val="000A4E09"/>
    <w:rsid w:val="000A5310"/>
    <w:rsid w:val="000A5778"/>
    <w:rsid w:val="000A5BE5"/>
    <w:rsid w:val="000A6D6A"/>
    <w:rsid w:val="000A772C"/>
    <w:rsid w:val="000A7A1E"/>
    <w:rsid w:val="000A7BCC"/>
    <w:rsid w:val="000A7F4F"/>
    <w:rsid w:val="000B0A11"/>
    <w:rsid w:val="000B0BA3"/>
    <w:rsid w:val="000B0BE4"/>
    <w:rsid w:val="000B0D18"/>
    <w:rsid w:val="000B1012"/>
    <w:rsid w:val="000B17A2"/>
    <w:rsid w:val="000B2504"/>
    <w:rsid w:val="000B2C60"/>
    <w:rsid w:val="000B2E94"/>
    <w:rsid w:val="000B3431"/>
    <w:rsid w:val="000B4369"/>
    <w:rsid w:val="000B48B1"/>
    <w:rsid w:val="000B4D64"/>
    <w:rsid w:val="000B61BB"/>
    <w:rsid w:val="000B6BA5"/>
    <w:rsid w:val="000B73BA"/>
    <w:rsid w:val="000B73FE"/>
    <w:rsid w:val="000B7715"/>
    <w:rsid w:val="000C00B6"/>
    <w:rsid w:val="000C01ED"/>
    <w:rsid w:val="000C05F7"/>
    <w:rsid w:val="000C144D"/>
    <w:rsid w:val="000C184B"/>
    <w:rsid w:val="000C1CD7"/>
    <w:rsid w:val="000C2751"/>
    <w:rsid w:val="000C2E76"/>
    <w:rsid w:val="000C30BD"/>
    <w:rsid w:val="000C3926"/>
    <w:rsid w:val="000C41D8"/>
    <w:rsid w:val="000C44B4"/>
    <w:rsid w:val="000C4550"/>
    <w:rsid w:val="000C45E5"/>
    <w:rsid w:val="000C5103"/>
    <w:rsid w:val="000C51E1"/>
    <w:rsid w:val="000C5422"/>
    <w:rsid w:val="000C67C9"/>
    <w:rsid w:val="000C6A11"/>
    <w:rsid w:val="000C6BA5"/>
    <w:rsid w:val="000C6FA5"/>
    <w:rsid w:val="000C70C0"/>
    <w:rsid w:val="000C7160"/>
    <w:rsid w:val="000C71D7"/>
    <w:rsid w:val="000C7586"/>
    <w:rsid w:val="000C75BF"/>
    <w:rsid w:val="000C7637"/>
    <w:rsid w:val="000C7F54"/>
    <w:rsid w:val="000D07AF"/>
    <w:rsid w:val="000D0B6E"/>
    <w:rsid w:val="000D14EA"/>
    <w:rsid w:val="000D1B05"/>
    <w:rsid w:val="000D1FBD"/>
    <w:rsid w:val="000D200A"/>
    <w:rsid w:val="000D2BBF"/>
    <w:rsid w:val="000D2C52"/>
    <w:rsid w:val="000D2D29"/>
    <w:rsid w:val="000D3262"/>
    <w:rsid w:val="000D37C4"/>
    <w:rsid w:val="000D43A7"/>
    <w:rsid w:val="000D44EE"/>
    <w:rsid w:val="000D4A18"/>
    <w:rsid w:val="000D5387"/>
    <w:rsid w:val="000D6880"/>
    <w:rsid w:val="000D69F1"/>
    <w:rsid w:val="000D6A59"/>
    <w:rsid w:val="000D72ED"/>
    <w:rsid w:val="000D7791"/>
    <w:rsid w:val="000E036D"/>
    <w:rsid w:val="000E0C71"/>
    <w:rsid w:val="000E0C76"/>
    <w:rsid w:val="000E0CF0"/>
    <w:rsid w:val="000E0DFA"/>
    <w:rsid w:val="000E0E99"/>
    <w:rsid w:val="000E0F8B"/>
    <w:rsid w:val="000E192D"/>
    <w:rsid w:val="000E2801"/>
    <w:rsid w:val="000E2ABC"/>
    <w:rsid w:val="000E2C12"/>
    <w:rsid w:val="000E2CA6"/>
    <w:rsid w:val="000E3290"/>
    <w:rsid w:val="000E340C"/>
    <w:rsid w:val="000E3789"/>
    <w:rsid w:val="000E426F"/>
    <w:rsid w:val="000E4CA1"/>
    <w:rsid w:val="000E5012"/>
    <w:rsid w:val="000E532A"/>
    <w:rsid w:val="000E5D24"/>
    <w:rsid w:val="000E5DDB"/>
    <w:rsid w:val="000E64CD"/>
    <w:rsid w:val="000E6B72"/>
    <w:rsid w:val="000E6B9A"/>
    <w:rsid w:val="000E6B9C"/>
    <w:rsid w:val="000E701A"/>
    <w:rsid w:val="000E730D"/>
    <w:rsid w:val="000E79C5"/>
    <w:rsid w:val="000E7C34"/>
    <w:rsid w:val="000F02E6"/>
    <w:rsid w:val="000F0D72"/>
    <w:rsid w:val="000F0FB8"/>
    <w:rsid w:val="000F118B"/>
    <w:rsid w:val="000F19A8"/>
    <w:rsid w:val="000F2955"/>
    <w:rsid w:val="000F2DF8"/>
    <w:rsid w:val="000F319A"/>
    <w:rsid w:val="000F3815"/>
    <w:rsid w:val="000F3849"/>
    <w:rsid w:val="000F39B1"/>
    <w:rsid w:val="000F3DB6"/>
    <w:rsid w:val="000F43EF"/>
    <w:rsid w:val="000F5259"/>
    <w:rsid w:val="000F59AE"/>
    <w:rsid w:val="000F5D68"/>
    <w:rsid w:val="000F5EF9"/>
    <w:rsid w:val="000F63D4"/>
    <w:rsid w:val="000F6F2D"/>
    <w:rsid w:val="000F718F"/>
    <w:rsid w:val="000F72C0"/>
    <w:rsid w:val="000F7970"/>
    <w:rsid w:val="0010024D"/>
    <w:rsid w:val="00100D77"/>
    <w:rsid w:val="00101639"/>
    <w:rsid w:val="00101787"/>
    <w:rsid w:val="00101F86"/>
    <w:rsid w:val="001024C3"/>
    <w:rsid w:val="001032AD"/>
    <w:rsid w:val="00103366"/>
    <w:rsid w:val="0010375D"/>
    <w:rsid w:val="00103F94"/>
    <w:rsid w:val="00104E4B"/>
    <w:rsid w:val="00104ED2"/>
    <w:rsid w:val="00105246"/>
    <w:rsid w:val="0010550B"/>
    <w:rsid w:val="00105C3B"/>
    <w:rsid w:val="00106624"/>
    <w:rsid w:val="00106BD3"/>
    <w:rsid w:val="00106CAA"/>
    <w:rsid w:val="001070CD"/>
    <w:rsid w:val="0010773C"/>
    <w:rsid w:val="00107A4A"/>
    <w:rsid w:val="00107C26"/>
    <w:rsid w:val="00107E88"/>
    <w:rsid w:val="00107FBC"/>
    <w:rsid w:val="001100B1"/>
    <w:rsid w:val="001102C6"/>
    <w:rsid w:val="001111FC"/>
    <w:rsid w:val="00111321"/>
    <w:rsid w:val="00111C35"/>
    <w:rsid w:val="00112CA7"/>
    <w:rsid w:val="00112CF0"/>
    <w:rsid w:val="00112FD2"/>
    <w:rsid w:val="001133F9"/>
    <w:rsid w:val="001137F7"/>
    <w:rsid w:val="0011389E"/>
    <w:rsid w:val="00113E4F"/>
    <w:rsid w:val="001140AE"/>
    <w:rsid w:val="001145BB"/>
    <w:rsid w:val="001149AA"/>
    <w:rsid w:val="00114E03"/>
    <w:rsid w:val="00114FB8"/>
    <w:rsid w:val="00114FF9"/>
    <w:rsid w:val="001155FE"/>
    <w:rsid w:val="001161E4"/>
    <w:rsid w:val="00116298"/>
    <w:rsid w:val="001179EB"/>
    <w:rsid w:val="00117A47"/>
    <w:rsid w:val="00117BE3"/>
    <w:rsid w:val="00117E09"/>
    <w:rsid w:val="00117EED"/>
    <w:rsid w:val="00120327"/>
    <w:rsid w:val="0012081D"/>
    <w:rsid w:val="00120991"/>
    <w:rsid w:val="00122735"/>
    <w:rsid w:val="001235CA"/>
    <w:rsid w:val="001236E6"/>
    <w:rsid w:val="00123A39"/>
    <w:rsid w:val="00123BF9"/>
    <w:rsid w:val="00124404"/>
    <w:rsid w:val="001244A6"/>
    <w:rsid w:val="0012496E"/>
    <w:rsid w:val="00124C82"/>
    <w:rsid w:val="00124CB0"/>
    <w:rsid w:val="00124F0B"/>
    <w:rsid w:val="0012542D"/>
    <w:rsid w:val="001259E6"/>
    <w:rsid w:val="00125C88"/>
    <w:rsid w:val="00125F17"/>
    <w:rsid w:val="0012601B"/>
    <w:rsid w:val="00126A35"/>
    <w:rsid w:val="00126EAA"/>
    <w:rsid w:val="00127213"/>
    <w:rsid w:val="00127259"/>
    <w:rsid w:val="001275FD"/>
    <w:rsid w:val="0012771E"/>
    <w:rsid w:val="00127E6E"/>
    <w:rsid w:val="00127F12"/>
    <w:rsid w:val="00130293"/>
    <w:rsid w:val="00130621"/>
    <w:rsid w:val="0013066F"/>
    <w:rsid w:val="00130C60"/>
    <w:rsid w:val="0013131B"/>
    <w:rsid w:val="00131AD2"/>
    <w:rsid w:val="00132178"/>
    <w:rsid w:val="00132C9D"/>
    <w:rsid w:val="00133042"/>
    <w:rsid w:val="00134111"/>
    <w:rsid w:val="00134997"/>
    <w:rsid w:val="00134B5C"/>
    <w:rsid w:val="00134D94"/>
    <w:rsid w:val="00134DD7"/>
    <w:rsid w:val="00135A4E"/>
    <w:rsid w:val="00135AFA"/>
    <w:rsid w:val="00135F5D"/>
    <w:rsid w:val="0013666D"/>
    <w:rsid w:val="0013738D"/>
    <w:rsid w:val="00137584"/>
    <w:rsid w:val="0013768E"/>
    <w:rsid w:val="001377C9"/>
    <w:rsid w:val="00137D99"/>
    <w:rsid w:val="00137EAD"/>
    <w:rsid w:val="0014090E"/>
    <w:rsid w:val="00140CD1"/>
    <w:rsid w:val="00141DC0"/>
    <w:rsid w:val="00142C76"/>
    <w:rsid w:val="00142DA4"/>
    <w:rsid w:val="001434E6"/>
    <w:rsid w:val="00143A06"/>
    <w:rsid w:val="0014427A"/>
    <w:rsid w:val="00144514"/>
    <w:rsid w:val="00144BC3"/>
    <w:rsid w:val="00145114"/>
    <w:rsid w:val="00145825"/>
    <w:rsid w:val="00145885"/>
    <w:rsid w:val="00145945"/>
    <w:rsid w:val="00145CA2"/>
    <w:rsid w:val="00145EA2"/>
    <w:rsid w:val="00146972"/>
    <w:rsid w:val="00146EA3"/>
    <w:rsid w:val="001472DD"/>
    <w:rsid w:val="00147A74"/>
    <w:rsid w:val="00150558"/>
    <w:rsid w:val="001507A0"/>
    <w:rsid w:val="00150D02"/>
    <w:rsid w:val="00150D7E"/>
    <w:rsid w:val="00150E8A"/>
    <w:rsid w:val="00150F67"/>
    <w:rsid w:val="001514D5"/>
    <w:rsid w:val="00151B51"/>
    <w:rsid w:val="00151C33"/>
    <w:rsid w:val="0015226E"/>
    <w:rsid w:val="001523A9"/>
    <w:rsid w:val="0015310D"/>
    <w:rsid w:val="00153656"/>
    <w:rsid w:val="00153881"/>
    <w:rsid w:val="001539AE"/>
    <w:rsid w:val="00153A05"/>
    <w:rsid w:val="00153F3E"/>
    <w:rsid w:val="00154278"/>
    <w:rsid w:val="001547A7"/>
    <w:rsid w:val="00154CA0"/>
    <w:rsid w:val="00155D54"/>
    <w:rsid w:val="00155F33"/>
    <w:rsid w:val="00156AC3"/>
    <w:rsid w:val="001572A8"/>
    <w:rsid w:val="001605B8"/>
    <w:rsid w:val="00160C3A"/>
    <w:rsid w:val="001610B6"/>
    <w:rsid w:val="001616CF"/>
    <w:rsid w:val="0016239C"/>
    <w:rsid w:val="00162D7B"/>
    <w:rsid w:val="00162D85"/>
    <w:rsid w:val="0016303B"/>
    <w:rsid w:val="00163405"/>
    <w:rsid w:val="00163505"/>
    <w:rsid w:val="00163C60"/>
    <w:rsid w:val="001645F4"/>
    <w:rsid w:val="0016484C"/>
    <w:rsid w:val="001655E1"/>
    <w:rsid w:val="0016585E"/>
    <w:rsid w:val="00165F26"/>
    <w:rsid w:val="0016666C"/>
    <w:rsid w:val="00166B73"/>
    <w:rsid w:val="00166BB8"/>
    <w:rsid w:val="0016701F"/>
    <w:rsid w:val="00167572"/>
    <w:rsid w:val="00167B51"/>
    <w:rsid w:val="00167CE4"/>
    <w:rsid w:val="001700F6"/>
    <w:rsid w:val="001701A7"/>
    <w:rsid w:val="00170607"/>
    <w:rsid w:val="00171EAD"/>
    <w:rsid w:val="00172438"/>
    <w:rsid w:val="00172FAE"/>
    <w:rsid w:val="001737A9"/>
    <w:rsid w:val="0017484C"/>
    <w:rsid w:val="00174AAE"/>
    <w:rsid w:val="00174B63"/>
    <w:rsid w:val="00174C65"/>
    <w:rsid w:val="00174F92"/>
    <w:rsid w:val="00175025"/>
    <w:rsid w:val="001756BE"/>
    <w:rsid w:val="00175B5B"/>
    <w:rsid w:val="00175BEF"/>
    <w:rsid w:val="0017617C"/>
    <w:rsid w:val="0017645D"/>
    <w:rsid w:val="001764F2"/>
    <w:rsid w:val="00176640"/>
    <w:rsid w:val="00176A2B"/>
    <w:rsid w:val="00176ACC"/>
    <w:rsid w:val="00177B82"/>
    <w:rsid w:val="00177D87"/>
    <w:rsid w:val="0018035D"/>
    <w:rsid w:val="001807BD"/>
    <w:rsid w:val="00180DD3"/>
    <w:rsid w:val="00180F4C"/>
    <w:rsid w:val="00182AAE"/>
    <w:rsid w:val="00182C48"/>
    <w:rsid w:val="00182D2A"/>
    <w:rsid w:val="00183075"/>
    <w:rsid w:val="0018307C"/>
    <w:rsid w:val="0018439C"/>
    <w:rsid w:val="00184BB7"/>
    <w:rsid w:val="00185AC7"/>
    <w:rsid w:val="00186396"/>
    <w:rsid w:val="001868FC"/>
    <w:rsid w:val="00186BB3"/>
    <w:rsid w:val="0018702A"/>
    <w:rsid w:val="00187091"/>
    <w:rsid w:val="00187546"/>
    <w:rsid w:val="001876F6"/>
    <w:rsid w:val="0018783D"/>
    <w:rsid w:val="001901C8"/>
    <w:rsid w:val="00190566"/>
    <w:rsid w:val="00191205"/>
    <w:rsid w:val="001913E5"/>
    <w:rsid w:val="001919BB"/>
    <w:rsid w:val="001920B4"/>
    <w:rsid w:val="00192AA8"/>
    <w:rsid w:val="00193D21"/>
    <w:rsid w:val="00193E9E"/>
    <w:rsid w:val="00193E9F"/>
    <w:rsid w:val="00193FE1"/>
    <w:rsid w:val="00194273"/>
    <w:rsid w:val="001943AB"/>
    <w:rsid w:val="0019450A"/>
    <w:rsid w:val="00194B7A"/>
    <w:rsid w:val="00194F1B"/>
    <w:rsid w:val="00195710"/>
    <w:rsid w:val="00195DA5"/>
    <w:rsid w:val="00195F74"/>
    <w:rsid w:val="00195FD1"/>
    <w:rsid w:val="00196332"/>
    <w:rsid w:val="00196399"/>
    <w:rsid w:val="001965AA"/>
    <w:rsid w:val="00197762"/>
    <w:rsid w:val="00197840"/>
    <w:rsid w:val="00197DC8"/>
    <w:rsid w:val="00197DE6"/>
    <w:rsid w:val="00197E01"/>
    <w:rsid w:val="001A0048"/>
    <w:rsid w:val="001A02F6"/>
    <w:rsid w:val="001A04C5"/>
    <w:rsid w:val="001A06D1"/>
    <w:rsid w:val="001A0B76"/>
    <w:rsid w:val="001A0D87"/>
    <w:rsid w:val="001A16A8"/>
    <w:rsid w:val="001A18BE"/>
    <w:rsid w:val="001A1E4D"/>
    <w:rsid w:val="001A1E62"/>
    <w:rsid w:val="001A2320"/>
    <w:rsid w:val="001A2618"/>
    <w:rsid w:val="001A2818"/>
    <w:rsid w:val="001A30BB"/>
    <w:rsid w:val="001A3355"/>
    <w:rsid w:val="001A36EE"/>
    <w:rsid w:val="001A3911"/>
    <w:rsid w:val="001A3E37"/>
    <w:rsid w:val="001A400C"/>
    <w:rsid w:val="001A47E7"/>
    <w:rsid w:val="001A4CE8"/>
    <w:rsid w:val="001A55E4"/>
    <w:rsid w:val="001A564A"/>
    <w:rsid w:val="001A621B"/>
    <w:rsid w:val="001A70A9"/>
    <w:rsid w:val="001A75D2"/>
    <w:rsid w:val="001A7B2B"/>
    <w:rsid w:val="001B02A9"/>
    <w:rsid w:val="001B0676"/>
    <w:rsid w:val="001B14ED"/>
    <w:rsid w:val="001B2189"/>
    <w:rsid w:val="001B2518"/>
    <w:rsid w:val="001B2601"/>
    <w:rsid w:val="001B2C0E"/>
    <w:rsid w:val="001B3040"/>
    <w:rsid w:val="001B36BA"/>
    <w:rsid w:val="001B3FC0"/>
    <w:rsid w:val="001B494B"/>
    <w:rsid w:val="001B4C63"/>
    <w:rsid w:val="001B50E3"/>
    <w:rsid w:val="001B512D"/>
    <w:rsid w:val="001B575E"/>
    <w:rsid w:val="001B58D1"/>
    <w:rsid w:val="001B5906"/>
    <w:rsid w:val="001B68CA"/>
    <w:rsid w:val="001B69C4"/>
    <w:rsid w:val="001B6C13"/>
    <w:rsid w:val="001B6C65"/>
    <w:rsid w:val="001B6CF3"/>
    <w:rsid w:val="001B745D"/>
    <w:rsid w:val="001B7539"/>
    <w:rsid w:val="001B75C9"/>
    <w:rsid w:val="001B778A"/>
    <w:rsid w:val="001C0270"/>
    <w:rsid w:val="001C03B1"/>
    <w:rsid w:val="001C0A7B"/>
    <w:rsid w:val="001C0BA5"/>
    <w:rsid w:val="001C11D4"/>
    <w:rsid w:val="001C1474"/>
    <w:rsid w:val="001C1A13"/>
    <w:rsid w:val="001C210D"/>
    <w:rsid w:val="001C2398"/>
    <w:rsid w:val="001C306C"/>
    <w:rsid w:val="001C373F"/>
    <w:rsid w:val="001C3761"/>
    <w:rsid w:val="001C3873"/>
    <w:rsid w:val="001C452E"/>
    <w:rsid w:val="001C4565"/>
    <w:rsid w:val="001C47AE"/>
    <w:rsid w:val="001C488D"/>
    <w:rsid w:val="001C4A64"/>
    <w:rsid w:val="001C4E16"/>
    <w:rsid w:val="001C4F96"/>
    <w:rsid w:val="001C528F"/>
    <w:rsid w:val="001C5702"/>
    <w:rsid w:val="001C5A8D"/>
    <w:rsid w:val="001C6F37"/>
    <w:rsid w:val="001C7991"/>
    <w:rsid w:val="001C7E84"/>
    <w:rsid w:val="001D02AF"/>
    <w:rsid w:val="001D0413"/>
    <w:rsid w:val="001D0745"/>
    <w:rsid w:val="001D0E2B"/>
    <w:rsid w:val="001D132B"/>
    <w:rsid w:val="001D1491"/>
    <w:rsid w:val="001D164C"/>
    <w:rsid w:val="001D16B3"/>
    <w:rsid w:val="001D192A"/>
    <w:rsid w:val="001D1B8C"/>
    <w:rsid w:val="001D2728"/>
    <w:rsid w:val="001D27D4"/>
    <w:rsid w:val="001D2A0F"/>
    <w:rsid w:val="001D2B31"/>
    <w:rsid w:val="001D2D33"/>
    <w:rsid w:val="001D3345"/>
    <w:rsid w:val="001D4156"/>
    <w:rsid w:val="001D42D0"/>
    <w:rsid w:val="001D4427"/>
    <w:rsid w:val="001D457E"/>
    <w:rsid w:val="001D464B"/>
    <w:rsid w:val="001D4960"/>
    <w:rsid w:val="001D5612"/>
    <w:rsid w:val="001D57B1"/>
    <w:rsid w:val="001D589B"/>
    <w:rsid w:val="001D5A9C"/>
    <w:rsid w:val="001D5C10"/>
    <w:rsid w:val="001D5ED3"/>
    <w:rsid w:val="001D5ED5"/>
    <w:rsid w:val="001D63C9"/>
    <w:rsid w:val="001D6628"/>
    <w:rsid w:val="001D670F"/>
    <w:rsid w:val="001D676D"/>
    <w:rsid w:val="001D6EC9"/>
    <w:rsid w:val="001D6F90"/>
    <w:rsid w:val="001D7792"/>
    <w:rsid w:val="001E0004"/>
    <w:rsid w:val="001E0A99"/>
    <w:rsid w:val="001E1249"/>
    <w:rsid w:val="001E18CB"/>
    <w:rsid w:val="001E1C4E"/>
    <w:rsid w:val="001E28FC"/>
    <w:rsid w:val="001E2952"/>
    <w:rsid w:val="001E2CA2"/>
    <w:rsid w:val="001E2E46"/>
    <w:rsid w:val="001E3730"/>
    <w:rsid w:val="001E39CD"/>
    <w:rsid w:val="001E3B67"/>
    <w:rsid w:val="001E40C5"/>
    <w:rsid w:val="001E4131"/>
    <w:rsid w:val="001E4353"/>
    <w:rsid w:val="001E4995"/>
    <w:rsid w:val="001E4BAD"/>
    <w:rsid w:val="001E526F"/>
    <w:rsid w:val="001E5486"/>
    <w:rsid w:val="001E54A5"/>
    <w:rsid w:val="001E5719"/>
    <w:rsid w:val="001E63B0"/>
    <w:rsid w:val="001E692B"/>
    <w:rsid w:val="001E6B71"/>
    <w:rsid w:val="001F081F"/>
    <w:rsid w:val="001F0A6E"/>
    <w:rsid w:val="001F25AA"/>
    <w:rsid w:val="001F2EB5"/>
    <w:rsid w:val="001F3067"/>
    <w:rsid w:val="001F36B4"/>
    <w:rsid w:val="001F3A71"/>
    <w:rsid w:val="001F3E51"/>
    <w:rsid w:val="001F438C"/>
    <w:rsid w:val="001F4B69"/>
    <w:rsid w:val="001F4BAF"/>
    <w:rsid w:val="001F5189"/>
    <w:rsid w:val="001F55C8"/>
    <w:rsid w:val="001F5C71"/>
    <w:rsid w:val="001F6045"/>
    <w:rsid w:val="001F6314"/>
    <w:rsid w:val="001F6681"/>
    <w:rsid w:val="001F66A8"/>
    <w:rsid w:val="001F6782"/>
    <w:rsid w:val="001F6A59"/>
    <w:rsid w:val="001F6EA9"/>
    <w:rsid w:val="001F709D"/>
    <w:rsid w:val="001F743C"/>
    <w:rsid w:val="001F7643"/>
    <w:rsid w:val="001F7B3A"/>
    <w:rsid w:val="001F7E41"/>
    <w:rsid w:val="001F7F2D"/>
    <w:rsid w:val="0020058F"/>
    <w:rsid w:val="00201665"/>
    <w:rsid w:val="00201669"/>
    <w:rsid w:val="0020184C"/>
    <w:rsid w:val="00201B81"/>
    <w:rsid w:val="00201DB4"/>
    <w:rsid w:val="002023DB"/>
    <w:rsid w:val="00202752"/>
    <w:rsid w:val="002028E6"/>
    <w:rsid w:val="002028F1"/>
    <w:rsid w:val="00202C7D"/>
    <w:rsid w:val="00202F66"/>
    <w:rsid w:val="00203337"/>
    <w:rsid w:val="00203416"/>
    <w:rsid w:val="002039A2"/>
    <w:rsid w:val="00203C79"/>
    <w:rsid w:val="00203F6B"/>
    <w:rsid w:val="0020402E"/>
    <w:rsid w:val="00204196"/>
    <w:rsid w:val="00204261"/>
    <w:rsid w:val="0020426B"/>
    <w:rsid w:val="00204527"/>
    <w:rsid w:val="0020476B"/>
    <w:rsid w:val="00204AFC"/>
    <w:rsid w:val="00205A0D"/>
    <w:rsid w:val="00205B69"/>
    <w:rsid w:val="00205BDC"/>
    <w:rsid w:val="002065D8"/>
    <w:rsid w:val="0020691F"/>
    <w:rsid w:val="00206948"/>
    <w:rsid w:val="00206DF1"/>
    <w:rsid w:val="002075FC"/>
    <w:rsid w:val="00207A07"/>
    <w:rsid w:val="00210F75"/>
    <w:rsid w:val="0021131C"/>
    <w:rsid w:val="00211646"/>
    <w:rsid w:val="00211669"/>
    <w:rsid w:val="002119BA"/>
    <w:rsid w:val="00211C6B"/>
    <w:rsid w:val="0021234B"/>
    <w:rsid w:val="00212955"/>
    <w:rsid w:val="00212C17"/>
    <w:rsid w:val="00212C66"/>
    <w:rsid w:val="00213326"/>
    <w:rsid w:val="00214313"/>
    <w:rsid w:val="00214D18"/>
    <w:rsid w:val="00214FB5"/>
    <w:rsid w:val="00215294"/>
    <w:rsid w:val="0021548B"/>
    <w:rsid w:val="0021548E"/>
    <w:rsid w:val="00215516"/>
    <w:rsid w:val="00215EBA"/>
    <w:rsid w:val="002165B6"/>
    <w:rsid w:val="0021692D"/>
    <w:rsid w:val="002169EB"/>
    <w:rsid w:val="00216E07"/>
    <w:rsid w:val="00217202"/>
    <w:rsid w:val="002177EC"/>
    <w:rsid w:val="00217852"/>
    <w:rsid w:val="0022001F"/>
    <w:rsid w:val="00220278"/>
    <w:rsid w:val="00220817"/>
    <w:rsid w:val="002208A9"/>
    <w:rsid w:val="00220964"/>
    <w:rsid w:val="00220A1A"/>
    <w:rsid w:val="00220AE0"/>
    <w:rsid w:val="002214FE"/>
    <w:rsid w:val="00221793"/>
    <w:rsid w:val="00222111"/>
    <w:rsid w:val="0022244C"/>
    <w:rsid w:val="00223050"/>
    <w:rsid w:val="002230DE"/>
    <w:rsid w:val="00223294"/>
    <w:rsid w:val="00223478"/>
    <w:rsid w:val="002236F9"/>
    <w:rsid w:val="00223E86"/>
    <w:rsid w:val="00223F1F"/>
    <w:rsid w:val="0022447A"/>
    <w:rsid w:val="00224A6B"/>
    <w:rsid w:val="00224B50"/>
    <w:rsid w:val="00224E9B"/>
    <w:rsid w:val="00225607"/>
    <w:rsid w:val="00225BB1"/>
    <w:rsid w:val="002269FC"/>
    <w:rsid w:val="00226BE2"/>
    <w:rsid w:val="00226CA9"/>
    <w:rsid w:val="00226D5F"/>
    <w:rsid w:val="0022779D"/>
    <w:rsid w:val="002279AC"/>
    <w:rsid w:val="00227A9E"/>
    <w:rsid w:val="00227F96"/>
    <w:rsid w:val="00230230"/>
    <w:rsid w:val="0023030B"/>
    <w:rsid w:val="002303AC"/>
    <w:rsid w:val="00230A65"/>
    <w:rsid w:val="002312FF"/>
    <w:rsid w:val="00231970"/>
    <w:rsid w:val="002320F8"/>
    <w:rsid w:val="00232149"/>
    <w:rsid w:val="002321FD"/>
    <w:rsid w:val="00232A5B"/>
    <w:rsid w:val="0023379C"/>
    <w:rsid w:val="00233B89"/>
    <w:rsid w:val="00233D03"/>
    <w:rsid w:val="00233ED7"/>
    <w:rsid w:val="00234A9D"/>
    <w:rsid w:val="00234C5A"/>
    <w:rsid w:val="00234FC7"/>
    <w:rsid w:val="00235A6C"/>
    <w:rsid w:val="00235B34"/>
    <w:rsid w:val="00235BCC"/>
    <w:rsid w:val="00236189"/>
    <w:rsid w:val="002369C6"/>
    <w:rsid w:val="00236ED3"/>
    <w:rsid w:val="002375E3"/>
    <w:rsid w:val="00237729"/>
    <w:rsid w:val="00237AC8"/>
    <w:rsid w:val="0024014C"/>
    <w:rsid w:val="002402F2"/>
    <w:rsid w:val="0024058F"/>
    <w:rsid w:val="0024097D"/>
    <w:rsid w:val="0024099E"/>
    <w:rsid w:val="00240D1C"/>
    <w:rsid w:val="00240E03"/>
    <w:rsid w:val="002423D1"/>
    <w:rsid w:val="00242A5F"/>
    <w:rsid w:val="00242A9E"/>
    <w:rsid w:val="00242D36"/>
    <w:rsid w:val="00242F38"/>
    <w:rsid w:val="002432A7"/>
    <w:rsid w:val="002438B9"/>
    <w:rsid w:val="00243AE3"/>
    <w:rsid w:val="00243E77"/>
    <w:rsid w:val="0024450F"/>
    <w:rsid w:val="00244CC2"/>
    <w:rsid w:val="00244DE3"/>
    <w:rsid w:val="00245A61"/>
    <w:rsid w:val="0024601F"/>
    <w:rsid w:val="002464FE"/>
    <w:rsid w:val="00246508"/>
    <w:rsid w:val="00246D88"/>
    <w:rsid w:val="0024731B"/>
    <w:rsid w:val="002473A0"/>
    <w:rsid w:val="0024755B"/>
    <w:rsid w:val="00247ACE"/>
    <w:rsid w:val="00247EB6"/>
    <w:rsid w:val="00250162"/>
    <w:rsid w:val="00250221"/>
    <w:rsid w:val="00250B9C"/>
    <w:rsid w:val="0025111D"/>
    <w:rsid w:val="002512AA"/>
    <w:rsid w:val="002518F0"/>
    <w:rsid w:val="00251C38"/>
    <w:rsid w:val="00251D20"/>
    <w:rsid w:val="0025245F"/>
    <w:rsid w:val="00252760"/>
    <w:rsid w:val="002529DF"/>
    <w:rsid w:val="002535C6"/>
    <w:rsid w:val="002536BF"/>
    <w:rsid w:val="00253739"/>
    <w:rsid w:val="00253E46"/>
    <w:rsid w:val="00254D41"/>
    <w:rsid w:val="00254EB7"/>
    <w:rsid w:val="00255038"/>
    <w:rsid w:val="002551AB"/>
    <w:rsid w:val="0025541B"/>
    <w:rsid w:val="00255F66"/>
    <w:rsid w:val="00255FA1"/>
    <w:rsid w:val="0025716C"/>
    <w:rsid w:val="0025728E"/>
    <w:rsid w:val="00257751"/>
    <w:rsid w:val="002577B3"/>
    <w:rsid w:val="00257EF4"/>
    <w:rsid w:val="0026063B"/>
    <w:rsid w:val="00260AE4"/>
    <w:rsid w:val="00260E49"/>
    <w:rsid w:val="00260EAB"/>
    <w:rsid w:val="00261525"/>
    <w:rsid w:val="00261D71"/>
    <w:rsid w:val="00262105"/>
    <w:rsid w:val="002621FC"/>
    <w:rsid w:val="002629C5"/>
    <w:rsid w:val="002630D8"/>
    <w:rsid w:val="002635DF"/>
    <w:rsid w:val="00263932"/>
    <w:rsid w:val="00263DD1"/>
    <w:rsid w:val="00263FE1"/>
    <w:rsid w:val="00265455"/>
    <w:rsid w:val="00265BB6"/>
    <w:rsid w:val="00265CFE"/>
    <w:rsid w:val="00265E67"/>
    <w:rsid w:val="00266B8B"/>
    <w:rsid w:val="00266C1F"/>
    <w:rsid w:val="0026723E"/>
    <w:rsid w:val="0027006D"/>
    <w:rsid w:val="002704F4"/>
    <w:rsid w:val="002707DC"/>
    <w:rsid w:val="00270927"/>
    <w:rsid w:val="00270B15"/>
    <w:rsid w:val="0027103B"/>
    <w:rsid w:val="002712FD"/>
    <w:rsid w:val="0027132B"/>
    <w:rsid w:val="002713C6"/>
    <w:rsid w:val="002716C6"/>
    <w:rsid w:val="0027235F"/>
    <w:rsid w:val="00272A24"/>
    <w:rsid w:val="00273596"/>
    <w:rsid w:val="002738B9"/>
    <w:rsid w:val="00273E16"/>
    <w:rsid w:val="00274539"/>
    <w:rsid w:val="00274607"/>
    <w:rsid w:val="00274B58"/>
    <w:rsid w:val="00274E98"/>
    <w:rsid w:val="0027583B"/>
    <w:rsid w:val="00275A17"/>
    <w:rsid w:val="00275EFA"/>
    <w:rsid w:val="002764F6"/>
    <w:rsid w:val="002772F1"/>
    <w:rsid w:val="00277608"/>
    <w:rsid w:val="00277896"/>
    <w:rsid w:val="00277ABF"/>
    <w:rsid w:val="00277B36"/>
    <w:rsid w:val="002800CC"/>
    <w:rsid w:val="00280674"/>
    <w:rsid w:val="0028082A"/>
    <w:rsid w:val="002816D3"/>
    <w:rsid w:val="00282DEC"/>
    <w:rsid w:val="00282E04"/>
    <w:rsid w:val="00282F55"/>
    <w:rsid w:val="00283120"/>
    <w:rsid w:val="0028318B"/>
    <w:rsid w:val="0028338F"/>
    <w:rsid w:val="002833CF"/>
    <w:rsid w:val="00283545"/>
    <w:rsid w:val="002838F3"/>
    <w:rsid w:val="00283998"/>
    <w:rsid w:val="00283BE8"/>
    <w:rsid w:val="00283EA7"/>
    <w:rsid w:val="0028406D"/>
    <w:rsid w:val="002846B6"/>
    <w:rsid w:val="00284DAF"/>
    <w:rsid w:val="00284F4D"/>
    <w:rsid w:val="00286092"/>
    <w:rsid w:val="00286131"/>
    <w:rsid w:val="00286915"/>
    <w:rsid w:val="00286F58"/>
    <w:rsid w:val="00287B6C"/>
    <w:rsid w:val="00287C5D"/>
    <w:rsid w:val="00287E0A"/>
    <w:rsid w:val="00287EC8"/>
    <w:rsid w:val="00290231"/>
    <w:rsid w:val="002908E4"/>
    <w:rsid w:val="002909F8"/>
    <w:rsid w:val="00290E7C"/>
    <w:rsid w:val="002918C9"/>
    <w:rsid w:val="002919EE"/>
    <w:rsid w:val="00291A67"/>
    <w:rsid w:val="00291B2F"/>
    <w:rsid w:val="00291B3B"/>
    <w:rsid w:val="00291B65"/>
    <w:rsid w:val="002922A8"/>
    <w:rsid w:val="00292D08"/>
    <w:rsid w:val="002930E7"/>
    <w:rsid w:val="0029336B"/>
    <w:rsid w:val="00293441"/>
    <w:rsid w:val="00293707"/>
    <w:rsid w:val="00293F3F"/>
    <w:rsid w:val="00294476"/>
    <w:rsid w:val="00294D26"/>
    <w:rsid w:val="00295186"/>
    <w:rsid w:val="00295377"/>
    <w:rsid w:val="00295AB2"/>
    <w:rsid w:val="00295AEF"/>
    <w:rsid w:val="002961B8"/>
    <w:rsid w:val="00296369"/>
    <w:rsid w:val="0029637E"/>
    <w:rsid w:val="002974B2"/>
    <w:rsid w:val="00297580"/>
    <w:rsid w:val="00297664"/>
    <w:rsid w:val="00297723"/>
    <w:rsid w:val="00297C5D"/>
    <w:rsid w:val="002A0379"/>
    <w:rsid w:val="002A0391"/>
    <w:rsid w:val="002A0566"/>
    <w:rsid w:val="002A0797"/>
    <w:rsid w:val="002A0CE7"/>
    <w:rsid w:val="002A1031"/>
    <w:rsid w:val="002A1CA2"/>
    <w:rsid w:val="002A1E69"/>
    <w:rsid w:val="002A1F65"/>
    <w:rsid w:val="002A20C5"/>
    <w:rsid w:val="002A225E"/>
    <w:rsid w:val="002A247D"/>
    <w:rsid w:val="002A2A5E"/>
    <w:rsid w:val="002A2DC3"/>
    <w:rsid w:val="002A3070"/>
    <w:rsid w:val="002A34D4"/>
    <w:rsid w:val="002A393F"/>
    <w:rsid w:val="002A3BA2"/>
    <w:rsid w:val="002A3E63"/>
    <w:rsid w:val="002A4738"/>
    <w:rsid w:val="002A479C"/>
    <w:rsid w:val="002A5111"/>
    <w:rsid w:val="002A530F"/>
    <w:rsid w:val="002A545C"/>
    <w:rsid w:val="002A5888"/>
    <w:rsid w:val="002A5FF6"/>
    <w:rsid w:val="002A641F"/>
    <w:rsid w:val="002A67A0"/>
    <w:rsid w:val="002A6A59"/>
    <w:rsid w:val="002A6C1E"/>
    <w:rsid w:val="002A756D"/>
    <w:rsid w:val="002A779C"/>
    <w:rsid w:val="002B00DC"/>
    <w:rsid w:val="002B00E7"/>
    <w:rsid w:val="002B0472"/>
    <w:rsid w:val="002B0A17"/>
    <w:rsid w:val="002B115B"/>
    <w:rsid w:val="002B1A9C"/>
    <w:rsid w:val="002B1D01"/>
    <w:rsid w:val="002B2E1F"/>
    <w:rsid w:val="002B33EC"/>
    <w:rsid w:val="002B363F"/>
    <w:rsid w:val="002B36E8"/>
    <w:rsid w:val="002B371A"/>
    <w:rsid w:val="002B37CB"/>
    <w:rsid w:val="002B3852"/>
    <w:rsid w:val="002B4728"/>
    <w:rsid w:val="002B4958"/>
    <w:rsid w:val="002B58B3"/>
    <w:rsid w:val="002B59B9"/>
    <w:rsid w:val="002B5A6E"/>
    <w:rsid w:val="002B707F"/>
    <w:rsid w:val="002B749B"/>
    <w:rsid w:val="002B7570"/>
    <w:rsid w:val="002B76EF"/>
    <w:rsid w:val="002B7727"/>
    <w:rsid w:val="002B7ACA"/>
    <w:rsid w:val="002B7C8F"/>
    <w:rsid w:val="002C0365"/>
    <w:rsid w:val="002C0A4D"/>
    <w:rsid w:val="002C0CF8"/>
    <w:rsid w:val="002C0DC0"/>
    <w:rsid w:val="002C12EE"/>
    <w:rsid w:val="002C193B"/>
    <w:rsid w:val="002C25F4"/>
    <w:rsid w:val="002C2961"/>
    <w:rsid w:val="002C30D6"/>
    <w:rsid w:val="002C36CE"/>
    <w:rsid w:val="002C389B"/>
    <w:rsid w:val="002C3A63"/>
    <w:rsid w:val="002C3BB7"/>
    <w:rsid w:val="002C4863"/>
    <w:rsid w:val="002C4A04"/>
    <w:rsid w:val="002C5221"/>
    <w:rsid w:val="002C54B9"/>
    <w:rsid w:val="002C57B1"/>
    <w:rsid w:val="002C58C5"/>
    <w:rsid w:val="002C616D"/>
    <w:rsid w:val="002C68BB"/>
    <w:rsid w:val="002C6D05"/>
    <w:rsid w:val="002C6D63"/>
    <w:rsid w:val="002C71C6"/>
    <w:rsid w:val="002C7E07"/>
    <w:rsid w:val="002C7E9B"/>
    <w:rsid w:val="002C7F17"/>
    <w:rsid w:val="002D09E4"/>
    <w:rsid w:val="002D0A26"/>
    <w:rsid w:val="002D15DF"/>
    <w:rsid w:val="002D16E3"/>
    <w:rsid w:val="002D199E"/>
    <w:rsid w:val="002D1C1D"/>
    <w:rsid w:val="002D2D6B"/>
    <w:rsid w:val="002D3057"/>
    <w:rsid w:val="002D352B"/>
    <w:rsid w:val="002D3BB5"/>
    <w:rsid w:val="002D4E6E"/>
    <w:rsid w:val="002D54D5"/>
    <w:rsid w:val="002D592F"/>
    <w:rsid w:val="002D5A3A"/>
    <w:rsid w:val="002D5C70"/>
    <w:rsid w:val="002D5CE3"/>
    <w:rsid w:val="002D5E0E"/>
    <w:rsid w:val="002D6A4D"/>
    <w:rsid w:val="002D6D88"/>
    <w:rsid w:val="002D7307"/>
    <w:rsid w:val="002D739F"/>
    <w:rsid w:val="002D747F"/>
    <w:rsid w:val="002D75C6"/>
    <w:rsid w:val="002D7BF7"/>
    <w:rsid w:val="002E012F"/>
    <w:rsid w:val="002E026F"/>
    <w:rsid w:val="002E02FC"/>
    <w:rsid w:val="002E08E1"/>
    <w:rsid w:val="002E1508"/>
    <w:rsid w:val="002E1611"/>
    <w:rsid w:val="002E24F9"/>
    <w:rsid w:val="002E25EA"/>
    <w:rsid w:val="002E2822"/>
    <w:rsid w:val="002E2F3A"/>
    <w:rsid w:val="002E3062"/>
    <w:rsid w:val="002E3155"/>
    <w:rsid w:val="002E3A31"/>
    <w:rsid w:val="002E47BE"/>
    <w:rsid w:val="002E4844"/>
    <w:rsid w:val="002E4C73"/>
    <w:rsid w:val="002E4DD6"/>
    <w:rsid w:val="002E51D6"/>
    <w:rsid w:val="002E54FB"/>
    <w:rsid w:val="002E590D"/>
    <w:rsid w:val="002E5B65"/>
    <w:rsid w:val="002E66F5"/>
    <w:rsid w:val="002E6A88"/>
    <w:rsid w:val="002E718E"/>
    <w:rsid w:val="002E7258"/>
    <w:rsid w:val="002E7586"/>
    <w:rsid w:val="002E77E1"/>
    <w:rsid w:val="002E7A32"/>
    <w:rsid w:val="002E7D86"/>
    <w:rsid w:val="002E7E42"/>
    <w:rsid w:val="002F008C"/>
    <w:rsid w:val="002F0DEB"/>
    <w:rsid w:val="002F1332"/>
    <w:rsid w:val="002F1D76"/>
    <w:rsid w:val="002F1F2C"/>
    <w:rsid w:val="002F23F3"/>
    <w:rsid w:val="002F2AAE"/>
    <w:rsid w:val="002F31A3"/>
    <w:rsid w:val="002F4344"/>
    <w:rsid w:val="002F44A1"/>
    <w:rsid w:val="002F5D98"/>
    <w:rsid w:val="002F62F0"/>
    <w:rsid w:val="002F670F"/>
    <w:rsid w:val="002F6B3B"/>
    <w:rsid w:val="002F6B83"/>
    <w:rsid w:val="002F6D32"/>
    <w:rsid w:val="002F72AD"/>
    <w:rsid w:val="002F787C"/>
    <w:rsid w:val="002F7A08"/>
    <w:rsid w:val="002F7C66"/>
    <w:rsid w:val="003004DA"/>
    <w:rsid w:val="00301520"/>
    <w:rsid w:val="0030247A"/>
    <w:rsid w:val="003025C8"/>
    <w:rsid w:val="00302852"/>
    <w:rsid w:val="00302F16"/>
    <w:rsid w:val="003031DF"/>
    <w:rsid w:val="003031EE"/>
    <w:rsid w:val="003039C8"/>
    <w:rsid w:val="003039F9"/>
    <w:rsid w:val="0030445F"/>
    <w:rsid w:val="00304B82"/>
    <w:rsid w:val="0030568E"/>
    <w:rsid w:val="0030570E"/>
    <w:rsid w:val="00305B1D"/>
    <w:rsid w:val="003061AF"/>
    <w:rsid w:val="0030633A"/>
    <w:rsid w:val="00306B8C"/>
    <w:rsid w:val="00307E6D"/>
    <w:rsid w:val="00310C25"/>
    <w:rsid w:val="00310F82"/>
    <w:rsid w:val="00311446"/>
    <w:rsid w:val="003117D0"/>
    <w:rsid w:val="00311A77"/>
    <w:rsid w:val="003122DE"/>
    <w:rsid w:val="003123E0"/>
    <w:rsid w:val="00312753"/>
    <w:rsid w:val="00312AE8"/>
    <w:rsid w:val="003136E8"/>
    <w:rsid w:val="0031403A"/>
    <w:rsid w:val="003145A6"/>
    <w:rsid w:val="0031462C"/>
    <w:rsid w:val="00314E22"/>
    <w:rsid w:val="00315D15"/>
    <w:rsid w:val="00315D96"/>
    <w:rsid w:val="00315F96"/>
    <w:rsid w:val="00316375"/>
    <w:rsid w:val="00316417"/>
    <w:rsid w:val="003168FE"/>
    <w:rsid w:val="00316B57"/>
    <w:rsid w:val="00317033"/>
    <w:rsid w:val="0031707A"/>
    <w:rsid w:val="00317242"/>
    <w:rsid w:val="0031734E"/>
    <w:rsid w:val="0031755E"/>
    <w:rsid w:val="00317AD4"/>
    <w:rsid w:val="00317C12"/>
    <w:rsid w:val="00320509"/>
    <w:rsid w:val="0032170A"/>
    <w:rsid w:val="00321BA5"/>
    <w:rsid w:val="00321C68"/>
    <w:rsid w:val="0032243B"/>
    <w:rsid w:val="0032261E"/>
    <w:rsid w:val="0032324A"/>
    <w:rsid w:val="00323422"/>
    <w:rsid w:val="00323B40"/>
    <w:rsid w:val="00323BF0"/>
    <w:rsid w:val="00325077"/>
    <w:rsid w:val="00325E66"/>
    <w:rsid w:val="003261A1"/>
    <w:rsid w:val="003262C0"/>
    <w:rsid w:val="0032673D"/>
    <w:rsid w:val="00326773"/>
    <w:rsid w:val="00326A2E"/>
    <w:rsid w:val="00326A43"/>
    <w:rsid w:val="00326B2F"/>
    <w:rsid w:val="00326E5E"/>
    <w:rsid w:val="003270CA"/>
    <w:rsid w:val="003278B8"/>
    <w:rsid w:val="003278D8"/>
    <w:rsid w:val="00327B4B"/>
    <w:rsid w:val="00330045"/>
    <w:rsid w:val="00330201"/>
    <w:rsid w:val="00330DCB"/>
    <w:rsid w:val="00330EF1"/>
    <w:rsid w:val="00330EF3"/>
    <w:rsid w:val="00331359"/>
    <w:rsid w:val="00331652"/>
    <w:rsid w:val="003319D8"/>
    <w:rsid w:val="0033284A"/>
    <w:rsid w:val="00332899"/>
    <w:rsid w:val="003328A6"/>
    <w:rsid w:val="0033339F"/>
    <w:rsid w:val="00333449"/>
    <w:rsid w:val="0033427F"/>
    <w:rsid w:val="0033430D"/>
    <w:rsid w:val="00334853"/>
    <w:rsid w:val="00334DD4"/>
    <w:rsid w:val="00335511"/>
    <w:rsid w:val="00335637"/>
    <w:rsid w:val="0033590F"/>
    <w:rsid w:val="00335996"/>
    <w:rsid w:val="00335A0D"/>
    <w:rsid w:val="003361C5"/>
    <w:rsid w:val="003364C3"/>
    <w:rsid w:val="0033784F"/>
    <w:rsid w:val="0034057D"/>
    <w:rsid w:val="00340616"/>
    <w:rsid w:val="00341229"/>
    <w:rsid w:val="00341E79"/>
    <w:rsid w:val="00341F73"/>
    <w:rsid w:val="0034227E"/>
    <w:rsid w:val="0034242F"/>
    <w:rsid w:val="003429E2"/>
    <w:rsid w:val="00342BD8"/>
    <w:rsid w:val="00342F8A"/>
    <w:rsid w:val="00343186"/>
    <w:rsid w:val="00343780"/>
    <w:rsid w:val="00343C8C"/>
    <w:rsid w:val="00344675"/>
    <w:rsid w:val="00344745"/>
    <w:rsid w:val="003448D0"/>
    <w:rsid w:val="0034490D"/>
    <w:rsid w:val="00344FCB"/>
    <w:rsid w:val="00345177"/>
    <w:rsid w:val="00345669"/>
    <w:rsid w:val="0034579B"/>
    <w:rsid w:val="00345CE1"/>
    <w:rsid w:val="00345D39"/>
    <w:rsid w:val="003464FB"/>
    <w:rsid w:val="003467B4"/>
    <w:rsid w:val="00346A42"/>
    <w:rsid w:val="00346AE4"/>
    <w:rsid w:val="00346AFE"/>
    <w:rsid w:val="0034719F"/>
    <w:rsid w:val="003471A1"/>
    <w:rsid w:val="003471E1"/>
    <w:rsid w:val="0034762E"/>
    <w:rsid w:val="0034775A"/>
    <w:rsid w:val="00350176"/>
    <w:rsid w:val="00350731"/>
    <w:rsid w:val="003509BA"/>
    <w:rsid w:val="00350C97"/>
    <w:rsid w:val="00351175"/>
    <w:rsid w:val="003512B1"/>
    <w:rsid w:val="003515E3"/>
    <w:rsid w:val="0035164F"/>
    <w:rsid w:val="00351681"/>
    <w:rsid w:val="00351826"/>
    <w:rsid w:val="00351F08"/>
    <w:rsid w:val="00352013"/>
    <w:rsid w:val="00352384"/>
    <w:rsid w:val="0035242B"/>
    <w:rsid w:val="00353160"/>
    <w:rsid w:val="003534B0"/>
    <w:rsid w:val="00353C3B"/>
    <w:rsid w:val="003547BE"/>
    <w:rsid w:val="00355958"/>
    <w:rsid w:val="0035626E"/>
    <w:rsid w:val="003566FD"/>
    <w:rsid w:val="00356DEA"/>
    <w:rsid w:val="003575B5"/>
    <w:rsid w:val="00357A42"/>
    <w:rsid w:val="003605BA"/>
    <w:rsid w:val="00360BB6"/>
    <w:rsid w:val="00360EE2"/>
    <w:rsid w:val="0036143E"/>
    <w:rsid w:val="00361883"/>
    <w:rsid w:val="00361AC6"/>
    <w:rsid w:val="00361B2F"/>
    <w:rsid w:val="00361D51"/>
    <w:rsid w:val="00362A97"/>
    <w:rsid w:val="003631F6"/>
    <w:rsid w:val="00363D3E"/>
    <w:rsid w:val="00364144"/>
    <w:rsid w:val="00364A28"/>
    <w:rsid w:val="00364EBE"/>
    <w:rsid w:val="0036505E"/>
    <w:rsid w:val="003654CB"/>
    <w:rsid w:val="00365B4F"/>
    <w:rsid w:val="00365C64"/>
    <w:rsid w:val="00365F5F"/>
    <w:rsid w:val="00366594"/>
    <w:rsid w:val="00366AB0"/>
    <w:rsid w:val="00366B9A"/>
    <w:rsid w:val="003674DF"/>
    <w:rsid w:val="00367717"/>
    <w:rsid w:val="0036785F"/>
    <w:rsid w:val="00367A27"/>
    <w:rsid w:val="003705D7"/>
    <w:rsid w:val="00370CAC"/>
    <w:rsid w:val="00370D0E"/>
    <w:rsid w:val="003711E7"/>
    <w:rsid w:val="003712CE"/>
    <w:rsid w:val="00372013"/>
    <w:rsid w:val="00372134"/>
    <w:rsid w:val="0037242B"/>
    <w:rsid w:val="00372983"/>
    <w:rsid w:val="00372CFA"/>
    <w:rsid w:val="00372D87"/>
    <w:rsid w:val="00373422"/>
    <w:rsid w:val="0037343B"/>
    <w:rsid w:val="0037345F"/>
    <w:rsid w:val="0037351B"/>
    <w:rsid w:val="00373A52"/>
    <w:rsid w:val="00373EE2"/>
    <w:rsid w:val="00374C1C"/>
    <w:rsid w:val="00374CB5"/>
    <w:rsid w:val="00375070"/>
    <w:rsid w:val="0037517F"/>
    <w:rsid w:val="0037566C"/>
    <w:rsid w:val="0037589D"/>
    <w:rsid w:val="00375F10"/>
    <w:rsid w:val="00376663"/>
    <w:rsid w:val="00377499"/>
    <w:rsid w:val="00377B43"/>
    <w:rsid w:val="00380255"/>
    <w:rsid w:val="00380591"/>
    <w:rsid w:val="00380E0C"/>
    <w:rsid w:val="00380F1C"/>
    <w:rsid w:val="00380F3A"/>
    <w:rsid w:val="00381A87"/>
    <w:rsid w:val="00381B22"/>
    <w:rsid w:val="00381CC1"/>
    <w:rsid w:val="00382A5F"/>
    <w:rsid w:val="00382A9A"/>
    <w:rsid w:val="0038301C"/>
    <w:rsid w:val="00383919"/>
    <w:rsid w:val="00384138"/>
    <w:rsid w:val="00385B11"/>
    <w:rsid w:val="00386569"/>
    <w:rsid w:val="003867E8"/>
    <w:rsid w:val="00386C08"/>
    <w:rsid w:val="003872A1"/>
    <w:rsid w:val="00387636"/>
    <w:rsid w:val="00387E27"/>
    <w:rsid w:val="003902F2"/>
    <w:rsid w:val="0039046F"/>
    <w:rsid w:val="00390592"/>
    <w:rsid w:val="003906BA"/>
    <w:rsid w:val="00390E40"/>
    <w:rsid w:val="003921F2"/>
    <w:rsid w:val="00392708"/>
    <w:rsid w:val="00392F33"/>
    <w:rsid w:val="0039336F"/>
    <w:rsid w:val="003934DA"/>
    <w:rsid w:val="0039366F"/>
    <w:rsid w:val="00393691"/>
    <w:rsid w:val="00394197"/>
    <w:rsid w:val="00394402"/>
    <w:rsid w:val="003949AF"/>
    <w:rsid w:val="00394AE9"/>
    <w:rsid w:val="00394B1C"/>
    <w:rsid w:val="00394F40"/>
    <w:rsid w:val="00395F6B"/>
    <w:rsid w:val="00396194"/>
    <w:rsid w:val="003969A0"/>
    <w:rsid w:val="00396A7D"/>
    <w:rsid w:val="00397AAB"/>
    <w:rsid w:val="00397D15"/>
    <w:rsid w:val="003A0179"/>
    <w:rsid w:val="003A0448"/>
    <w:rsid w:val="003A0F9E"/>
    <w:rsid w:val="003A13B5"/>
    <w:rsid w:val="003A1F7C"/>
    <w:rsid w:val="003A209F"/>
    <w:rsid w:val="003A2495"/>
    <w:rsid w:val="003A26E1"/>
    <w:rsid w:val="003A297C"/>
    <w:rsid w:val="003A29F5"/>
    <w:rsid w:val="003A30BC"/>
    <w:rsid w:val="003A3144"/>
    <w:rsid w:val="003A3855"/>
    <w:rsid w:val="003A3C2D"/>
    <w:rsid w:val="003A406D"/>
    <w:rsid w:val="003A4314"/>
    <w:rsid w:val="003A4E8D"/>
    <w:rsid w:val="003A5351"/>
    <w:rsid w:val="003A53E4"/>
    <w:rsid w:val="003A549C"/>
    <w:rsid w:val="003A569A"/>
    <w:rsid w:val="003A5A7B"/>
    <w:rsid w:val="003A5BBE"/>
    <w:rsid w:val="003A69F3"/>
    <w:rsid w:val="003A6C37"/>
    <w:rsid w:val="003A6DF7"/>
    <w:rsid w:val="003A72F0"/>
    <w:rsid w:val="003B0317"/>
    <w:rsid w:val="003B041B"/>
    <w:rsid w:val="003B05C8"/>
    <w:rsid w:val="003B08D7"/>
    <w:rsid w:val="003B0944"/>
    <w:rsid w:val="003B09E1"/>
    <w:rsid w:val="003B124A"/>
    <w:rsid w:val="003B1683"/>
    <w:rsid w:val="003B16FD"/>
    <w:rsid w:val="003B1A34"/>
    <w:rsid w:val="003B1BD3"/>
    <w:rsid w:val="003B1F33"/>
    <w:rsid w:val="003B2424"/>
    <w:rsid w:val="003B288D"/>
    <w:rsid w:val="003B3455"/>
    <w:rsid w:val="003B3AA8"/>
    <w:rsid w:val="003B3C4D"/>
    <w:rsid w:val="003B3E62"/>
    <w:rsid w:val="003B3E8B"/>
    <w:rsid w:val="003B3FCD"/>
    <w:rsid w:val="003B44C7"/>
    <w:rsid w:val="003B4769"/>
    <w:rsid w:val="003B497E"/>
    <w:rsid w:val="003B4F47"/>
    <w:rsid w:val="003B4F71"/>
    <w:rsid w:val="003B591E"/>
    <w:rsid w:val="003B5B0B"/>
    <w:rsid w:val="003B636E"/>
    <w:rsid w:val="003B63F3"/>
    <w:rsid w:val="003B6496"/>
    <w:rsid w:val="003B659C"/>
    <w:rsid w:val="003B65F6"/>
    <w:rsid w:val="003B67D4"/>
    <w:rsid w:val="003B699C"/>
    <w:rsid w:val="003B7192"/>
    <w:rsid w:val="003B71C2"/>
    <w:rsid w:val="003B7698"/>
    <w:rsid w:val="003B78CA"/>
    <w:rsid w:val="003B7D6F"/>
    <w:rsid w:val="003B7E22"/>
    <w:rsid w:val="003C0263"/>
    <w:rsid w:val="003C0337"/>
    <w:rsid w:val="003C0377"/>
    <w:rsid w:val="003C07EF"/>
    <w:rsid w:val="003C1866"/>
    <w:rsid w:val="003C2258"/>
    <w:rsid w:val="003C227E"/>
    <w:rsid w:val="003C2A11"/>
    <w:rsid w:val="003C2BB9"/>
    <w:rsid w:val="003C2FF2"/>
    <w:rsid w:val="003C3348"/>
    <w:rsid w:val="003C33E0"/>
    <w:rsid w:val="003C3855"/>
    <w:rsid w:val="003C38BF"/>
    <w:rsid w:val="003C38DA"/>
    <w:rsid w:val="003C3F81"/>
    <w:rsid w:val="003C3F95"/>
    <w:rsid w:val="003C40BD"/>
    <w:rsid w:val="003C41F2"/>
    <w:rsid w:val="003C489E"/>
    <w:rsid w:val="003C4A0C"/>
    <w:rsid w:val="003C4C55"/>
    <w:rsid w:val="003C4C8C"/>
    <w:rsid w:val="003C4C94"/>
    <w:rsid w:val="003C54B6"/>
    <w:rsid w:val="003C587A"/>
    <w:rsid w:val="003C5B8D"/>
    <w:rsid w:val="003C6835"/>
    <w:rsid w:val="003C68A6"/>
    <w:rsid w:val="003C6C13"/>
    <w:rsid w:val="003C6ED1"/>
    <w:rsid w:val="003C7393"/>
    <w:rsid w:val="003C752F"/>
    <w:rsid w:val="003D02E3"/>
    <w:rsid w:val="003D0DBC"/>
    <w:rsid w:val="003D0EB0"/>
    <w:rsid w:val="003D176F"/>
    <w:rsid w:val="003D21E5"/>
    <w:rsid w:val="003D2395"/>
    <w:rsid w:val="003D2DDC"/>
    <w:rsid w:val="003D300B"/>
    <w:rsid w:val="003D31E1"/>
    <w:rsid w:val="003D3260"/>
    <w:rsid w:val="003D3317"/>
    <w:rsid w:val="003D38F2"/>
    <w:rsid w:val="003D3946"/>
    <w:rsid w:val="003D3B5F"/>
    <w:rsid w:val="003D3C4A"/>
    <w:rsid w:val="003D3E62"/>
    <w:rsid w:val="003D4234"/>
    <w:rsid w:val="003D45A3"/>
    <w:rsid w:val="003D475A"/>
    <w:rsid w:val="003D4952"/>
    <w:rsid w:val="003D4D2A"/>
    <w:rsid w:val="003D4DB7"/>
    <w:rsid w:val="003D513C"/>
    <w:rsid w:val="003D54E6"/>
    <w:rsid w:val="003D5723"/>
    <w:rsid w:val="003D64C2"/>
    <w:rsid w:val="003D6E93"/>
    <w:rsid w:val="003D72E8"/>
    <w:rsid w:val="003D795F"/>
    <w:rsid w:val="003D7CB8"/>
    <w:rsid w:val="003D7CF3"/>
    <w:rsid w:val="003E0A60"/>
    <w:rsid w:val="003E1719"/>
    <w:rsid w:val="003E1891"/>
    <w:rsid w:val="003E1BC9"/>
    <w:rsid w:val="003E1DFC"/>
    <w:rsid w:val="003E254B"/>
    <w:rsid w:val="003E30F3"/>
    <w:rsid w:val="003E32EC"/>
    <w:rsid w:val="003E382E"/>
    <w:rsid w:val="003E39D1"/>
    <w:rsid w:val="003E464A"/>
    <w:rsid w:val="003E491F"/>
    <w:rsid w:val="003E4A29"/>
    <w:rsid w:val="003E4A69"/>
    <w:rsid w:val="003E4D30"/>
    <w:rsid w:val="003E5524"/>
    <w:rsid w:val="003E5F10"/>
    <w:rsid w:val="003E6860"/>
    <w:rsid w:val="003E6A45"/>
    <w:rsid w:val="003E70A2"/>
    <w:rsid w:val="003E7195"/>
    <w:rsid w:val="003F05E9"/>
    <w:rsid w:val="003F084E"/>
    <w:rsid w:val="003F0971"/>
    <w:rsid w:val="003F0ECD"/>
    <w:rsid w:val="003F15B3"/>
    <w:rsid w:val="003F1614"/>
    <w:rsid w:val="003F17D5"/>
    <w:rsid w:val="003F241E"/>
    <w:rsid w:val="003F261A"/>
    <w:rsid w:val="003F468A"/>
    <w:rsid w:val="003F4E3C"/>
    <w:rsid w:val="003F5314"/>
    <w:rsid w:val="003F5560"/>
    <w:rsid w:val="003F5973"/>
    <w:rsid w:val="003F5B34"/>
    <w:rsid w:val="003F5C69"/>
    <w:rsid w:val="003F5D6B"/>
    <w:rsid w:val="003F5D74"/>
    <w:rsid w:val="003F5F3C"/>
    <w:rsid w:val="003F61C3"/>
    <w:rsid w:val="003F6395"/>
    <w:rsid w:val="003F64BA"/>
    <w:rsid w:val="003F657C"/>
    <w:rsid w:val="003F695C"/>
    <w:rsid w:val="003F6AE5"/>
    <w:rsid w:val="003F7CBF"/>
    <w:rsid w:val="003F7EAC"/>
    <w:rsid w:val="004001E7"/>
    <w:rsid w:val="00400303"/>
    <w:rsid w:val="00400529"/>
    <w:rsid w:val="00400C5B"/>
    <w:rsid w:val="00401647"/>
    <w:rsid w:val="00401CB4"/>
    <w:rsid w:val="00401D1C"/>
    <w:rsid w:val="00401F5C"/>
    <w:rsid w:val="00402B47"/>
    <w:rsid w:val="00402FB3"/>
    <w:rsid w:val="00403453"/>
    <w:rsid w:val="00404783"/>
    <w:rsid w:val="00405248"/>
    <w:rsid w:val="004056F7"/>
    <w:rsid w:val="0040584B"/>
    <w:rsid w:val="00405A01"/>
    <w:rsid w:val="0040625F"/>
    <w:rsid w:val="0040662F"/>
    <w:rsid w:val="00406B18"/>
    <w:rsid w:val="00406E31"/>
    <w:rsid w:val="00407A8C"/>
    <w:rsid w:val="00407B5B"/>
    <w:rsid w:val="00407EFA"/>
    <w:rsid w:val="004100C3"/>
    <w:rsid w:val="004102F6"/>
    <w:rsid w:val="00410BAA"/>
    <w:rsid w:val="0041135F"/>
    <w:rsid w:val="004118BB"/>
    <w:rsid w:val="00411B08"/>
    <w:rsid w:val="00411E7F"/>
    <w:rsid w:val="00412618"/>
    <w:rsid w:val="004128E5"/>
    <w:rsid w:val="004129C1"/>
    <w:rsid w:val="004136A2"/>
    <w:rsid w:val="00413B3F"/>
    <w:rsid w:val="004140F5"/>
    <w:rsid w:val="004143E3"/>
    <w:rsid w:val="004147DE"/>
    <w:rsid w:val="004149A8"/>
    <w:rsid w:val="00414DF5"/>
    <w:rsid w:val="004154D5"/>
    <w:rsid w:val="00415673"/>
    <w:rsid w:val="00416200"/>
    <w:rsid w:val="00417386"/>
    <w:rsid w:val="00417479"/>
    <w:rsid w:val="0041748E"/>
    <w:rsid w:val="00417695"/>
    <w:rsid w:val="00417AD2"/>
    <w:rsid w:val="00417C2D"/>
    <w:rsid w:val="00417E71"/>
    <w:rsid w:val="0042002B"/>
    <w:rsid w:val="00420354"/>
    <w:rsid w:val="00420360"/>
    <w:rsid w:val="004204B7"/>
    <w:rsid w:val="0042095C"/>
    <w:rsid w:val="00420A10"/>
    <w:rsid w:val="00420AF5"/>
    <w:rsid w:val="00421082"/>
    <w:rsid w:val="00421096"/>
    <w:rsid w:val="004210C4"/>
    <w:rsid w:val="00421458"/>
    <w:rsid w:val="0042282B"/>
    <w:rsid w:val="00422DA8"/>
    <w:rsid w:val="00422F71"/>
    <w:rsid w:val="00423519"/>
    <w:rsid w:val="0042379C"/>
    <w:rsid w:val="00423A22"/>
    <w:rsid w:val="00423EA9"/>
    <w:rsid w:val="00424411"/>
    <w:rsid w:val="00424975"/>
    <w:rsid w:val="00424A9A"/>
    <w:rsid w:val="004251C5"/>
    <w:rsid w:val="0042546D"/>
    <w:rsid w:val="00425680"/>
    <w:rsid w:val="004256D0"/>
    <w:rsid w:val="00425A22"/>
    <w:rsid w:val="00425A2D"/>
    <w:rsid w:val="00425C8E"/>
    <w:rsid w:val="00425F17"/>
    <w:rsid w:val="00425F5C"/>
    <w:rsid w:val="00425F69"/>
    <w:rsid w:val="00425FA7"/>
    <w:rsid w:val="00426033"/>
    <w:rsid w:val="0042617C"/>
    <w:rsid w:val="004263B3"/>
    <w:rsid w:val="0042642B"/>
    <w:rsid w:val="00426461"/>
    <w:rsid w:val="00426D59"/>
    <w:rsid w:val="004271A6"/>
    <w:rsid w:val="00427CD9"/>
    <w:rsid w:val="00427F70"/>
    <w:rsid w:val="00427FCC"/>
    <w:rsid w:val="0043034E"/>
    <w:rsid w:val="00430508"/>
    <w:rsid w:val="004306ED"/>
    <w:rsid w:val="0043098B"/>
    <w:rsid w:val="00432638"/>
    <w:rsid w:val="0043300D"/>
    <w:rsid w:val="00433187"/>
    <w:rsid w:val="0043344C"/>
    <w:rsid w:val="00433651"/>
    <w:rsid w:val="00434CA0"/>
    <w:rsid w:val="00435280"/>
    <w:rsid w:val="00435A04"/>
    <w:rsid w:val="00435DEF"/>
    <w:rsid w:val="00436D28"/>
    <w:rsid w:val="00436E26"/>
    <w:rsid w:val="00437FC3"/>
    <w:rsid w:val="00440CF2"/>
    <w:rsid w:val="004415A2"/>
    <w:rsid w:val="004415DF"/>
    <w:rsid w:val="00441861"/>
    <w:rsid w:val="00442537"/>
    <w:rsid w:val="0044282A"/>
    <w:rsid w:val="00442A9D"/>
    <w:rsid w:val="00443362"/>
    <w:rsid w:val="0044376A"/>
    <w:rsid w:val="00443775"/>
    <w:rsid w:val="00443FC8"/>
    <w:rsid w:val="00444228"/>
    <w:rsid w:val="004442DC"/>
    <w:rsid w:val="004443ED"/>
    <w:rsid w:val="0044453B"/>
    <w:rsid w:val="0044454A"/>
    <w:rsid w:val="00444FCA"/>
    <w:rsid w:val="00445A74"/>
    <w:rsid w:val="0044670A"/>
    <w:rsid w:val="0044708A"/>
    <w:rsid w:val="00447A74"/>
    <w:rsid w:val="0045003A"/>
    <w:rsid w:val="004500A7"/>
    <w:rsid w:val="004502FC"/>
    <w:rsid w:val="004504C0"/>
    <w:rsid w:val="004506B0"/>
    <w:rsid w:val="004511D4"/>
    <w:rsid w:val="00451420"/>
    <w:rsid w:val="004518D3"/>
    <w:rsid w:val="0045215E"/>
    <w:rsid w:val="0045265E"/>
    <w:rsid w:val="004529C2"/>
    <w:rsid w:val="004529E0"/>
    <w:rsid w:val="00452A2A"/>
    <w:rsid w:val="00452F5A"/>
    <w:rsid w:val="004532C2"/>
    <w:rsid w:val="00453308"/>
    <w:rsid w:val="00453776"/>
    <w:rsid w:val="00453E8E"/>
    <w:rsid w:val="00453FA2"/>
    <w:rsid w:val="004540DB"/>
    <w:rsid w:val="00454516"/>
    <w:rsid w:val="004546FF"/>
    <w:rsid w:val="004547CE"/>
    <w:rsid w:val="00454F7D"/>
    <w:rsid w:val="0045509C"/>
    <w:rsid w:val="004550BD"/>
    <w:rsid w:val="00455411"/>
    <w:rsid w:val="0045569C"/>
    <w:rsid w:val="004558E4"/>
    <w:rsid w:val="00455AFC"/>
    <w:rsid w:val="00455F65"/>
    <w:rsid w:val="004562B8"/>
    <w:rsid w:val="004565A0"/>
    <w:rsid w:val="004565DC"/>
    <w:rsid w:val="0045679E"/>
    <w:rsid w:val="00456B66"/>
    <w:rsid w:val="00456B8E"/>
    <w:rsid w:val="00456C68"/>
    <w:rsid w:val="004576FB"/>
    <w:rsid w:val="00457FC3"/>
    <w:rsid w:val="00460621"/>
    <w:rsid w:val="00460A92"/>
    <w:rsid w:val="00460ADF"/>
    <w:rsid w:val="004611AF"/>
    <w:rsid w:val="00461936"/>
    <w:rsid w:val="00461CAD"/>
    <w:rsid w:val="00461DDE"/>
    <w:rsid w:val="00462440"/>
    <w:rsid w:val="0046251E"/>
    <w:rsid w:val="00462944"/>
    <w:rsid w:val="00462B15"/>
    <w:rsid w:val="0046337B"/>
    <w:rsid w:val="004634CB"/>
    <w:rsid w:val="0046403E"/>
    <w:rsid w:val="0046426E"/>
    <w:rsid w:val="00464CF3"/>
    <w:rsid w:val="00465282"/>
    <w:rsid w:val="00465F58"/>
    <w:rsid w:val="00466CEE"/>
    <w:rsid w:val="00467B05"/>
    <w:rsid w:val="00467E5B"/>
    <w:rsid w:val="00470857"/>
    <w:rsid w:val="0047094F"/>
    <w:rsid w:val="00470CAA"/>
    <w:rsid w:val="004710A5"/>
    <w:rsid w:val="00471135"/>
    <w:rsid w:val="00471666"/>
    <w:rsid w:val="00471C72"/>
    <w:rsid w:val="00471F82"/>
    <w:rsid w:val="00472B20"/>
    <w:rsid w:val="00472C92"/>
    <w:rsid w:val="00472DFB"/>
    <w:rsid w:val="00473220"/>
    <w:rsid w:val="00473CC3"/>
    <w:rsid w:val="00474071"/>
    <w:rsid w:val="00474B43"/>
    <w:rsid w:val="00474FF1"/>
    <w:rsid w:val="00475A61"/>
    <w:rsid w:val="00475E6E"/>
    <w:rsid w:val="00476124"/>
    <w:rsid w:val="004762AA"/>
    <w:rsid w:val="004769BC"/>
    <w:rsid w:val="004770FC"/>
    <w:rsid w:val="00477CCC"/>
    <w:rsid w:val="004804C7"/>
    <w:rsid w:val="004809AE"/>
    <w:rsid w:val="00480A3C"/>
    <w:rsid w:val="004817F5"/>
    <w:rsid w:val="00481928"/>
    <w:rsid w:val="004825C2"/>
    <w:rsid w:val="00482854"/>
    <w:rsid w:val="0048299D"/>
    <w:rsid w:val="00483256"/>
    <w:rsid w:val="00483D84"/>
    <w:rsid w:val="00483F29"/>
    <w:rsid w:val="00484260"/>
    <w:rsid w:val="004848ED"/>
    <w:rsid w:val="00484BBA"/>
    <w:rsid w:val="00484D23"/>
    <w:rsid w:val="00485161"/>
    <w:rsid w:val="0048533F"/>
    <w:rsid w:val="00485372"/>
    <w:rsid w:val="00485919"/>
    <w:rsid w:val="00485AC7"/>
    <w:rsid w:val="00485ACD"/>
    <w:rsid w:val="00485C2F"/>
    <w:rsid w:val="00485CF4"/>
    <w:rsid w:val="00487250"/>
    <w:rsid w:val="00487D12"/>
    <w:rsid w:val="00487D99"/>
    <w:rsid w:val="00490056"/>
    <w:rsid w:val="004908BA"/>
    <w:rsid w:val="00490CE0"/>
    <w:rsid w:val="00490E31"/>
    <w:rsid w:val="0049284B"/>
    <w:rsid w:val="00492D33"/>
    <w:rsid w:val="004930A0"/>
    <w:rsid w:val="004931F8"/>
    <w:rsid w:val="0049343F"/>
    <w:rsid w:val="0049344A"/>
    <w:rsid w:val="004938D2"/>
    <w:rsid w:val="004939D1"/>
    <w:rsid w:val="00493B5A"/>
    <w:rsid w:val="0049545E"/>
    <w:rsid w:val="0049553A"/>
    <w:rsid w:val="0049570D"/>
    <w:rsid w:val="00495716"/>
    <w:rsid w:val="0049586C"/>
    <w:rsid w:val="00496827"/>
    <w:rsid w:val="004968FE"/>
    <w:rsid w:val="00496AB3"/>
    <w:rsid w:val="00496C3F"/>
    <w:rsid w:val="004970BB"/>
    <w:rsid w:val="0049747A"/>
    <w:rsid w:val="004974F6"/>
    <w:rsid w:val="00497884"/>
    <w:rsid w:val="00497E6F"/>
    <w:rsid w:val="004A00A7"/>
    <w:rsid w:val="004A035B"/>
    <w:rsid w:val="004A09A4"/>
    <w:rsid w:val="004A0CEB"/>
    <w:rsid w:val="004A1559"/>
    <w:rsid w:val="004A18EF"/>
    <w:rsid w:val="004A1C7E"/>
    <w:rsid w:val="004A1F7D"/>
    <w:rsid w:val="004A22D3"/>
    <w:rsid w:val="004A2A9A"/>
    <w:rsid w:val="004A307E"/>
    <w:rsid w:val="004A3221"/>
    <w:rsid w:val="004A3A8C"/>
    <w:rsid w:val="004A3FE0"/>
    <w:rsid w:val="004A4564"/>
    <w:rsid w:val="004A4B29"/>
    <w:rsid w:val="004A4DB1"/>
    <w:rsid w:val="004A5B2F"/>
    <w:rsid w:val="004A6038"/>
    <w:rsid w:val="004A6A17"/>
    <w:rsid w:val="004A6CBD"/>
    <w:rsid w:val="004A6D8D"/>
    <w:rsid w:val="004A706B"/>
    <w:rsid w:val="004A774C"/>
    <w:rsid w:val="004A7845"/>
    <w:rsid w:val="004A7A14"/>
    <w:rsid w:val="004B1064"/>
    <w:rsid w:val="004B154D"/>
    <w:rsid w:val="004B1A85"/>
    <w:rsid w:val="004B20A7"/>
    <w:rsid w:val="004B22E9"/>
    <w:rsid w:val="004B25B5"/>
    <w:rsid w:val="004B2931"/>
    <w:rsid w:val="004B2A18"/>
    <w:rsid w:val="004B2D8C"/>
    <w:rsid w:val="004B2EC8"/>
    <w:rsid w:val="004B2F17"/>
    <w:rsid w:val="004B3D89"/>
    <w:rsid w:val="004B3F72"/>
    <w:rsid w:val="004B44B5"/>
    <w:rsid w:val="004B45B5"/>
    <w:rsid w:val="004B45DA"/>
    <w:rsid w:val="004B51B3"/>
    <w:rsid w:val="004B5459"/>
    <w:rsid w:val="004B54F4"/>
    <w:rsid w:val="004B59EE"/>
    <w:rsid w:val="004B5A24"/>
    <w:rsid w:val="004B5BAB"/>
    <w:rsid w:val="004B5C09"/>
    <w:rsid w:val="004B5C5D"/>
    <w:rsid w:val="004B5DBA"/>
    <w:rsid w:val="004B604B"/>
    <w:rsid w:val="004B6417"/>
    <w:rsid w:val="004B6ADB"/>
    <w:rsid w:val="004B6E70"/>
    <w:rsid w:val="004B7885"/>
    <w:rsid w:val="004B79D0"/>
    <w:rsid w:val="004C1493"/>
    <w:rsid w:val="004C15A9"/>
    <w:rsid w:val="004C2106"/>
    <w:rsid w:val="004C2581"/>
    <w:rsid w:val="004C2BB0"/>
    <w:rsid w:val="004C2CAF"/>
    <w:rsid w:val="004C304D"/>
    <w:rsid w:val="004C334B"/>
    <w:rsid w:val="004C4568"/>
    <w:rsid w:val="004C497B"/>
    <w:rsid w:val="004C5488"/>
    <w:rsid w:val="004C61D5"/>
    <w:rsid w:val="004C7221"/>
    <w:rsid w:val="004C744E"/>
    <w:rsid w:val="004C7644"/>
    <w:rsid w:val="004C77F5"/>
    <w:rsid w:val="004C7843"/>
    <w:rsid w:val="004C7F78"/>
    <w:rsid w:val="004D045B"/>
    <w:rsid w:val="004D0813"/>
    <w:rsid w:val="004D0E62"/>
    <w:rsid w:val="004D150B"/>
    <w:rsid w:val="004D1982"/>
    <w:rsid w:val="004D1A1C"/>
    <w:rsid w:val="004D1DFF"/>
    <w:rsid w:val="004D2820"/>
    <w:rsid w:val="004D2971"/>
    <w:rsid w:val="004D2CF6"/>
    <w:rsid w:val="004D331A"/>
    <w:rsid w:val="004D36C1"/>
    <w:rsid w:val="004D460C"/>
    <w:rsid w:val="004D4971"/>
    <w:rsid w:val="004D4F8C"/>
    <w:rsid w:val="004D547F"/>
    <w:rsid w:val="004D5565"/>
    <w:rsid w:val="004D5ED7"/>
    <w:rsid w:val="004D6354"/>
    <w:rsid w:val="004D64A8"/>
    <w:rsid w:val="004D6E46"/>
    <w:rsid w:val="004D7CA6"/>
    <w:rsid w:val="004D7DB8"/>
    <w:rsid w:val="004D7DF6"/>
    <w:rsid w:val="004E04F6"/>
    <w:rsid w:val="004E12AA"/>
    <w:rsid w:val="004E1A2C"/>
    <w:rsid w:val="004E2455"/>
    <w:rsid w:val="004E2769"/>
    <w:rsid w:val="004E2D9F"/>
    <w:rsid w:val="004E2EF9"/>
    <w:rsid w:val="004E326A"/>
    <w:rsid w:val="004E32C8"/>
    <w:rsid w:val="004E3479"/>
    <w:rsid w:val="004E3AF0"/>
    <w:rsid w:val="004E4153"/>
    <w:rsid w:val="004E4243"/>
    <w:rsid w:val="004E4C56"/>
    <w:rsid w:val="004E4DD1"/>
    <w:rsid w:val="004E4FE3"/>
    <w:rsid w:val="004E554A"/>
    <w:rsid w:val="004E55DA"/>
    <w:rsid w:val="004E60CA"/>
    <w:rsid w:val="004E6A16"/>
    <w:rsid w:val="004E6D0E"/>
    <w:rsid w:val="004E6EE4"/>
    <w:rsid w:val="004E7B50"/>
    <w:rsid w:val="004E7D8F"/>
    <w:rsid w:val="004E7FC3"/>
    <w:rsid w:val="004F0332"/>
    <w:rsid w:val="004F04E0"/>
    <w:rsid w:val="004F0746"/>
    <w:rsid w:val="004F08BE"/>
    <w:rsid w:val="004F0A3E"/>
    <w:rsid w:val="004F0BE5"/>
    <w:rsid w:val="004F0BEE"/>
    <w:rsid w:val="004F1975"/>
    <w:rsid w:val="004F2616"/>
    <w:rsid w:val="004F33E3"/>
    <w:rsid w:val="004F3859"/>
    <w:rsid w:val="004F39F8"/>
    <w:rsid w:val="004F3BE4"/>
    <w:rsid w:val="004F3C9A"/>
    <w:rsid w:val="004F3D30"/>
    <w:rsid w:val="004F3F79"/>
    <w:rsid w:val="004F4011"/>
    <w:rsid w:val="004F4131"/>
    <w:rsid w:val="004F413A"/>
    <w:rsid w:val="004F46B4"/>
    <w:rsid w:val="004F4773"/>
    <w:rsid w:val="004F4842"/>
    <w:rsid w:val="004F5079"/>
    <w:rsid w:val="004F55DA"/>
    <w:rsid w:val="004F56AE"/>
    <w:rsid w:val="004F58F4"/>
    <w:rsid w:val="004F5C07"/>
    <w:rsid w:val="004F5E60"/>
    <w:rsid w:val="004F5F56"/>
    <w:rsid w:val="004F5FAD"/>
    <w:rsid w:val="004F610D"/>
    <w:rsid w:val="004F6686"/>
    <w:rsid w:val="004F6B19"/>
    <w:rsid w:val="004F6EDC"/>
    <w:rsid w:val="004F7317"/>
    <w:rsid w:val="004F74C8"/>
    <w:rsid w:val="004F7854"/>
    <w:rsid w:val="004F78F3"/>
    <w:rsid w:val="004F7E6C"/>
    <w:rsid w:val="00500CDF"/>
    <w:rsid w:val="00501643"/>
    <w:rsid w:val="00501B51"/>
    <w:rsid w:val="00501B5A"/>
    <w:rsid w:val="00501EFD"/>
    <w:rsid w:val="00502123"/>
    <w:rsid w:val="00502651"/>
    <w:rsid w:val="005026FA"/>
    <w:rsid w:val="00502AB7"/>
    <w:rsid w:val="00502E58"/>
    <w:rsid w:val="00502F7E"/>
    <w:rsid w:val="00503297"/>
    <w:rsid w:val="00503764"/>
    <w:rsid w:val="00503801"/>
    <w:rsid w:val="00503DB2"/>
    <w:rsid w:val="005040FA"/>
    <w:rsid w:val="00504112"/>
    <w:rsid w:val="00504783"/>
    <w:rsid w:val="00505158"/>
    <w:rsid w:val="00505162"/>
    <w:rsid w:val="005055A0"/>
    <w:rsid w:val="00505B13"/>
    <w:rsid w:val="00505FED"/>
    <w:rsid w:val="005067B1"/>
    <w:rsid w:val="00506CC0"/>
    <w:rsid w:val="00506D01"/>
    <w:rsid w:val="00506F05"/>
    <w:rsid w:val="0050734F"/>
    <w:rsid w:val="00507394"/>
    <w:rsid w:val="005102BA"/>
    <w:rsid w:val="00510577"/>
    <w:rsid w:val="005109A8"/>
    <w:rsid w:val="00510C77"/>
    <w:rsid w:val="00511278"/>
    <w:rsid w:val="0051141C"/>
    <w:rsid w:val="005118BF"/>
    <w:rsid w:val="0051197C"/>
    <w:rsid w:val="00511D4F"/>
    <w:rsid w:val="00511F92"/>
    <w:rsid w:val="00512B89"/>
    <w:rsid w:val="005135BC"/>
    <w:rsid w:val="005138DC"/>
    <w:rsid w:val="005149A2"/>
    <w:rsid w:val="00515123"/>
    <w:rsid w:val="00515EE9"/>
    <w:rsid w:val="00515F22"/>
    <w:rsid w:val="00517193"/>
    <w:rsid w:val="00517510"/>
    <w:rsid w:val="00517BB3"/>
    <w:rsid w:val="00517BD7"/>
    <w:rsid w:val="00517EBD"/>
    <w:rsid w:val="005201FA"/>
    <w:rsid w:val="0052076D"/>
    <w:rsid w:val="00520F9C"/>
    <w:rsid w:val="0052137B"/>
    <w:rsid w:val="00521403"/>
    <w:rsid w:val="00521AD8"/>
    <w:rsid w:val="00522489"/>
    <w:rsid w:val="00522D70"/>
    <w:rsid w:val="005232D3"/>
    <w:rsid w:val="00523A88"/>
    <w:rsid w:val="00523FC7"/>
    <w:rsid w:val="00523FCE"/>
    <w:rsid w:val="005240D0"/>
    <w:rsid w:val="005243C4"/>
    <w:rsid w:val="00524410"/>
    <w:rsid w:val="0052487D"/>
    <w:rsid w:val="0052498D"/>
    <w:rsid w:val="00524C6D"/>
    <w:rsid w:val="00525173"/>
    <w:rsid w:val="005259D4"/>
    <w:rsid w:val="00525BC1"/>
    <w:rsid w:val="0052673B"/>
    <w:rsid w:val="00526797"/>
    <w:rsid w:val="00526DC9"/>
    <w:rsid w:val="00527157"/>
    <w:rsid w:val="00527546"/>
    <w:rsid w:val="005302AF"/>
    <w:rsid w:val="0053168D"/>
    <w:rsid w:val="005317C0"/>
    <w:rsid w:val="00531AFA"/>
    <w:rsid w:val="005321C2"/>
    <w:rsid w:val="00532317"/>
    <w:rsid w:val="00532E2A"/>
    <w:rsid w:val="00533720"/>
    <w:rsid w:val="005337AA"/>
    <w:rsid w:val="00533A7F"/>
    <w:rsid w:val="0053407F"/>
    <w:rsid w:val="00534864"/>
    <w:rsid w:val="00535270"/>
    <w:rsid w:val="0053596F"/>
    <w:rsid w:val="00535EA1"/>
    <w:rsid w:val="005368B3"/>
    <w:rsid w:val="00537162"/>
    <w:rsid w:val="0054001B"/>
    <w:rsid w:val="00540077"/>
    <w:rsid w:val="005403EE"/>
    <w:rsid w:val="00540F12"/>
    <w:rsid w:val="00540FA3"/>
    <w:rsid w:val="00541311"/>
    <w:rsid w:val="00541365"/>
    <w:rsid w:val="00541422"/>
    <w:rsid w:val="0054191F"/>
    <w:rsid w:val="005429CC"/>
    <w:rsid w:val="00542AB6"/>
    <w:rsid w:val="00542ABF"/>
    <w:rsid w:val="0054356A"/>
    <w:rsid w:val="0054424F"/>
    <w:rsid w:val="005449D2"/>
    <w:rsid w:val="00544B29"/>
    <w:rsid w:val="00545309"/>
    <w:rsid w:val="00545A37"/>
    <w:rsid w:val="00545C53"/>
    <w:rsid w:val="00546267"/>
    <w:rsid w:val="005466FF"/>
    <w:rsid w:val="00546A75"/>
    <w:rsid w:val="00546E55"/>
    <w:rsid w:val="0054747D"/>
    <w:rsid w:val="00547CF4"/>
    <w:rsid w:val="00547FD4"/>
    <w:rsid w:val="005500CC"/>
    <w:rsid w:val="0055025E"/>
    <w:rsid w:val="005507C4"/>
    <w:rsid w:val="00550F5A"/>
    <w:rsid w:val="00550FFE"/>
    <w:rsid w:val="005510BF"/>
    <w:rsid w:val="00551119"/>
    <w:rsid w:val="00551266"/>
    <w:rsid w:val="005517C3"/>
    <w:rsid w:val="0055184C"/>
    <w:rsid w:val="00551907"/>
    <w:rsid w:val="0055306B"/>
    <w:rsid w:val="005536B1"/>
    <w:rsid w:val="005536C4"/>
    <w:rsid w:val="005542EC"/>
    <w:rsid w:val="0055446A"/>
    <w:rsid w:val="00554AFA"/>
    <w:rsid w:val="005569A2"/>
    <w:rsid w:val="00556BEE"/>
    <w:rsid w:val="00556E0F"/>
    <w:rsid w:val="00556E33"/>
    <w:rsid w:val="00556F15"/>
    <w:rsid w:val="005576B0"/>
    <w:rsid w:val="0055776B"/>
    <w:rsid w:val="005579F9"/>
    <w:rsid w:val="00557A3B"/>
    <w:rsid w:val="00557AAF"/>
    <w:rsid w:val="00557F66"/>
    <w:rsid w:val="00560651"/>
    <w:rsid w:val="0056074A"/>
    <w:rsid w:val="0056195E"/>
    <w:rsid w:val="005626BB"/>
    <w:rsid w:val="0056274A"/>
    <w:rsid w:val="0056310C"/>
    <w:rsid w:val="0056372F"/>
    <w:rsid w:val="005638F3"/>
    <w:rsid w:val="005639F2"/>
    <w:rsid w:val="00563AC4"/>
    <w:rsid w:val="00563F20"/>
    <w:rsid w:val="005646B3"/>
    <w:rsid w:val="00565195"/>
    <w:rsid w:val="0056535C"/>
    <w:rsid w:val="0056573F"/>
    <w:rsid w:val="005659DA"/>
    <w:rsid w:val="00565BF0"/>
    <w:rsid w:val="00565CBD"/>
    <w:rsid w:val="00566589"/>
    <w:rsid w:val="005665E3"/>
    <w:rsid w:val="00566B86"/>
    <w:rsid w:val="00566C21"/>
    <w:rsid w:val="00566C54"/>
    <w:rsid w:val="00567472"/>
    <w:rsid w:val="00567698"/>
    <w:rsid w:val="0056772C"/>
    <w:rsid w:val="00567EDB"/>
    <w:rsid w:val="0057064E"/>
    <w:rsid w:val="0057093D"/>
    <w:rsid w:val="00570A6F"/>
    <w:rsid w:val="00570B2C"/>
    <w:rsid w:val="00570D4E"/>
    <w:rsid w:val="0057152C"/>
    <w:rsid w:val="00572EDA"/>
    <w:rsid w:val="0057439B"/>
    <w:rsid w:val="00574E65"/>
    <w:rsid w:val="00575309"/>
    <w:rsid w:val="00575456"/>
    <w:rsid w:val="00576B0D"/>
    <w:rsid w:val="00576D48"/>
    <w:rsid w:val="005771F6"/>
    <w:rsid w:val="005775CE"/>
    <w:rsid w:val="0057771E"/>
    <w:rsid w:val="00580885"/>
    <w:rsid w:val="00580B56"/>
    <w:rsid w:val="00580BDF"/>
    <w:rsid w:val="00580CEE"/>
    <w:rsid w:val="0058109B"/>
    <w:rsid w:val="005816E2"/>
    <w:rsid w:val="00582471"/>
    <w:rsid w:val="005833FE"/>
    <w:rsid w:val="00583574"/>
    <w:rsid w:val="0058374E"/>
    <w:rsid w:val="00583CB3"/>
    <w:rsid w:val="0058447A"/>
    <w:rsid w:val="00584550"/>
    <w:rsid w:val="00584C3A"/>
    <w:rsid w:val="005850BB"/>
    <w:rsid w:val="0058510D"/>
    <w:rsid w:val="0058557B"/>
    <w:rsid w:val="005855BB"/>
    <w:rsid w:val="00585D06"/>
    <w:rsid w:val="00585D3E"/>
    <w:rsid w:val="00585E3C"/>
    <w:rsid w:val="0058617C"/>
    <w:rsid w:val="005867B5"/>
    <w:rsid w:val="005868B8"/>
    <w:rsid w:val="00586D06"/>
    <w:rsid w:val="00586EC1"/>
    <w:rsid w:val="00587486"/>
    <w:rsid w:val="00587B9E"/>
    <w:rsid w:val="00587CF1"/>
    <w:rsid w:val="005901D4"/>
    <w:rsid w:val="005903F0"/>
    <w:rsid w:val="00590736"/>
    <w:rsid w:val="0059091A"/>
    <w:rsid w:val="00590942"/>
    <w:rsid w:val="005912C2"/>
    <w:rsid w:val="005914EA"/>
    <w:rsid w:val="0059198F"/>
    <w:rsid w:val="00591B65"/>
    <w:rsid w:val="00592145"/>
    <w:rsid w:val="005922F6"/>
    <w:rsid w:val="005929D5"/>
    <w:rsid w:val="00593099"/>
    <w:rsid w:val="0059407D"/>
    <w:rsid w:val="00594578"/>
    <w:rsid w:val="00594B3D"/>
    <w:rsid w:val="00594DA5"/>
    <w:rsid w:val="00595050"/>
    <w:rsid w:val="00595556"/>
    <w:rsid w:val="0059591F"/>
    <w:rsid w:val="005960D9"/>
    <w:rsid w:val="00596C92"/>
    <w:rsid w:val="00596DD0"/>
    <w:rsid w:val="00596E87"/>
    <w:rsid w:val="0059725E"/>
    <w:rsid w:val="005973BA"/>
    <w:rsid w:val="005979EC"/>
    <w:rsid w:val="00597D27"/>
    <w:rsid w:val="00597DC2"/>
    <w:rsid w:val="00597F29"/>
    <w:rsid w:val="005A0297"/>
    <w:rsid w:val="005A0CF5"/>
    <w:rsid w:val="005A11E9"/>
    <w:rsid w:val="005A1369"/>
    <w:rsid w:val="005A15F0"/>
    <w:rsid w:val="005A1863"/>
    <w:rsid w:val="005A2038"/>
    <w:rsid w:val="005A2524"/>
    <w:rsid w:val="005A274C"/>
    <w:rsid w:val="005A2E24"/>
    <w:rsid w:val="005A35EF"/>
    <w:rsid w:val="005A3B6A"/>
    <w:rsid w:val="005A3CED"/>
    <w:rsid w:val="005A40C8"/>
    <w:rsid w:val="005A50DD"/>
    <w:rsid w:val="005A5488"/>
    <w:rsid w:val="005A5B9A"/>
    <w:rsid w:val="005A67AD"/>
    <w:rsid w:val="005A6906"/>
    <w:rsid w:val="005A6D9A"/>
    <w:rsid w:val="005A7399"/>
    <w:rsid w:val="005A7681"/>
    <w:rsid w:val="005B08BE"/>
    <w:rsid w:val="005B0AF6"/>
    <w:rsid w:val="005B1311"/>
    <w:rsid w:val="005B1E6F"/>
    <w:rsid w:val="005B1F08"/>
    <w:rsid w:val="005B203F"/>
    <w:rsid w:val="005B246F"/>
    <w:rsid w:val="005B2D2B"/>
    <w:rsid w:val="005B3EF0"/>
    <w:rsid w:val="005B42F2"/>
    <w:rsid w:val="005B43D6"/>
    <w:rsid w:val="005B4711"/>
    <w:rsid w:val="005B501F"/>
    <w:rsid w:val="005B52AA"/>
    <w:rsid w:val="005B5414"/>
    <w:rsid w:val="005B62A7"/>
    <w:rsid w:val="005B660A"/>
    <w:rsid w:val="005B6D29"/>
    <w:rsid w:val="005B73C1"/>
    <w:rsid w:val="005C011F"/>
    <w:rsid w:val="005C02BE"/>
    <w:rsid w:val="005C12CF"/>
    <w:rsid w:val="005C12D6"/>
    <w:rsid w:val="005C1716"/>
    <w:rsid w:val="005C1826"/>
    <w:rsid w:val="005C1978"/>
    <w:rsid w:val="005C19D5"/>
    <w:rsid w:val="005C1C09"/>
    <w:rsid w:val="005C1F14"/>
    <w:rsid w:val="005C205A"/>
    <w:rsid w:val="005C23D4"/>
    <w:rsid w:val="005C2FA3"/>
    <w:rsid w:val="005C3400"/>
    <w:rsid w:val="005C3527"/>
    <w:rsid w:val="005C35F2"/>
    <w:rsid w:val="005C3697"/>
    <w:rsid w:val="005C3756"/>
    <w:rsid w:val="005C3857"/>
    <w:rsid w:val="005C38AC"/>
    <w:rsid w:val="005C3987"/>
    <w:rsid w:val="005C3B0B"/>
    <w:rsid w:val="005C3ED4"/>
    <w:rsid w:val="005C4007"/>
    <w:rsid w:val="005C4961"/>
    <w:rsid w:val="005C549E"/>
    <w:rsid w:val="005C5A96"/>
    <w:rsid w:val="005C60B7"/>
    <w:rsid w:val="005C66BC"/>
    <w:rsid w:val="005C7424"/>
    <w:rsid w:val="005C7690"/>
    <w:rsid w:val="005C7E19"/>
    <w:rsid w:val="005D001D"/>
    <w:rsid w:val="005D004F"/>
    <w:rsid w:val="005D02A4"/>
    <w:rsid w:val="005D045D"/>
    <w:rsid w:val="005D09F8"/>
    <w:rsid w:val="005D0B7D"/>
    <w:rsid w:val="005D0CD4"/>
    <w:rsid w:val="005D0D8F"/>
    <w:rsid w:val="005D0E5A"/>
    <w:rsid w:val="005D0EAE"/>
    <w:rsid w:val="005D11B1"/>
    <w:rsid w:val="005D1CBE"/>
    <w:rsid w:val="005D276D"/>
    <w:rsid w:val="005D285D"/>
    <w:rsid w:val="005D2BC5"/>
    <w:rsid w:val="005D2D8B"/>
    <w:rsid w:val="005D31A8"/>
    <w:rsid w:val="005D3E06"/>
    <w:rsid w:val="005D4A50"/>
    <w:rsid w:val="005D4C05"/>
    <w:rsid w:val="005D583B"/>
    <w:rsid w:val="005D58C2"/>
    <w:rsid w:val="005D5A1D"/>
    <w:rsid w:val="005D6059"/>
    <w:rsid w:val="005D6152"/>
    <w:rsid w:val="005D6266"/>
    <w:rsid w:val="005D62F4"/>
    <w:rsid w:val="005D636C"/>
    <w:rsid w:val="005D64F5"/>
    <w:rsid w:val="005D66D2"/>
    <w:rsid w:val="005D689A"/>
    <w:rsid w:val="005D741E"/>
    <w:rsid w:val="005D751F"/>
    <w:rsid w:val="005D760B"/>
    <w:rsid w:val="005D7875"/>
    <w:rsid w:val="005D7F58"/>
    <w:rsid w:val="005E0C43"/>
    <w:rsid w:val="005E0E5B"/>
    <w:rsid w:val="005E0F7A"/>
    <w:rsid w:val="005E16AD"/>
    <w:rsid w:val="005E1B81"/>
    <w:rsid w:val="005E1DA9"/>
    <w:rsid w:val="005E22AE"/>
    <w:rsid w:val="005E22F1"/>
    <w:rsid w:val="005E28BC"/>
    <w:rsid w:val="005E2B59"/>
    <w:rsid w:val="005E31D2"/>
    <w:rsid w:val="005E32D4"/>
    <w:rsid w:val="005E37D3"/>
    <w:rsid w:val="005E3DED"/>
    <w:rsid w:val="005E40A3"/>
    <w:rsid w:val="005E447E"/>
    <w:rsid w:val="005E4AA7"/>
    <w:rsid w:val="005E4BDC"/>
    <w:rsid w:val="005E4FD2"/>
    <w:rsid w:val="005E5841"/>
    <w:rsid w:val="005E6B8C"/>
    <w:rsid w:val="005E6DF2"/>
    <w:rsid w:val="005F00F2"/>
    <w:rsid w:val="005F053E"/>
    <w:rsid w:val="005F0EE8"/>
    <w:rsid w:val="005F187E"/>
    <w:rsid w:val="005F1AC1"/>
    <w:rsid w:val="005F2C78"/>
    <w:rsid w:val="005F2DD3"/>
    <w:rsid w:val="005F36F7"/>
    <w:rsid w:val="005F3EF8"/>
    <w:rsid w:val="005F4351"/>
    <w:rsid w:val="005F4615"/>
    <w:rsid w:val="005F4BA6"/>
    <w:rsid w:val="005F4F7D"/>
    <w:rsid w:val="005F5699"/>
    <w:rsid w:val="005F5906"/>
    <w:rsid w:val="005F5CC5"/>
    <w:rsid w:val="005F673E"/>
    <w:rsid w:val="005F6D31"/>
    <w:rsid w:val="005F6D64"/>
    <w:rsid w:val="005F6D80"/>
    <w:rsid w:val="005F7F2F"/>
    <w:rsid w:val="006002CE"/>
    <w:rsid w:val="006002F5"/>
    <w:rsid w:val="00600355"/>
    <w:rsid w:val="006005EA"/>
    <w:rsid w:val="006008EE"/>
    <w:rsid w:val="00600A24"/>
    <w:rsid w:val="00601947"/>
    <w:rsid w:val="00602808"/>
    <w:rsid w:val="00603191"/>
    <w:rsid w:val="00603329"/>
    <w:rsid w:val="00603389"/>
    <w:rsid w:val="0060360A"/>
    <w:rsid w:val="00603AF1"/>
    <w:rsid w:val="00604656"/>
    <w:rsid w:val="00604816"/>
    <w:rsid w:val="00604ADB"/>
    <w:rsid w:val="00605803"/>
    <w:rsid w:val="00605B8D"/>
    <w:rsid w:val="00605DEE"/>
    <w:rsid w:val="00605E6F"/>
    <w:rsid w:val="00606B03"/>
    <w:rsid w:val="00606EAC"/>
    <w:rsid w:val="00607731"/>
    <w:rsid w:val="006079F4"/>
    <w:rsid w:val="00610AD5"/>
    <w:rsid w:val="00610F9C"/>
    <w:rsid w:val="00612501"/>
    <w:rsid w:val="00612737"/>
    <w:rsid w:val="006128FB"/>
    <w:rsid w:val="00613C0F"/>
    <w:rsid w:val="00613CD2"/>
    <w:rsid w:val="00614104"/>
    <w:rsid w:val="0061431D"/>
    <w:rsid w:val="0061434A"/>
    <w:rsid w:val="006147C3"/>
    <w:rsid w:val="0061495F"/>
    <w:rsid w:val="006159C9"/>
    <w:rsid w:val="00616379"/>
    <w:rsid w:val="00616BFA"/>
    <w:rsid w:val="00617627"/>
    <w:rsid w:val="006176E4"/>
    <w:rsid w:val="00617857"/>
    <w:rsid w:val="00617C0A"/>
    <w:rsid w:val="00620906"/>
    <w:rsid w:val="00621152"/>
    <w:rsid w:val="00621610"/>
    <w:rsid w:val="00621859"/>
    <w:rsid w:val="00621E83"/>
    <w:rsid w:val="00622146"/>
    <w:rsid w:val="00622225"/>
    <w:rsid w:val="00622392"/>
    <w:rsid w:val="00622A43"/>
    <w:rsid w:val="00622A90"/>
    <w:rsid w:val="00622F5F"/>
    <w:rsid w:val="00623029"/>
    <w:rsid w:val="00623A61"/>
    <w:rsid w:val="006241C5"/>
    <w:rsid w:val="00624E41"/>
    <w:rsid w:val="0062543D"/>
    <w:rsid w:val="00625496"/>
    <w:rsid w:val="006262FF"/>
    <w:rsid w:val="0062677F"/>
    <w:rsid w:val="006267A2"/>
    <w:rsid w:val="006270F5"/>
    <w:rsid w:val="006271BA"/>
    <w:rsid w:val="00627A3F"/>
    <w:rsid w:val="00627F2C"/>
    <w:rsid w:val="006308F3"/>
    <w:rsid w:val="00630933"/>
    <w:rsid w:val="00630E5A"/>
    <w:rsid w:val="00630EA0"/>
    <w:rsid w:val="00630ED6"/>
    <w:rsid w:val="0063113B"/>
    <w:rsid w:val="006320FF"/>
    <w:rsid w:val="00632801"/>
    <w:rsid w:val="00632897"/>
    <w:rsid w:val="00632A33"/>
    <w:rsid w:val="00633637"/>
    <w:rsid w:val="00633ABF"/>
    <w:rsid w:val="006349D3"/>
    <w:rsid w:val="00634C09"/>
    <w:rsid w:val="006351F9"/>
    <w:rsid w:val="006351FE"/>
    <w:rsid w:val="006358C6"/>
    <w:rsid w:val="00635A39"/>
    <w:rsid w:val="006361C1"/>
    <w:rsid w:val="006364E1"/>
    <w:rsid w:val="006365C1"/>
    <w:rsid w:val="006368FB"/>
    <w:rsid w:val="006371B2"/>
    <w:rsid w:val="0064017E"/>
    <w:rsid w:val="00640CFD"/>
    <w:rsid w:val="006411A1"/>
    <w:rsid w:val="00641204"/>
    <w:rsid w:val="00641268"/>
    <w:rsid w:val="00641B9F"/>
    <w:rsid w:val="00641ED8"/>
    <w:rsid w:val="00641F97"/>
    <w:rsid w:val="0064262B"/>
    <w:rsid w:val="006430A5"/>
    <w:rsid w:val="00644062"/>
    <w:rsid w:val="006442A9"/>
    <w:rsid w:val="0064433F"/>
    <w:rsid w:val="00644425"/>
    <w:rsid w:val="0064451D"/>
    <w:rsid w:val="006449EB"/>
    <w:rsid w:val="00644E5D"/>
    <w:rsid w:val="00644ECD"/>
    <w:rsid w:val="0064537C"/>
    <w:rsid w:val="006457B0"/>
    <w:rsid w:val="00645825"/>
    <w:rsid w:val="00645C0A"/>
    <w:rsid w:val="006462CE"/>
    <w:rsid w:val="0064687B"/>
    <w:rsid w:val="0064710D"/>
    <w:rsid w:val="00647163"/>
    <w:rsid w:val="00647ADE"/>
    <w:rsid w:val="00650512"/>
    <w:rsid w:val="00650812"/>
    <w:rsid w:val="00650D2A"/>
    <w:rsid w:val="006512EB"/>
    <w:rsid w:val="00651488"/>
    <w:rsid w:val="0065156D"/>
    <w:rsid w:val="00651878"/>
    <w:rsid w:val="006519BB"/>
    <w:rsid w:val="00651B26"/>
    <w:rsid w:val="00651EC7"/>
    <w:rsid w:val="00651EED"/>
    <w:rsid w:val="00652525"/>
    <w:rsid w:val="00653524"/>
    <w:rsid w:val="006547E6"/>
    <w:rsid w:val="00654DA9"/>
    <w:rsid w:val="0065527D"/>
    <w:rsid w:val="00655DAE"/>
    <w:rsid w:val="00655E97"/>
    <w:rsid w:val="00656588"/>
    <w:rsid w:val="0065665D"/>
    <w:rsid w:val="00656DF3"/>
    <w:rsid w:val="00657FAB"/>
    <w:rsid w:val="006602F9"/>
    <w:rsid w:val="006606D2"/>
    <w:rsid w:val="00660E17"/>
    <w:rsid w:val="00660FB1"/>
    <w:rsid w:val="0066120D"/>
    <w:rsid w:val="006614F8"/>
    <w:rsid w:val="00661591"/>
    <w:rsid w:val="00661D4B"/>
    <w:rsid w:val="0066262E"/>
    <w:rsid w:val="006626D0"/>
    <w:rsid w:val="006628D2"/>
    <w:rsid w:val="006634E5"/>
    <w:rsid w:val="00663553"/>
    <w:rsid w:val="00663855"/>
    <w:rsid w:val="00663876"/>
    <w:rsid w:val="00663D14"/>
    <w:rsid w:val="00663DC9"/>
    <w:rsid w:val="00663E99"/>
    <w:rsid w:val="00664B8F"/>
    <w:rsid w:val="00664BE3"/>
    <w:rsid w:val="006651AB"/>
    <w:rsid w:val="006651BE"/>
    <w:rsid w:val="00665611"/>
    <w:rsid w:val="0066599D"/>
    <w:rsid w:val="00667A2E"/>
    <w:rsid w:val="00667E8A"/>
    <w:rsid w:val="0067048E"/>
    <w:rsid w:val="00670534"/>
    <w:rsid w:val="00670849"/>
    <w:rsid w:val="00670D75"/>
    <w:rsid w:val="00670E68"/>
    <w:rsid w:val="006713ED"/>
    <w:rsid w:val="0067188E"/>
    <w:rsid w:val="00671960"/>
    <w:rsid w:val="00672154"/>
    <w:rsid w:val="00672243"/>
    <w:rsid w:val="0067234F"/>
    <w:rsid w:val="006723A3"/>
    <w:rsid w:val="00672A1E"/>
    <w:rsid w:val="00673406"/>
    <w:rsid w:val="00673FF8"/>
    <w:rsid w:val="0067420C"/>
    <w:rsid w:val="00674679"/>
    <w:rsid w:val="006746A5"/>
    <w:rsid w:val="00674AD9"/>
    <w:rsid w:val="00675588"/>
    <w:rsid w:val="006759E2"/>
    <w:rsid w:val="00675D11"/>
    <w:rsid w:val="00675E23"/>
    <w:rsid w:val="006765AC"/>
    <w:rsid w:val="00676871"/>
    <w:rsid w:val="0067707D"/>
    <w:rsid w:val="006774BC"/>
    <w:rsid w:val="006776B2"/>
    <w:rsid w:val="006776D2"/>
    <w:rsid w:val="00677781"/>
    <w:rsid w:val="00677D14"/>
    <w:rsid w:val="00677F13"/>
    <w:rsid w:val="0068023D"/>
    <w:rsid w:val="00680828"/>
    <w:rsid w:val="00680997"/>
    <w:rsid w:val="00680CE3"/>
    <w:rsid w:val="006811F7"/>
    <w:rsid w:val="00681279"/>
    <w:rsid w:val="0068128C"/>
    <w:rsid w:val="00682388"/>
    <w:rsid w:val="006825F4"/>
    <w:rsid w:val="006830B3"/>
    <w:rsid w:val="006832C8"/>
    <w:rsid w:val="00683310"/>
    <w:rsid w:val="006837CF"/>
    <w:rsid w:val="00683A6E"/>
    <w:rsid w:val="00683B32"/>
    <w:rsid w:val="006845EE"/>
    <w:rsid w:val="00684F9D"/>
    <w:rsid w:val="006851C9"/>
    <w:rsid w:val="00685A16"/>
    <w:rsid w:val="00685FB7"/>
    <w:rsid w:val="006863F4"/>
    <w:rsid w:val="00686749"/>
    <w:rsid w:val="00686A37"/>
    <w:rsid w:val="00686BB2"/>
    <w:rsid w:val="00686D6E"/>
    <w:rsid w:val="00686E54"/>
    <w:rsid w:val="006872C2"/>
    <w:rsid w:val="00687CF6"/>
    <w:rsid w:val="00690858"/>
    <w:rsid w:val="006908CD"/>
    <w:rsid w:val="00690F83"/>
    <w:rsid w:val="0069147B"/>
    <w:rsid w:val="006917B2"/>
    <w:rsid w:val="00691F53"/>
    <w:rsid w:val="00692196"/>
    <w:rsid w:val="00692756"/>
    <w:rsid w:val="00693676"/>
    <w:rsid w:val="006939F3"/>
    <w:rsid w:val="00693B6F"/>
    <w:rsid w:val="006941D0"/>
    <w:rsid w:val="006942C4"/>
    <w:rsid w:val="006943AC"/>
    <w:rsid w:val="00694507"/>
    <w:rsid w:val="00694DE1"/>
    <w:rsid w:val="0069580F"/>
    <w:rsid w:val="006958B3"/>
    <w:rsid w:val="00695915"/>
    <w:rsid w:val="006965E9"/>
    <w:rsid w:val="00697165"/>
    <w:rsid w:val="006974E4"/>
    <w:rsid w:val="00697CA4"/>
    <w:rsid w:val="00697CB8"/>
    <w:rsid w:val="00697FB8"/>
    <w:rsid w:val="006A1183"/>
    <w:rsid w:val="006A171F"/>
    <w:rsid w:val="006A2302"/>
    <w:rsid w:val="006A2CD1"/>
    <w:rsid w:val="006A2D61"/>
    <w:rsid w:val="006A3120"/>
    <w:rsid w:val="006A3296"/>
    <w:rsid w:val="006A3AB5"/>
    <w:rsid w:val="006A3E7E"/>
    <w:rsid w:val="006A3EC1"/>
    <w:rsid w:val="006A4404"/>
    <w:rsid w:val="006A4493"/>
    <w:rsid w:val="006A4585"/>
    <w:rsid w:val="006A4A38"/>
    <w:rsid w:val="006A4A9A"/>
    <w:rsid w:val="006A56B1"/>
    <w:rsid w:val="006A5C3D"/>
    <w:rsid w:val="006A675D"/>
    <w:rsid w:val="006A6BE4"/>
    <w:rsid w:val="006A7222"/>
    <w:rsid w:val="006A7305"/>
    <w:rsid w:val="006A7633"/>
    <w:rsid w:val="006A765C"/>
    <w:rsid w:val="006A7954"/>
    <w:rsid w:val="006B00C1"/>
    <w:rsid w:val="006B0AB5"/>
    <w:rsid w:val="006B1347"/>
    <w:rsid w:val="006B13B7"/>
    <w:rsid w:val="006B17BA"/>
    <w:rsid w:val="006B18CA"/>
    <w:rsid w:val="006B190C"/>
    <w:rsid w:val="006B209F"/>
    <w:rsid w:val="006B22E6"/>
    <w:rsid w:val="006B2709"/>
    <w:rsid w:val="006B276C"/>
    <w:rsid w:val="006B2A4E"/>
    <w:rsid w:val="006B2AF6"/>
    <w:rsid w:val="006B2B2F"/>
    <w:rsid w:val="006B2BCF"/>
    <w:rsid w:val="006B33EA"/>
    <w:rsid w:val="006B41E0"/>
    <w:rsid w:val="006B5138"/>
    <w:rsid w:val="006B54F6"/>
    <w:rsid w:val="006B57C9"/>
    <w:rsid w:val="006B591D"/>
    <w:rsid w:val="006B59F8"/>
    <w:rsid w:val="006B5B77"/>
    <w:rsid w:val="006B62F4"/>
    <w:rsid w:val="006B63CB"/>
    <w:rsid w:val="006B7BAF"/>
    <w:rsid w:val="006B7D99"/>
    <w:rsid w:val="006B7EC0"/>
    <w:rsid w:val="006B7FDE"/>
    <w:rsid w:val="006B7FE5"/>
    <w:rsid w:val="006C0617"/>
    <w:rsid w:val="006C08EA"/>
    <w:rsid w:val="006C09FA"/>
    <w:rsid w:val="006C0B1B"/>
    <w:rsid w:val="006C0FF6"/>
    <w:rsid w:val="006C1329"/>
    <w:rsid w:val="006C13E2"/>
    <w:rsid w:val="006C1466"/>
    <w:rsid w:val="006C1950"/>
    <w:rsid w:val="006C1FC1"/>
    <w:rsid w:val="006C209A"/>
    <w:rsid w:val="006C239D"/>
    <w:rsid w:val="006C24C9"/>
    <w:rsid w:val="006C24E4"/>
    <w:rsid w:val="006C26DA"/>
    <w:rsid w:val="006C2A2B"/>
    <w:rsid w:val="006C2B8F"/>
    <w:rsid w:val="006C3169"/>
    <w:rsid w:val="006C3973"/>
    <w:rsid w:val="006C3BDC"/>
    <w:rsid w:val="006C44D9"/>
    <w:rsid w:val="006C48E7"/>
    <w:rsid w:val="006C528D"/>
    <w:rsid w:val="006C5AD1"/>
    <w:rsid w:val="006C5E1C"/>
    <w:rsid w:val="006C5F45"/>
    <w:rsid w:val="006C615B"/>
    <w:rsid w:val="006C625A"/>
    <w:rsid w:val="006C6272"/>
    <w:rsid w:val="006C629B"/>
    <w:rsid w:val="006C672D"/>
    <w:rsid w:val="006C6954"/>
    <w:rsid w:val="006C6E99"/>
    <w:rsid w:val="006C7312"/>
    <w:rsid w:val="006C7669"/>
    <w:rsid w:val="006C79C0"/>
    <w:rsid w:val="006C7CBF"/>
    <w:rsid w:val="006D04D6"/>
    <w:rsid w:val="006D0CC2"/>
    <w:rsid w:val="006D11D6"/>
    <w:rsid w:val="006D12B9"/>
    <w:rsid w:val="006D17A3"/>
    <w:rsid w:val="006D1996"/>
    <w:rsid w:val="006D2294"/>
    <w:rsid w:val="006D25F7"/>
    <w:rsid w:val="006D3191"/>
    <w:rsid w:val="006D330F"/>
    <w:rsid w:val="006D4823"/>
    <w:rsid w:val="006D4855"/>
    <w:rsid w:val="006D5927"/>
    <w:rsid w:val="006D59C0"/>
    <w:rsid w:val="006D5FD1"/>
    <w:rsid w:val="006D64F2"/>
    <w:rsid w:val="006D6CBF"/>
    <w:rsid w:val="006D6CC0"/>
    <w:rsid w:val="006D7554"/>
    <w:rsid w:val="006D7B8C"/>
    <w:rsid w:val="006E03AE"/>
    <w:rsid w:val="006E048B"/>
    <w:rsid w:val="006E0762"/>
    <w:rsid w:val="006E0F79"/>
    <w:rsid w:val="006E0FA6"/>
    <w:rsid w:val="006E1087"/>
    <w:rsid w:val="006E1320"/>
    <w:rsid w:val="006E1718"/>
    <w:rsid w:val="006E17FB"/>
    <w:rsid w:val="006E1E76"/>
    <w:rsid w:val="006E32CD"/>
    <w:rsid w:val="006E35FA"/>
    <w:rsid w:val="006E3603"/>
    <w:rsid w:val="006E42FB"/>
    <w:rsid w:val="006E4981"/>
    <w:rsid w:val="006E501C"/>
    <w:rsid w:val="006E573E"/>
    <w:rsid w:val="006E5785"/>
    <w:rsid w:val="006E5C0E"/>
    <w:rsid w:val="006E5C61"/>
    <w:rsid w:val="006E64D4"/>
    <w:rsid w:val="006E69D5"/>
    <w:rsid w:val="006E6CE9"/>
    <w:rsid w:val="006E6E56"/>
    <w:rsid w:val="006E7331"/>
    <w:rsid w:val="006E7AEA"/>
    <w:rsid w:val="006E7BE8"/>
    <w:rsid w:val="006E7C99"/>
    <w:rsid w:val="006E7D75"/>
    <w:rsid w:val="006F08E1"/>
    <w:rsid w:val="006F0D2A"/>
    <w:rsid w:val="006F1D16"/>
    <w:rsid w:val="006F2877"/>
    <w:rsid w:val="006F29C2"/>
    <w:rsid w:val="006F2C85"/>
    <w:rsid w:val="006F2DD5"/>
    <w:rsid w:val="006F301A"/>
    <w:rsid w:val="006F31BE"/>
    <w:rsid w:val="006F367B"/>
    <w:rsid w:val="006F3B62"/>
    <w:rsid w:val="006F3BA5"/>
    <w:rsid w:val="006F3CEB"/>
    <w:rsid w:val="006F3D39"/>
    <w:rsid w:val="006F44FA"/>
    <w:rsid w:val="006F46E9"/>
    <w:rsid w:val="006F48BF"/>
    <w:rsid w:val="006F5009"/>
    <w:rsid w:val="006F5369"/>
    <w:rsid w:val="006F5448"/>
    <w:rsid w:val="006F56DE"/>
    <w:rsid w:val="006F5847"/>
    <w:rsid w:val="006F58E8"/>
    <w:rsid w:val="006F5CD1"/>
    <w:rsid w:val="006F6212"/>
    <w:rsid w:val="006F6237"/>
    <w:rsid w:val="006F639A"/>
    <w:rsid w:val="006F6C74"/>
    <w:rsid w:val="006F6EC9"/>
    <w:rsid w:val="006F6F4B"/>
    <w:rsid w:val="006F6FB2"/>
    <w:rsid w:val="006F7067"/>
    <w:rsid w:val="006F728F"/>
    <w:rsid w:val="006F799E"/>
    <w:rsid w:val="0070032B"/>
    <w:rsid w:val="00700411"/>
    <w:rsid w:val="00700474"/>
    <w:rsid w:val="00700589"/>
    <w:rsid w:val="007017DF"/>
    <w:rsid w:val="00701D30"/>
    <w:rsid w:val="00701E08"/>
    <w:rsid w:val="00702175"/>
    <w:rsid w:val="007024CB"/>
    <w:rsid w:val="0070257B"/>
    <w:rsid w:val="00702812"/>
    <w:rsid w:val="00702AD1"/>
    <w:rsid w:val="00703190"/>
    <w:rsid w:val="00703322"/>
    <w:rsid w:val="007033E1"/>
    <w:rsid w:val="00703BCA"/>
    <w:rsid w:val="00703F8B"/>
    <w:rsid w:val="007040B0"/>
    <w:rsid w:val="00704234"/>
    <w:rsid w:val="00704C83"/>
    <w:rsid w:val="00704D3A"/>
    <w:rsid w:val="00705268"/>
    <w:rsid w:val="00705A13"/>
    <w:rsid w:val="00706198"/>
    <w:rsid w:val="007062DC"/>
    <w:rsid w:val="00706423"/>
    <w:rsid w:val="007065C7"/>
    <w:rsid w:val="00706827"/>
    <w:rsid w:val="00706A8A"/>
    <w:rsid w:val="007074D2"/>
    <w:rsid w:val="00710761"/>
    <w:rsid w:val="00710937"/>
    <w:rsid w:val="00710C35"/>
    <w:rsid w:val="00710D51"/>
    <w:rsid w:val="00711724"/>
    <w:rsid w:val="007118E4"/>
    <w:rsid w:val="0071196E"/>
    <w:rsid w:val="00711A79"/>
    <w:rsid w:val="00711E0E"/>
    <w:rsid w:val="00712721"/>
    <w:rsid w:val="00712BEC"/>
    <w:rsid w:val="00713036"/>
    <w:rsid w:val="007130F7"/>
    <w:rsid w:val="00714A81"/>
    <w:rsid w:val="007152FB"/>
    <w:rsid w:val="00715A8A"/>
    <w:rsid w:val="00716259"/>
    <w:rsid w:val="0071656D"/>
    <w:rsid w:val="0071665A"/>
    <w:rsid w:val="00716B73"/>
    <w:rsid w:val="00716BDD"/>
    <w:rsid w:val="00716CFD"/>
    <w:rsid w:val="00716F8F"/>
    <w:rsid w:val="00717CAC"/>
    <w:rsid w:val="007200F3"/>
    <w:rsid w:val="0072060A"/>
    <w:rsid w:val="0072063D"/>
    <w:rsid w:val="007206D0"/>
    <w:rsid w:val="00720BD2"/>
    <w:rsid w:val="00720C88"/>
    <w:rsid w:val="00721701"/>
    <w:rsid w:val="00721731"/>
    <w:rsid w:val="0072194D"/>
    <w:rsid w:val="00721B3F"/>
    <w:rsid w:val="00721E53"/>
    <w:rsid w:val="007220C6"/>
    <w:rsid w:val="007222CC"/>
    <w:rsid w:val="00722370"/>
    <w:rsid w:val="007236B7"/>
    <w:rsid w:val="00723B92"/>
    <w:rsid w:val="007240DF"/>
    <w:rsid w:val="007253CB"/>
    <w:rsid w:val="00725841"/>
    <w:rsid w:val="00725903"/>
    <w:rsid w:val="00725965"/>
    <w:rsid w:val="007260FE"/>
    <w:rsid w:val="00726840"/>
    <w:rsid w:val="00726D90"/>
    <w:rsid w:val="007274D6"/>
    <w:rsid w:val="007275A0"/>
    <w:rsid w:val="007278C5"/>
    <w:rsid w:val="007279DF"/>
    <w:rsid w:val="00727E0F"/>
    <w:rsid w:val="00727E2D"/>
    <w:rsid w:val="00727F06"/>
    <w:rsid w:val="0073008E"/>
    <w:rsid w:val="00730185"/>
    <w:rsid w:val="0073085D"/>
    <w:rsid w:val="00730C63"/>
    <w:rsid w:val="00730CF8"/>
    <w:rsid w:val="00730E27"/>
    <w:rsid w:val="00730F88"/>
    <w:rsid w:val="0073134F"/>
    <w:rsid w:val="00731B25"/>
    <w:rsid w:val="00731CA3"/>
    <w:rsid w:val="00732478"/>
    <w:rsid w:val="00732507"/>
    <w:rsid w:val="007327BA"/>
    <w:rsid w:val="00732DD1"/>
    <w:rsid w:val="00732EDD"/>
    <w:rsid w:val="00732F0A"/>
    <w:rsid w:val="00733549"/>
    <w:rsid w:val="007335BD"/>
    <w:rsid w:val="007337FB"/>
    <w:rsid w:val="0073392B"/>
    <w:rsid w:val="00733A28"/>
    <w:rsid w:val="00733E99"/>
    <w:rsid w:val="00734265"/>
    <w:rsid w:val="007346E8"/>
    <w:rsid w:val="00734AA2"/>
    <w:rsid w:val="00734ADD"/>
    <w:rsid w:val="00734C75"/>
    <w:rsid w:val="0073515A"/>
    <w:rsid w:val="00735826"/>
    <w:rsid w:val="0073594D"/>
    <w:rsid w:val="007359B7"/>
    <w:rsid w:val="00736DA7"/>
    <w:rsid w:val="00736EAE"/>
    <w:rsid w:val="00737267"/>
    <w:rsid w:val="00740034"/>
    <w:rsid w:val="007404B3"/>
    <w:rsid w:val="007407D7"/>
    <w:rsid w:val="00741646"/>
    <w:rsid w:val="0074182E"/>
    <w:rsid w:val="00741864"/>
    <w:rsid w:val="0074192B"/>
    <w:rsid w:val="0074195C"/>
    <w:rsid w:val="00741A36"/>
    <w:rsid w:val="00742211"/>
    <w:rsid w:val="007427C9"/>
    <w:rsid w:val="00742D53"/>
    <w:rsid w:val="0074303C"/>
    <w:rsid w:val="007432CC"/>
    <w:rsid w:val="007434F3"/>
    <w:rsid w:val="00743769"/>
    <w:rsid w:val="00743826"/>
    <w:rsid w:val="00744969"/>
    <w:rsid w:val="0074558B"/>
    <w:rsid w:val="007455F8"/>
    <w:rsid w:val="00746156"/>
    <w:rsid w:val="0074621E"/>
    <w:rsid w:val="0074652A"/>
    <w:rsid w:val="00746AC8"/>
    <w:rsid w:val="00746B24"/>
    <w:rsid w:val="00746F04"/>
    <w:rsid w:val="0074713C"/>
    <w:rsid w:val="0074762D"/>
    <w:rsid w:val="00747B0B"/>
    <w:rsid w:val="0075026F"/>
    <w:rsid w:val="00750386"/>
    <w:rsid w:val="00750A0E"/>
    <w:rsid w:val="00750EC6"/>
    <w:rsid w:val="0075125C"/>
    <w:rsid w:val="00751834"/>
    <w:rsid w:val="0075186C"/>
    <w:rsid w:val="00751B5A"/>
    <w:rsid w:val="00751D20"/>
    <w:rsid w:val="00753635"/>
    <w:rsid w:val="00753C5E"/>
    <w:rsid w:val="00753CC4"/>
    <w:rsid w:val="00753FE6"/>
    <w:rsid w:val="00754DD4"/>
    <w:rsid w:val="00754E73"/>
    <w:rsid w:val="00755324"/>
    <w:rsid w:val="007556FB"/>
    <w:rsid w:val="00755C02"/>
    <w:rsid w:val="00755EF3"/>
    <w:rsid w:val="00757399"/>
    <w:rsid w:val="00760017"/>
    <w:rsid w:val="00760F0A"/>
    <w:rsid w:val="007610F6"/>
    <w:rsid w:val="0076117A"/>
    <w:rsid w:val="00761234"/>
    <w:rsid w:val="0076149A"/>
    <w:rsid w:val="00761CEB"/>
    <w:rsid w:val="00761F8E"/>
    <w:rsid w:val="0076236F"/>
    <w:rsid w:val="00762AEC"/>
    <w:rsid w:val="00763275"/>
    <w:rsid w:val="00764B47"/>
    <w:rsid w:val="0076625D"/>
    <w:rsid w:val="00766BE9"/>
    <w:rsid w:val="0076725C"/>
    <w:rsid w:val="007675CA"/>
    <w:rsid w:val="007703C0"/>
    <w:rsid w:val="00770677"/>
    <w:rsid w:val="007707CB"/>
    <w:rsid w:val="00770BF1"/>
    <w:rsid w:val="00771442"/>
    <w:rsid w:val="00771541"/>
    <w:rsid w:val="007716A2"/>
    <w:rsid w:val="00771845"/>
    <w:rsid w:val="00771A8C"/>
    <w:rsid w:val="00772960"/>
    <w:rsid w:val="00772985"/>
    <w:rsid w:val="00772AC7"/>
    <w:rsid w:val="00772DB3"/>
    <w:rsid w:val="007739E8"/>
    <w:rsid w:val="00774270"/>
    <w:rsid w:val="0077441B"/>
    <w:rsid w:val="007744C9"/>
    <w:rsid w:val="00775154"/>
    <w:rsid w:val="00775763"/>
    <w:rsid w:val="00775976"/>
    <w:rsid w:val="00775D29"/>
    <w:rsid w:val="007763F0"/>
    <w:rsid w:val="0077647E"/>
    <w:rsid w:val="007764B9"/>
    <w:rsid w:val="00776FED"/>
    <w:rsid w:val="00777044"/>
    <w:rsid w:val="00777436"/>
    <w:rsid w:val="007774D7"/>
    <w:rsid w:val="00777DDF"/>
    <w:rsid w:val="00781319"/>
    <w:rsid w:val="00781A2B"/>
    <w:rsid w:val="00781E0B"/>
    <w:rsid w:val="007824ED"/>
    <w:rsid w:val="00782B79"/>
    <w:rsid w:val="0078399F"/>
    <w:rsid w:val="007842D6"/>
    <w:rsid w:val="007844AA"/>
    <w:rsid w:val="00784B5D"/>
    <w:rsid w:val="00784C3E"/>
    <w:rsid w:val="007851EC"/>
    <w:rsid w:val="0078567E"/>
    <w:rsid w:val="00785884"/>
    <w:rsid w:val="00785C3A"/>
    <w:rsid w:val="00786545"/>
    <w:rsid w:val="00787001"/>
    <w:rsid w:val="0078724A"/>
    <w:rsid w:val="007874BB"/>
    <w:rsid w:val="00787988"/>
    <w:rsid w:val="00787C85"/>
    <w:rsid w:val="00787FCA"/>
    <w:rsid w:val="007900DD"/>
    <w:rsid w:val="00790936"/>
    <w:rsid w:val="00790B49"/>
    <w:rsid w:val="00790D8F"/>
    <w:rsid w:val="00791578"/>
    <w:rsid w:val="00791DE1"/>
    <w:rsid w:val="007932F8"/>
    <w:rsid w:val="00793834"/>
    <w:rsid w:val="00793E9E"/>
    <w:rsid w:val="007941D1"/>
    <w:rsid w:val="007944F6"/>
    <w:rsid w:val="00794577"/>
    <w:rsid w:val="007945C6"/>
    <w:rsid w:val="007947FE"/>
    <w:rsid w:val="007949FA"/>
    <w:rsid w:val="007958F1"/>
    <w:rsid w:val="0079696B"/>
    <w:rsid w:val="007970E8"/>
    <w:rsid w:val="00797EAA"/>
    <w:rsid w:val="007A1005"/>
    <w:rsid w:val="007A172E"/>
    <w:rsid w:val="007A1C66"/>
    <w:rsid w:val="007A1D83"/>
    <w:rsid w:val="007A1DE5"/>
    <w:rsid w:val="007A1ECF"/>
    <w:rsid w:val="007A2009"/>
    <w:rsid w:val="007A2230"/>
    <w:rsid w:val="007A267A"/>
    <w:rsid w:val="007A3993"/>
    <w:rsid w:val="007A3C29"/>
    <w:rsid w:val="007A3FDE"/>
    <w:rsid w:val="007A50C3"/>
    <w:rsid w:val="007A55C4"/>
    <w:rsid w:val="007A5A83"/>
    <w:rsid w:val="007A5C11"/>
    <w:rsid w:val="007A5C35"/>
    <w:rsid w:val="007A6187"/>
    <w:rsid w:val="007A66EE"/>
    <w:rsid w:val="007B040A"/>
    <w:rsid w:val="007B0C48"/>
    <w:rsid w:val="007B169C"/>
    <w:rsid w:val="007B284C"/>
    <w:rsid w:val="007B2BAC"/>
    <w:rsid w:val="007B2DE4"/>
    <w:rsid w:val="007B2F57"/>
    <w:rsid w:val="007B3B69"/>
    <w:rsid w:val="007B3C09"/>
    <w:rsid w:val="007B4C43"/>
    <w:rsid w:val="007B5D2D"/>
    <w:rsid w:val="007B5FD5"/>
    <w:rsid w:val="007B6E02"/>
    <w:rsid w:val="007B72E5"/>
    <w:rsid w:val="007B76DE"/>
    <w:rsid w:val="007B7966"/>
    <w:rsid w:val="007B79AB"/>
    <w:rsid w:val="007C0189"/>
    <w:rsid w:val="007C0464"/>
    <w:rsid w:val="007C04B1"/>
    <w:rsid w:val="007C059C"/>
    <w:rsid w:val="007C07B2"/>
    <w:rsid w:val="007C103F"/>
    <w:rsid w:val="007C17F5"/>
    <w:rsid w:val="007C1927"/>
    <w:rsid w:val="007C19D0"/>
    <w:rsid w:val="007C1A40"/>
    <w:rsid w:val="007C1D17"/>
    <w:rsid w:val="007C1F3E"/>
    <w:rsid w:val="007C1F45"/>
    <w:rsid w:val="007C238C"/>
    <w:rsid w:val="007C2699"/>
    <w:rsid w:val="007C2745"/>
    <w:rsid w:val="007C2966"/>
    <w:rsid w:val="007C3A41"/>
    <w:rsid w:val="007C42F5"/>
    <w:rsid w:val="007C48E2"/>
    <w:rsid w:val="007C49D1"/>
    <w:rsid w:val="007C4E14"/>
    <w:rsid w:val="007C4E83"/>
    <w:rsid w:val="007C504C"/>
    <w:rsid w:val="007C5316"/>
    <w:rsid w:val="007C6523"/>
    <w:rsid w:val="007C6B42"/>
    <w:rsid w:val="007C6CF5"/>
    <w:rsid w:val="007C6E46"/>
    <w:rsid w:val="007C7A31"/>
    <w:rsid w:val="007C7D36"/>
    <w:rsid w:val="007C7F58"/>
    <w:rsid w:val="007D0222"/>
    <w:rsid w:val="007D0287"/>
    <w:rsid w:val="007D06E1"/>
    <w:rsid w:val="007D0875"/>
    <w:rsid w:val="007D1824"/>
    <w:rsid w:val="007D1D04"/>
    <w:rsid w:val="007D3112"/>
    <w:rsid w:val="007D395D"/>
    <w:rsid w:val="007D3D21"/>
    <w:rsid w:val="007D4288"/>
    <w:rsid w:val="007D4395"/>
    <w:rsid w:val="007D488A"/>
    <w:rsid w:val="007D4954"/>
    <w:rsid w:val="007D4BA9"/>
    <w:rsid w:val="007D5850"/>
    <w:rsid w:val="007D5D12"/>
    <w:rsid w:val="007D5DBF"/>
    <w:rsid w:val="007D6A97"/>
    <w:rsid w:val="007D6B9C"/>
    <w:rsid w:val="007D6ECA"/>
    <w:rsid w:val="007D6F2F"/>
    <w:rsid w:val="007D7899"/>
    <w:rsid w:val="007D79B1"/>
    <w:rsid w:val="007D7C1B"/>
    <w:rsid w:val="007D7E0B"/>
    <w:rsid w:val="007D7F32"/>
    <w:rsid w:val="007D7FC7"/>
    <w:rsid w:val="007E02C4"/>
    <w:rsid w:val="007E04F5"/>
    <w:rsid w:val="007E0565"/>
    <w:rsid w:val="007E0706"/>
    <w:rsid w:val="007E0F93"/>
    <w:rsid w:val="007E1423"/>
    <w:rsid w:val="007E16E4"/>
    <w:rsid w:val="007E16FC"/>
    <w:rsid w:val="007E1934"/>
    <w:rsid w:val="007E243E"/>
    <w:rsid w:val="007E2727"/>
    <w:rsid w:val="007E359B"/>
    <w:rsid w:val="007E3941"/>
    <w:rsid w:val="007E3CDC"/>
    <w:rsid w:val="007E3D3E"/>
    <w:rsid w:val="007E3EC9"/>
    <w:rsid w:val="007E44DB"/>
    <w:rsid w:val="007E4B5F"/>
    <w:rsid w:val="007E5654"/>
    <w:rsid w:val="007E56E5"/>
    <w:rsid w:val="007E571C"/>
    <w:rsid w:val="007E5A0B"/>
    <w:rsid w:val="007E5E08"/>
    <w:rsid w:val="007E63B8"/>
    <w:rsid w:val="007E65D0"/>
    <w:rsid w:val="007E70A1"/>
    <w:rsid w:val="007F0046"/>
    <w:rsid w:val="007F0363"/>
    <w:rsid w:val="007F0510"/>
    <w:rsid w:val="007F0688"/>
    <w:rsid w:val="007F0835"/>
    <w:rsid w:val="007F084C"/>
    <w:rsid w:val="007F1A33"/>
    <w:rsid w:val="007F2A24"/>
    <w:rsid w:val="007F2AA6"/>
    <w:rsid w:val="007F2F56"/>
    <w:rsid w:val="007F2FE9"/>
    <w:rsid w:val="007F30AE"/>
    <w:rsid w:val="007F318C"/>
    <w:rsid w:val="007F3349"/>
    <w:rsid w:val="007F3387"/>
    <w:rsid w:val="007F379F"/>
    <w:rsid w:val="007F39AD"/>
    <w:rsid w:val="007F3C6D"/>
    <w:rsid w:val="007F4A7F"/>
    <w:rsid w:val="007F543F"/>
    <w:rsid w:val="007F54BA"/>
    <w:rsid w:val="007F54BB"/>
    <w:rsid w:val="007F5B0C"/>
    <w:rsid w:val="007F5B81"/>
    <w:rsid w:val="007F64E5"/>
    <w:rsid w:val="007F756B"/>
    <w:rsid w:val="007F75D4"/>
    <w:rsid w:val="007F7659"/>
    <w:rsid w:val="007F7D87"/>
    <w:rsid w:val="007F7E90"/>
    <w:rsid w:val="0080007A"/>
    <w:rsid w:val="0080045A"/>
    <w:rsid w:val="00800E50"/>
    <w:rsid w:val="0080194E"/>
    <w:rsid w:val="00801A4F"/>
    <w:rsid w:val="00801DDC"/>
    <w:rsid w:val="00802913"/>
    <w:rsid w:val="00802C5F"/>
    <w:rsid w:val="008032B0"/>
    <w:rsid w:val="008032DE"/>
    <w:rsid w:val="0080333E"/>
    <w:rsid w:val="008036E1"/>
    <w:rsid w:val="008036F6"/>
    <w:rsid w:val="00803B2C"/>
    <w:rsid w:val="0080414E"/>
    <w:rsid w:val="00804470"/>
    <w:rsid w:val="00804676"/>
    <w:rsid w:val="008046D3"/>
    <w:rsid w:val="008047D8"/>
    <w:rsid w:val="00804FA4"/>
    <w:rsid w:val="008052DF"/>
    <w:rsid w:val="00805D0A"/>
    <w:rsid w:val="0080633D"/>
    <w:rsid w:val="00806423"/>
    <w:rsid w:val="0080657D"/>
    <w:rsid w:val="00806903"/>
    <w:rsid w:val="008074AC"/>
    <w:rsid w:val="00807804"/>
    <w:rsid w:val="00807DA7"/>
    <w:rsid w:val="00807EE3"/>
    <w:rsid w:val="00810797"/>
    <w:rsid w:val="00810966"/>
    <w:rsid w:val="00810A98"/>
    <w:rsid w:val="00810D79"/>
    <w:rsid w:val="008116F9"/>
    <w:rsid w:val="00811833"/>
    <w:rsid w:val="00811CE2"/>
    <w:rsid w:val="0081215C"/>
    <w:rsid w:val="00812173"/>
    <w:rsid w:val="008124B9"/>
    <w:rsid w:val="00812564"/>
    <w:rsid w:val="00812749"/>
    <w:rsid w:val="0081293E"/>
    <w:rsid w:val="00812C30"/>
    <w:rsid w:val="00812D9A"/>
    <w:rsid w:val="00813419"/>
    <w:rsid w:val="00813A27"/>
    <w:rsid w:val="008151D8"/>
    <w:rsid w:val="00815357"/>
    <w:rsid w:val="0081549B"/>
    <w:rsid w:val="00815F5D"/>
    <w:rsid w:val="008166FF"/>
    <w:rsid w:val="00816A78"/>
    <w:rsid w:val="008174FB"/>
    <w:rsid w:val="00817A9E"/>
    <w:rsid w:val="00817DA8"/>
    <w:rsid w:val="008200ED"/>
    <w:rsid w:val="008203E0"/>
    <w:rsid w:val="0082055A"/>
    <w:rsid w:val="00820584"/>
    <w:rsid w:val="0082081E"/>
    <w:rsid w:val="00820877"/>
    <w:rsid w:val="00820A97"/>
    <w:rsid w:val="00820AE0"/>
    <w:rsid w:val="00820E60"/>
    <w:rsid w:val="00821387"/>
    <w:rsid w:val="008215B2"/>
    <w:rsid w:val="00821ED8"/>
    <w:rsid w:val="00822089"/>
    <w:rsid w:val="00822195"/>
    <w:rsid w:val="008225CD"/>
    <w:rsid w:val="008234AC"/>
    <w:rsid w:val="00823CBA"/>
    <w:rsid w:val="008241F6"/>
    <w:rsid w:val="00824274"/>
    <w:rsid w:val="00824436"/>
    <w:rsid w:val="0082446D"/>
    <w:rsid w:val="00824A4F"/>
    <w:rsid w:val="00824E73"/>
    <w:rsid w:val="00825040"/>
    <w:rsid w:val="008251AC"/>
    <w:rsid w:val="008253B6"/>
    <w:rsid w:val="008255B6"/>
    <w:rsid w:val="00825784"/>
    <w:rsid w:val="00825794"/>
    <w:rsid w:val="0082582B"/>
    <w:rsid w:val="00825A36"/>
    <w:rsid w:val="00825B27"/>
    <w:rsid w:val="00825C63"/>
    <w:rsid w:val="00825ED5"/>
    <w:rsid w:val="0082618C"/>
    <w:rsid w:val="00826FAB"/>
    <w:rsid w:val="008270AF"/>
    <w:rsid w:val="00830000"/>
    <w:rsid w:val="0083023B"/>
    <w:rsid w:val="008305DA"/>
    <w:rsid w:val="008308C7"/>
    <w:rsid w:val="00830E2B"/>
    <w:rsid w:val="0083143D"/>
    <w:rsid w:val="00831B29"/>
    <w:rsid w:val="00831F5A"/>
    <w:rsid w:val="00832185"/>
    <w:rsid w:val="00832283"/>
    <w:rsid w:val="008322A1"/>
    <w:rsid w:val="008327D3"/>
    <w:rsid w:val="00832846"/>
    <w:rsid w:val="00832DFE"/>
    <w:rsid w:val="00833063"/>
    <w:rsid w:val="008337AD"/>
    <w:rsid w:val="008337D4"/>
    <w:rsid w:val="00833849"/>
    <w:rsid w:val="00833F37"/>
    <w:rsid w:val="00833F47"/>
    <w:rsid w:val="008348DC"/>
    <w:rsid w:val="00834935"/>
    <w:rsid w:val="008350C8"/>
    <w:rsid w:val="008352CD"/>
    <w:rsid w:val="008354B0"/>
    <w:rsid w:val="00835C03"/>
    <w:rsid w:val="00835D1D"/>
    <w:rsid w:val="00836387"/>
    <w:rsid w:val="008367E0"/>
    <w:rsid w:val="0083699F"/>
    <w:rsid w:val="00836CE8"/>
    <w:rsid w:val="00837201"/>
    <w:rsid w:val="008372FC"/>
    <w:rsid w:val="0083754D"/>
    <w:rsid w:val="00837905"/>
    <w:rsid w:val="008400AE"/>
    <w:rsid w:val="008404AF"/>
    <w:rsid w:val="00840891"/>
    <w:rsid w:val="00840B02"/>
    <w:rsid w:val="00840EE3"/>
    <w:rsid w:val="0084198F"/>
    <w:rsid w:val="0084249E"/>
    <w:rsid w:val="00842A8E"/>
    <w:rsid w:val="00842BD7"/>
    <w:rsid w:val="00842C63"/>
    <w:rsid w:val="00842FF9"/>
    <w:rsid w:val="008432B5"/>
    <w:rsid w:val="008434EB"/>
    <w:rsid w:val="0084383C"/>
    <w:rsid w:val="008438E8"/>
    <w:rsid w:val="00843AFF"/>
    <w:rsid w:val="008444FE"/>
    <w:rsid w:val="00844F44"/>
    <w:rsid w:val="00845376"/>
    <w:rsid w:val="00845FAD"/>
    <w:rsid w:val="008465EF"/>
    <w:rsid w:val="00846F1A"/>
    <w:rsid w:val="00847C8C"/>
    <w:rsid w:val="0085036F"/>
    <w:rsid w:val="00850E0B"/>
    <w:rsid w:val="008513A5"/>
    <w:rsid w:val="008514BB"/>
    <w:rsid w:val="00851D37"/>
    <w:rsid w:val="0085201C"/>
    <w:rsid w:val="008524D1"/>
    <w:rsid w:val="0085273F"/>
    <w:rsid w:val="00852791"/>
    <w:rsid w:val="0085281E"/>
    <w:rsid w:val="008529E6"/>
    <w:rsid w:val="00852AE6"/>
    <w:rsid w:val="00852E4A"/>
    <w:rsid w:val="00853EE7"/>
    <w:rsid w:val="0085411B"/>
    <w:rsid w:val="0085429C"/>
    <w:rsid w:val="008554F6"/>
    <w:rsid w:val="00855F11"/>
    <w:rsid w:val="00855F33"/>
    <w:rsid w:val="00856582"/>
    <w:rsid w:val="00856C78"/>
    <w:rsid w:val="008571DA"/>
    <w:rsid w:val="0085729A"/>
    <w:rsid w:val="00857FE2"/>
    <w:rsid w:val="008603F8"/>
    <w:rsid w:val="00860680"/>
    <w:rsid w:val="00860FA6"/>
    <w:rsid w:val="008610A6"/>
    <w:rsid w:val="0086180F"/>
    <w:rsid w:val="00861C7C"/>
    <w:rsid w:val="008622F8"/>
    <w:rsid w:val="00862497"/>
    <w:rsid w:val="008625D8"/>
    <w:rsid w:val="00862E0F"/>
    <w:rsid w:val="00862E8D"/>
    <w:rsid w:val="00862F8C"/>
    <w:rsid w:val="0086372C"/>
    <w:rsid w:val="00863E54"/>
    <w:rsid w:val="00863ED3"/>
    <w:rsid w:val="008640DD"/>
    <w:rsid w:val="008643D2"/>
    <w:rsid w:val="008648F7"/>
    <w:rsid w:val="008649E5"/>
    <w:rsid w:val="00864EEA"/>
    <w:rsid w:val="008651B1"/>
    <w:rsid w:val="00865F90"/>
    <w:rsid w:val="008664E8"/>
    <w:rsid w:val="00866615"/>
    <w:rsid w:val="0086662D"/>
    <w:rsid w:val="00866CEA"/>
    <w:rsid w:val="008674DC"/>
    <w:rsid w:val="008679F5"/>
    <w:rsid w:val="008710AB"/>
    <w:rsid w:val="008712F0"/>
    <w:rsid w:val="008720AD"/>
    <w:rsid w:val="008729DC"/>
    <w:rsid w:val="00872A67"/>
    <w:rsid w:val="00872B6E"/>
    <w:rsid w:val="00872E96"/>
    <w:rsid w:val="0087318C"/>
    <w:rsid w:val="008749E9"/>
    <w:rsid w:val="00874C4D"/>
    <w:rsid w:val="00875241"/>
    <w:rsid w:val="008754DE"/>
    <w:rsid w:val="00876C96"/>
    <w:rsid w:val="00876DBD"/>
    <w:rsid w:val="008777B7"/>
    <w:rsid w:val="008800F0"/>
    <w:rsid w:val="008802CA"/>
    <w:rsid w:val="008809EF"/>
    <w:rsid w:val="0088155B"/>
    <w:rsid w:val="008816CD"/>
    <w:rsid w:val="00881CAC"/>
    <w:rsid w:val="0088279D"/>
    <w:rsid w:val="0088297C"/>
    <w:rsid w:val="00882A33"/>
    <w:rsid w:val="00883203"/>
    <w:rsid w:val="0088378F"/>
    <w:rsid w:val="00883B01"/>
    <w:rsid w:val="00883C8B"/>
    <w:rsid w:val="00883EB9"/>
    <w:rsid w:val="00884225"/>
    <w:rsid w:val="008846FD"/>
    <w:rsid w:val="008848F5"/>
    <w:rsid w:val="0088516E"/>
    <w:rsid w:val="008853EB"/>
    <w:rsid w:val="008860D8"/>
    <w:rsid w:val="008863DE"/>
    <w:rsid w:val="00887025"/>
    <w:rsid w:val="00887202"/>
    <w:rsid w:val="00887954"/>
    <w:rsid w:val="00887AF1"/>
    <w:rsid w:val="00890498"/>
    <w:rsid w:val="00890B7B"/>
    <w:rsid w:val="00890D56"/>
    <w:rsid w:val="008910D5"/>
    <w:rsid w:val="0089141E"/>
    <w:rsid w:val="00891679"/>
    <w:rsid w:val="00891721"/>
    <w:rsid w:val="00891B94"/>
    <w:rsid w:val="00891CD3"/>
    <w:rsid w:val="00891DC2"/>
    <w:rsid w:val="00891E7B"/>
    <w:rsid w:val="00891F62"/>
    <w:rsid w:val="00892213"/>
    <w:rsid w:val="00892941"/>
    <w:rsid w:val="00892F1A"/>
    <w:rsid w:val="00893F4F"/>
    <w:rsid w:val="00894106"/>
    <w:rsid w:val="00894166"/>
    <w:rsid w:val="008949A1"/>
    <w:rsid w:val="00894BA9"/>
    <w:rsid w:val="00894BCC"/>
    <w:rsid w:val="00895143"/>
    <w:rsid w:val="008954B9"/>
    <w:rsid w:val="008956D4"/>
    <w:rsid w:val="00895762"/>
    <w:rsid w:val="008959B2"/>
    <w:rsid w:val="00895B73"/>
    <w:rsid w:val="00895BC3"/>
    <w:rsid w:val="00895D14"/>
    <w:rsid w:val="008964D9"/>
    <w:rsid w:val="008971A1"/>
    <w:rsid w:val="00897245"/>
    <w:rsid w:val="00897770"/>
    <w:rsid w:val="008A0895"/>
    <w:rsid w:val="008A121F"/>
    <w:rsid w:val="008A18E5"/>
    <w:rsid w:val="008A1930"/>
    <w:rsid w:val="008A216B"/>
    <w:rsid w:val="008A23D4"/>
    <w:rsid w:val="008A30FE"/>
    <w:rsid w:val="008A360C"/>
    <w:rsid w:val="008A3E01"/>
    <w:rsid w:val="008A4099"/>
    <w:rsid w:val="008A44CF"/>
    <w:rsid w:val="008A49DA"/>
    <w:rsid w:val="008A5363"/>
    <w:rsid w:val="008A5616"/>
    <w:rsid w:val="008A5880"/>
    <w:rsid w:val="008A5AA1"/>
    <w:rsid w:val="008A616D"/>
    <w:rsid w:val="008A6F4D"/>
    <w:rsid w:val="008A734D"/>
    <w:rsid w:val="008A7471"/>
    <w:rsid w:val="008A76AD"/>
    <w:rsid w:val="008A7704"/>
    <w:rsid w:val="008A781A"/>
    <w:rsid w:val="008B0823"/>
    <w:rsid w:val="008B0930"/>
    <w:rsid w:val="008B1513"/>
    <w:rsid w:val="008B1A5D"/>
    <w:rsid w:val="008B2183"/>
    <w:rsid w:val="008B218D"/>
    <w:rsid w:val="008B29BE"/>
    <w:rsid w:val="008B312A"/>
    <w:rsid w:val="008B348B"/>
    <w:rsid w:val="008B38E9"/>
    <w:rsid w:val="008B436A"/>
    <w:rsid w:val="008B4799"/>
    <w:rsid w:val="008B49EE"/>
    <w:rsid w:val="008B4B86"/>
    <w:rsid w:val="008B5F1D"/>
    <w:rsid w:val="008B6391"/>
    <w:rsid w:val="008B6A96"/>
    <w:rsid w:val="008B71D6"/>
    <w:rsid w:val="008B7291"/>
    <w:rsid w:val="008B7878"/>
    <w:rsid w:val="008C0047"/>
    <w:rsid w:val="008C1248"/>
    <w:rsid w:val="008C1754"/>
    <w:rsid w:val="008C1E10"/>
    <w:rsid w:val="008C2066"/>
    <w:rsid w:val="008C20A0"/>
    <w:rsid w:val="008C2141"/>
    <w:rsid w:val="008C248F"/>
    <w:rsid w:val="008C2C47"/>
    <w:rsid w:val="008C2DF0"/>
    <w:rsid w:val="008C319E"/>
    <w:rsid w:val="008C3C8A"/>
    <w:rsid w:val="008C4612"/>
    <w:rsid w:val="008C4941"/>
    <w:rsid w:val="008C498F"/>
    <w:rsid w:val="008C519F"/>
    <w:rsid w:val="008C5508"/>
    <w:rsid w:val="008C563D"/>
    <w:rsid w:val="008C681D"/>
    <w:rsid w:val="008C7295"/>
    <w:rsid w:val="008D0C75"/>
    <w:rsid w:val="008D0EC9"/>
    <w:rsid w:val="008D0F6A"/>
    <w:rsid w:val="008D18CC"/>
    <w:rsid w:val="008D2BF9"/>
    <w:rsid w:val="008D2C62"/>
    <w:rsid w:val="008D30CF"/>
    <w:rsid w:val="008D3307"/>
    <w:rsid w:val="008D3F70"/>
    <w:rsid w:val="008D4378"/>
    <w:rsid w:val="008D44FD"/>
    <w:rsid w:val="008D4580"/>
    <w:rsid w:val="008D5138"/>
    <w:rsid w:val="008D51F6"/>
    <w:rsid w:val="008D54AB"/>
    <w:rsid w:val="008D622D"/>
    <w:rsid w:val="008D66E1"/>
    <w:rsid w:val="008D67D0"/>
    <w:rsid w:val="008D7998"/>
    <w:rsid w:val="008D7F0B"/>
    <w:rsid w:val="008E03DB"/>
    <w:rsid w:val="008E040E"/>
    <w:rsid w:val="008E077B"/>
    <w:rsid w:val="008E14E4"/>
    <w:rsid w:val="008E17AD"/>
    <w:rsid w:val="008E1871"/>
    <w:rsid w:val="008E1B2F"/>
    <w:rsid w:val="008E232C"/>
    <w:rsid w:val="008E274E"/>
    <w:rsid w:val="008E2C6A"/>
    <w:rsid w:val="008E3DA6"/>
    <w:rsid w:val="008E4211"/>
    <w:rsid w:val="008E4376"/>
    <w:rsid w:val="008E4711"/>
    <w:rsid w:val="008E4CCA"/>
    <w:rsid w:val="008E4E6B"/>
    <w:rsid w:val="008E501B"/>
    <w:rsid w:val="008E59CF"/>
    <w:rsid w:val="008E5FFC"/>
    <w:rsid w:val="008E61A5"/>
    <w:rsid w:val="008E6741"/>
    <w:rsid w:val="008E6B27"/>
    <w:rsid w:val="008E7033"/>
    <w:rsid w:val="008E76AC"/>
    <w:rsid w:val="008E789F"/>
    <w:rsid w:val="008E7CBF"/>
    <w:rsid w:val="008E7E00"/>
    <w:rsid w:val="008F09C9"/>
    <w:rsid w:val="008F14F2"/>
    <w:rsid w:val="008F17F6"/>
    <w:rsid w:val="008F1C15"/>
    <w:rsid w:val="008F1C48"/>
    <w:rsid w:val="008F1E06"/>
    <w:rsid w:val="008F3069"/>
    <w:rsid w:val="008F35A0"/>
    <w:rsid w:val="008F3848"/>
    <w:rsid w:val="008F3C22"/>
    <w:rsid w:val="008F551B"/>
    <w:rsid w:val="008F5D0E"/>
    <w:rsid w:val="008F666E"/>
    <w:rsid w:val="008F6CF9"/>
    <w:rsid w:val="008F6E62"/>
    <w:rsid w:val="008F7604"/>
    <w:rsid w:val="008F7608"/>
    <w:rsid w:val="008F778F"/>
    <w:rsid w:val="008F7D9C"/>
    <w:rsid w:val="0090004D"/>
    <w:rsid w:val="009004E3"/>
    <w:rsid w:val="00900A37"/>
    <w:rsid w:val="00901036"/>
    <w:rsid w:val="00901208"/>
    <w:rsid w:val="009012F9"/>
    <w:rsid w:val="00901FF0"/>
    <w:rsid w:val="0090260D"/>
    <w:rsid w:val="00902A88"/>
    <w:rsid w:val="00902F51"/>
    <w:rsid w:val="00903441"/>
    <w:rsid w:val="00903E43"/>
    <w:rsid w:val="00904501"/>
    <w:rsid w:val="00904602"/>
    <w:rsid w:val="00904AB7"/>
    <w:rsid w:val="00905348"/>
    <w:rsid w:val="00905A4B"/>
    <w:rsid w:val="00905D5A"/>
    <w:rsid w:val="00905DAD"/>
    <w:rsid w:val="00905F98"/>
    <w:rsid w:val="00906113"/>
    <w:rsid w:val="009063EF"/>
    <w:rsid w:val="009068A5"/>
    <w:rsid w:val="00906A6C"/>
    <w:rsid w:val="00906B4F"/>
    <w:rsid w:val="00906BD8"/>
    <w:rsid w:val="00906DBB"/>
    <w:rsid w:val="00906F15"/>
    <w:rsid w:val="009075BA"/>
    <w:rsid w:val="0090763F"/>
    <w:rsid w:val="00907C3E"/>
    <w:rsid w:val="00907CD6"/>
    <w:rsid w:val="0091013D"/>
    <w:rsid w:val="009102BB"/>
    <w:rsid w:val="009107F1"/>
    <w:rsid w:val="00910B1E"/>
    <w:rsid w:val="00910E68"/>
    <w:rsid w:val="00911828"/>
    <w:rsid w:val="009118D5"/>
    <w:rsid w:val="00911B67"/>
    <w:rsid w:val="00912408"/>
    <w:rsid w:val="0091244B"/>
    <w:rsid w:val="00912582"/>
    <w:rsid w:val="009128B2"/>
    <w:rsid w:val="00912906"/>
    <w:rsid w:val="00913162"/>
    <w:rsid w:val="00913671"/>
    <w:rsid w:val="00913694"/>
    <w:rsid w:val="00913E99"/>
    <w:rsid w:val="00913EFF"/>
    <w:rsid w:val="00914390"/>
    <w:rsid w:val="0091539D"/>
    <w:rsid w:val="00915905"/>
    <w:rsid w:val="00916DD7"/>
    <w:rsid w:val="009170ED"/>
    <w:rsid w:val="009172B9"/>
    <w:rsid w:val="009173FF"/>
    <w:rsid w:val="00917BED"/>
    <w:rsid w:val="00917E37"/>
    <w:rsid w:val="00917FE3"/>
    <w:rsid w:val="00920929"/>
    <w:rsid w:val="00920E24"/>
    <w:rsid w:val="009211AC"/>
    <w:rsid w:val="00921829"/>
    <w:rsid w:val="0092194F"/>
    <w:rsid w:val="00921AC2"/>
    <w:rsid w:val="00923022"/>
    <w:rsid w:val="00923661"/>
    <w:rsid w:val="00923D01"/>
    <w:rsid w:val="009244DB"/>
    <w:rsid w:val="00925045"/>
    <w:rsid w:val="0092544F"/>
    <w:rsid w:val="009258F8"/>
    <w:rsid w:val="00925B67"/>
    <w:rsid w:val="0092604F"/>
    <w:rsid w:val="009265DE"/>
    <w:rsid w:val="00926C7D"/>
    <w:rsid w:val="00927094"/>
    <w:rsid w:val="00927AD4"/>
    <w:rsid w:val="00927B06"/>
    <w:rsid w:val="00927B82"/>
    <w:rsid w:val="00930856"/>
    <w:rsid w:val="009310C4"/>
    <w:rsid w:val="00931553"/>
    <w:rsid w:val="0093181B"/>
    <w:rsid w:val="00931C03"/>
    <w:rsid w:val="00932E62"/>
    <w:rsid w:val="00932ED5"/>
    <w:rsid w:val="00932F53"/>
    <w:rsid w:val="00933211"/>
    <w:rsid w:val="00933841"/>
    <w:rsid w:val="00933F27"/>
    <w:rsid w:val="00934021"/>
    <w:rsid w:val="009342DD"/>
    <w:rsid w:val="0093438F"/>
    <w:rsid w:val="009346E8"/>
    <w:rsid w:val="00934A2E"/>
    <w:rsid w:val="00935E60"/>
    <w:rsid w:val="00935F7F"/>
    <w:rsid w:val="0093615B"/>
    <w:rsid w:val="009363AC"/>
    <w:rsid w:val="00936B0C"/>
    <w:rsid w:val="009372D3"/>
    <w:rsid w:val="009372E3"/>
    <w:rsid w:val="00937BF8"/>
    <w:rsid w:val="00937E73"/>
    <w:rsid w:val="00937ECC"/>
    <w:rsid w:val="00940111"/>
    <w:rsid w:val="00940DA2"/>
    <w:rsid w:val="0094120F"/>
    <w:rsid w:val="00941285"/>
    <w:rsid w:val="009412F4"/>
    <w:rsid w:val="0094166E"/>
    <w:rsid w:val="00942382"/>
    <w:rsid w:val="0094261E"/>
    <w:rsid w:val="00942976"/>
    <w:rsid w:val="00942A58"/>
    <w:rsid w:val="00943B64"/>
    <w:rsid w:val="00943D15"/>
    <w:rsid w:val="009442F4"/>
    <w:rsid w:val="009448B5"/>
    <w:rsid w:val="00944F9B"/>
    <w:rsid w:val="00945389"/>
    <w:rsid w:val="00945B45"/>
    <w:rsid w:val="00945B58"/>
    <w:rsid w:val="0094651C"/>
    <w:rsid w:val="009465AC"/>
    <w:rsid w:val="0094667C"/>
    <w:rsid w:val="00946737"/>
    <w:rsid w:val="00946DAC"/>
    <w:rsid w:val="00946DFB"/>
    <w:rsid w:val="0094787E"/>
    <w:rsid w:val="00947DBA"/>
    <w:rsid w:val="00950ADD"/>
    <w:rsid w:val="00950CB5"/>
    <w:rsid w:val="009511D4"/>
    <w:rsid w:val="009511D8"/>
    <w:rsid w:val="00951457"/>
    <w:rsid w:val="00951672"/>
    <w:rsid w:val="00951694"/>
    <w:rsid w:val="00951AA0"/>
    <w:rsid w:val="00951BC2"/>
    <w:rsid w:val="00951CCF"/>
    <w:rsid w:val="00952B9E"/>
    <w:rsid w:val="00952D43"/>
    <w:rsid w:val="00952EE3"/>
    <w:rsid w:val="0095301D"/>
    <w:rsid w:val="009532FC"/>
    <w:rsid w:val="009537F6"/>
    <w:rsid w:val="0095391C"/>
    <w:rsid w:val="00954399"/>
    <w:rsid w:val="00954743"/>
    <w:rsid w:val="00954845"/>
    <w:rsid w:val="00954B56"/>
    <w:rsid w:val="0095586E"/>
    <w:rsid w:val="00955CBE"/>
    <w:rsid w:val="0095602D"/>
    <w:rsid w:val="009571BE"/>
    <w:rsid w:val="00957414"/>
    <w:rsid w:val="009601C8"/>
    <w:rsid w:val="009601D2"/>
    <w:rsid w:val="009601FD"/>
    <w:rsid w:val="00960541"/>
    <w:rsid w:val="00960836"/>
    <w:rsid w:val="00960885"/>
    <w:rsid w:val="00960A1F"/>
    <w:rsid w:val="00960C66"/>
    <w:rsid w:val="00960E2C"/>
    <w:rsid w:val="009612DA"/>
    <w:rsid w:val="00961A1C"/>
    <w:rsid w:val="00961B81"/>
    <w:rsid w:val="009620A0"/>
    <w:rsid w:val="0096281F"/>
    <w:rsid w:val="00962879"/>
    <w:rsid w:val="00962A66"/>
    <w:rsid w:val="00962EEC"/>
    <w:rsid w:val="00963592"/>
    <w:rsid w:val="009635F6"/>
    <w:rsid w:val="00963952"/>
    <w:rsid w:val="00963BF3"/>
    <w:rsid w:val="009642F0"/>
    <w:rsid w:val="0096463E"/>
    <w:rsid w:val="0096486D"/>
    <w:rsid w:val="00964D0B"/>
    <w:rsid w:val="00965563"/>
    <w:rsid w:val="00965891"/>
    <w:rsid w:val="00965ADC"/>
    <w:rsid w:val="0096678A"/>
    <w:rsid w:val="00966877"/>
    <w:rsid w:val="00966B08"/>
    <w:rsid w:val="00966F1B"/>
    <w:rsid w:val="009673C6"/>
    <w:rsid w:val="009700C7"/>
    <w:rsid w:val="009700FB"/>
    <w:rsid w:val="0097013F"/>
    <w:rsid w:val="009709CC"/>
    <w:rsid w:val="00970C60"/>
    <w:rsid w:val="00971D3F"/>
    <w:rsid w:val="00973B56"/>
    <w:rsid w:val="009742FE"/>
    <w:rsid w:val="009749BB"/>
    <w:rsid w:val="00975196"/>
    <w:rsid w:val="00975343"/>
    <w:rsid w:val="00975E88"/>
    <w:rsid w:val="00975EFE"/>
    <w:rsid w:val="0097606C"/>
    <w:rsid w:val="009760B0"/>
    <w:rsid w:val="009762A2"/>
    <w:rsid w:val="009763BE"/>
    <w:rsid w:val="009768CC"/>
    <w:rsid w:val="00976979"/>
    <w:rsid w:val="00976A11"/>
    <w:rsid w:val="00977562"/>
    <w:rsid w:val="00977776"/>
    <w:rsid w:val="009778FF"/>
    <w:rsid w:val="009779C2"/>
    <w:rsid w:val="00977FB3"/>
    <w:rsid w:val="00980690"/>
    <w:rsid w:val="00980692"/>
    <w:rsid w:val="00980A65"/>
    <w:rsid w:val="00981322"/>
    <w:rsid w:val="00981598"/>
    <w:rsid w:val="00981EF2"/>
    <w:rsid w:val="009820FA"/>
    <w:rsid w:val="009827F9"/>
    <w:rsid w:val="00982E99"/>
    <w:rsid w:val="00982EDC"/>
    <w:rsid w:val="0098301C"/>
    <w:rsid w:val="009835B1"/>
    <w:rsid w:val="009837FA"/>
    <w:rsid w:val="00983E55"/>
    <w:rsid w:val="00984115"/>
    <w:rsid w:val="00984980"/>
    <w:rsid w:val="00985629"/>
    <w:rsid w:val="00985717"/>
    <w:rsid w:val="00985886"/>
    <w:rsid w:val="009859BC"/>
    <w:rsid w:val="00985C31"/>
    <w:rsid w:val="00985CB5"/>
    <w:rsid w:val="00985EFD"/>
    <w:rsid w:val="00986298"/>
    <w:rsid w:val="00986591"/>
    <w:rsid w:val="009869A0"/>
    <w:rsid w:val="00987D28"/>
    <w:rsid w:val="00987FB9"/>
    <w:rsid w:val="00990018"/>
    <w:rsid w:val="00990AEA"/>
    <w:rsid w:val="009910B7"/>
    <w:rsid w:val="00991329"/>
    <w:rsid w:val="00991717"/>
    <w:rsid w:val="00991A5C"/>
    <w:rsid w:val="00992268"/>
    <w:rsid w:val="00992778"/>
    <w:rsid w:val="009927CC"/>
    <w:rsid w:val="00992EBC"/>
    <w:rsid w:val="00993790"/>
    <w:rsid w:val="00993F52"/>
    <w:rsid w:val="00994106"/>
    <w:rsid w:val="0099438C"/>
    <w:rsid w:val="00995248"/>
    <w:rsid w:val="009953F2"/>
    <w:rsid w:val="00995771"/>
    <w:rsid w:val="0099581B"/>
    <w:rsid w:val="009958DB"/>
    <w:rsid w:val="00995A09"/>
    <w:rsid w:val="00995E52"/>
    <w:rsid w:val="00995FAF"/>
    <w:rsid w:val="0099601A"/>
    <w:rsid w:val="00996B74"/>
    <w:rsid w:val="009973FD"/>
    <w:rsid w:val="009A045F"/>
    <w:rsid w:val="009A0656"/>
    <w:rsid w:val="009A096D"/>
    <w:rsid w:val="009A0CE8"/>
    <w:rsid w:val="009A1831"/>
    <w:rsid w:val="009A1883"/>
    <w:rsid w:val="009A1E62"/>
    <w:rsid w:val="009A1EA7"/>
    <w:rsid w:val="009A2176"/>
    <w:rsid w:val="009A22D0"/>
    <w:rsid w:val="009A2546"/>
    <w:rsid w:val="009A277A"/>
    <w:rsid w:val="009A2846"/>
    <w:rsid w:val="009A3184"/>
    <w:rsid w:val="009A35A6"/>
    <w:rsid w:val="009A390C"/>
    <w:rsid w:val="009A3E40"/>
    <w:rsid w:val="009A4224"/>
    <w:rsid w:val="009A46F9"/>
    <w:rsid w:val="009A4CFC"/>
    <w:rsid w:val="009A56E5"/>
    <w:rsid w:val="009A66AE"/>
    <w:rsid w:val="009A68BF"/>
    <w:rsid w:val="009A6CE0"/>
    <w:rsid w:val="009A6DF8"/>
    <w:rsid w:val="009A7250"/>
    <w:rsid w:val="009A7AE4"/>
    <w:rsid w:val="009A7F33"/>
    <w:rsid w:val="009B0527"/>
    <w:rsid w:val="009B09F6"/>
    <w:rsid w:val="009B0BD6"/>
    <w:rsid w:val="009B0EA8"/>
    <w:rsid w:val="009B1388"/>
    <w:rsid w:val="009B190C"/>
    <w:rsid w:val="009B1A7D"/>
    <w:rsid w:val="009B1CE0"/>
    <w:rsid w:val="009B1F42"/>
    <w:rsid w:val="009B1FAF"/>
    <w:rsid w:val="009B2026"/>
    <w:rsid w:val="009B24B9"/>
    <w:rsid w:val="009B2A2B"/>
    <w:rsid w:val="009B2E85"/>
    <w:rsid w:val="009B2F28"/>
    <w:rsid w:val="009B33B0"/>
    <w:rsid w:val="009B3EA2"/>
    <w:rsid w:val="009B41DA"/>
    <w:rsid w:val="009B44C7"/>
    <w:rsid w:val="009B4D1F"/>
    <w:rsid w:val="009B4EFA"/>
    <w:rsid w:val="009B5B0A"/>
    <w:rsid w:val="009B6265"/>
    <w:rsid w:val="009B62DB"/>
    <w:rsid w:val="009B66C2"/>
    <w:rsid w:val="009B6AB7"/>
    <w:rsid w:val="009B6FAD"/>
    <w:rsid w:val="009B7078"/>
    <w:rsid w:val="009B7332"/>
    <w:rsid w:val="009B752E"/>
    <w:rsid w:val="009B77DD"/>
    <w:rsid w:val="009B7956"/>
    <w:rsid w:val="009B7DC0"/>
    <w:rsid w:val="009C0532"/>
    <w:rsid w:val="009C07A0"/>
    <w:rsid w:val="009C08DE"/>
    <w:rsid w:val="009C0921"/>
    <w:rsid w:val="009C10EB"/>
    <w:rsid w:val="009C12EA"/>
    <w:rsid w:val="009C1A36"/>
    <w:rsid w:val="009C1D18"/>
    <w:rsid w:val="009C1D74"/>
    <w:rsid w:val="009C1F16"/>
    <w:rsid w:val="009C21A4"/>
    <w:rsid w:val="009C2513"/>
    <w:rsid w:val="009C2933"/>
    <w:rsid w:val="009C38E5"/>
    <w:rsid w:val="009C3F49"/>
    <w:rsid w:val="009C418D"/>
    <w:rsid w:val="009C4351"/>
    <w:rsid w:val="009C4AB6"/>
    <w:rsid w:val="009C4AF9"/>
    <w:rsid w:val="009C5029"/>
    <w:rsid w:val="009C5764"/>
    <w:rsid w:val="009C5FF6"/>
    <w:rsid w:val="009C62E4"/>
    <w:rsid w:val="009C63DE"/>
    <w:rsid w:val="009C66D2"/>
    <w:rsid w:val="009C6963"/>
    <w:rsid w:val="009C6CBB"/>
    <w:rsid w:val="009D0A68"/>
    <w:rsid w:val="009D0E7A"/>
    <w:rsid w:val="009D10B9"/>
    <w:rsid w:val="009D161A"/>
    <w:rsid w:val="009D1653"/>
    <w:rsid w:val="009D18FD"/>
    <w:rsid w:val="009D23FF"/>
    <w:rsid w:val="009D28E4"/>
    <w:rsid w:val="009D2F8F"/>
    <w:rsid w:val="009D341A"/>
    <w:rsid w:val="009D3DA6"/>
    <w:rsid w:val="009D4061"/>
    <w:rsid w:val="009D4369"/>
    <w:rsid w:val="009D4476"/>
    <w:rsid w:val="009D4615"/>
    <w:rsid w:val="009D4675"/>
    <w:rsid w:val="009D4A9C"/>
    <w:rsid w:val="009D4B4C"/>
    <w:rsid w:val="009D526D"/>
    <w:rsid w:val="009D5E5A"/>
    <w:rsid w:val="009D6529"/>
    <w:rsid w:val="009D69DD"/>
    <w:rsid w:val="009D7BDF"/>
    <w:rsid w:val="009D7C3B"/>
    <w:rsid w:val="009E036A"/>
    <w:rsid w:val="009E0484"/>
    <w:rsid w:val="009E0595"/>
    <w:rsid w:val="009E0723"/>
    <w:rsid w:val="009E0E01"/>
    <w:rsid w:val="009E3377"/>
    <w:rsid w:val="009E3A4A"/>
    <w:rsid w:val="009E4081"/>
    <w:rsid w:val="009E45B0"/>
    <w:rsid w:val="009E49AA"/>
    <w:rsid w:val="009E52D5"/>
    <w:rsid w:val="009E5C63"/>
    <w:rsid w:val="009E6013"/>
    <w:rsid w:val="009E60E1"/>
    <w:rsid w:val="009E6BD2"/>
    <w:rsid w:val="009E6C52"/>
    <w:rsid w:val="009E6E4D"/>
    <w:rsid w:val="009E7062"/>
    <w:rsid w:val="009E7251"/>
    <w:rsid w:val="009E735B"/>
    <w:rsid w:val="009E7654"/>
    <w:rsid w:val="009F081C"/>
    <w:rsid w:val="009F0938"/>
    <w:rsid w:val="009F0E7C"/>
    <w:rsid w:val="009F11DB"/>
    <w:rsid w:val="009F1518"/>
    <w:rsid w:val="009F1843"/>
    <w:rsid w:val="009F1A4D"/>
    <w:rsid w:val="009F1AA0"/>
    <w:rsid w:val="009F1C18"/>
    <w:rsid w:val="009F1C2F"/>
    <w:rsid w:val="009F1E4A"/>
    <w:rsid w:val="009F31BD"/>
    <w:rsid w:val="009F3205"/>
    <w:rsid w:val="009F34B0"/>
    <w:rsid w:val="009F35E8"/>
    <w:rsid w:val="009F36E7"/>
    <w:rsid w:val="009F3DCF"/>
    <w:rsid w:val="009F4350"/>
    <w:rsid w:val="009F53DE"/>
    <w:rsid w:val="009F5616"/>
    <w:rsid w:val="009F5AD6"/>
    <w:rsid w:val="009F5FFF"/>
    <w:rsid w:val="009F6020"/>
    <w:rsid w:val="009F62F3"/>
    <w:rsid w:val="009F67B5"/>
    <w:rsid w:val="009F73C6"/>
    <w:rsid w:val="009F7D62"/>
    <w:rsid w:val="00A0064B"/>
    <w:rsid w:val="00A00808"/>
    <w:rsid w:val="00A00CE0"/>
    <w:rsid w:val="00A0103C"/>
    <w:rsid w:val="00A01630"/>
    <w:rsid w:val="00A017CE"/>
    <w:rsid w:val="00A01DD8"/>
    <w:rsid w:val="00A020C7"/>
    <w:rsid w:val="00A02241"/>
    <w:rsid w:val="00A029A5"/>
    <w:rsid w:val="00A02B9C"/>
    <w:rsid w:val="00A02BDB"/>
    <w:rsid w:val="00A02CC3"/>
    <w:rsid w:val="00A02D74"/>
    <w:rsid w:val="00A03C33"/>
    <w:rsid w:val="00A048DC"/>
    <w:rsid w:val="00A0497D"/>
    <w:rsid w:val="00A04C5C"/>
    <w:rsid w:val="00A05717"/>
    <w:rsid w:val="00A05B57"/>
    <w:rsid w:val="00A05C9B"/>
    <w:rsid w:val="00A062A1"/>
    <w:rsid w:val="00A06A68"/>
    <w:rsid w:val="00A06C7E"/>
    <w:rsid w:val="00A06F60"/>
    <w:rsid w:val="00A076AD"/>
    <w:rsid w:val="00A076EC"/>
    <w:rsid w:val="00A07AE4"/>
    <w:rsid w:val="00A07B22"/>
    <w:rsid w:val="00A10031"/>
    <w:rsid w:val="00A105C9"/>
    <w:rsid w:val="00A10F7A"/>
    <w:rsid w:val="00A11ABC"/>
    <w:rsid w:val="00A11C72"/>
    <w:rsid w:val="00A1227E"/>
    <w:rsid w:val="00A12737"/>
    <w:rsid w:val="00A12ACF"/>
    <w:rsid w:val="00A13100"/>
    <w:rsid w:val="00A13469"/>
    <w:rsid w:val="00A14D31"/>
    <w:rsid w:val="00A1542F"/>
    <w:rsid w:val="00A16351"/>
    <w:rsid w:val="00A17550"/>
    <w:rsid w:val="00A17951"/>
    <w:rsid w:val="00A200C8"/>
    <w:rsid w:val="00A20854"/>
    <w:rsid w:val="00A20E10"/>
    <w:rsid w:val="00A2118C"/>
    <w:rsid w:val="00A216BD"/>
    <w:rsid w:val="00A21AC4"/>
    <w:rsid w:val="00A21D44"/>
    <w:rsid w:val="00A2233F"/>
    <w:rsid w:val="00A2288D"/>
    <w:rsid w:val="00A22992"/>
    <w:rsid w:val="00A22B01"/>
    <w:rsid w:val="00A22BE7"/>
    <w:rsid w:val="00A22D5A"/>
    <w:rsid w:val="00A23592"/>
    <w:rsid w:val="00A23BB0"/>
    <w:rsid w:val="00A23F73"/>
    <w:rsid w:val="00A241EC"/>
    <w:rsid w:val="00A24547"/>
    <w:rsid w:val="00A253D3"/>
    <w:rsid w:val="00A25C3F"/>
    <w:rsid w:val="00A260BA"/>
    <w:rsid w:val="00A266AE"/>
    <w:rsid w:val="00A269E5"/>
    <w:rsid w:val="00A26C7D"/>
    <w:rsid w:val="00A27BE6"/>
    <w:rsid w:val="00A30077"/>
    <w:rsid w:val="00A30118"/>
    <w:rsid w:val="00A30462"/>
    <w:rsid w:val="00A306C0"/>
    <w:rsid w:val="00A30ACD"/>
    <w:rsid w:val="00A30E43"/>
    <w:rsid w:val="00A30F0D"/>
    <w:rsid w:val="00A30FDA"/>
    <w:rsid w:val="00A31534"/>
    <w:rsid w:val="00A31A14"/>
    <w:rsid w:val="00A31B74"/>
    <w:rsid w:val="00A32684"/>
    <w:rsid w:val="00A3285F"/>
    <w:rsid w:val="00A3289E"/>
    <w:rsid w:val="00A32CEB"/>
    <w:rsid w:val="00A32DE6"/>
    <w:rsid w:val="00A32E71"/>
    <w:rsid w:val="00A33414"/>
    <w:rsid w:val="00A33547"/>
    <w:rsid w:val="00A33DB5"/>
    <w:rsid w:val="00A3488F"/>
    <w:rsid w:val="00A357BC"/>
    <w:rsid w:val="00A3593A"/>
    <w:rsid w:val="00A35A18"/>
    <w:rsid w:val="00A35C55"/>
    <w:rsid w:val="00A35E2C"/>
    <w:rsid w:val="00A35E5A"/>
    <w:rsid w:val="00A35E86"/>
    <w:rsid w:val="00A36C1E"/>
    <w:rsid w:val="00A372A6"/>
    <w:rsid w:val="00A37745"/>
    <w:rsid w:val="00A3796B"/>
    <w:rsid w:val="00A3797E"/>
    <w:rsid w:val="00A37A32"/>
    <w:rsid w:val="00A37C40"/>
    <w:rsid w:val="00A37FA8"/>
    <w:rsid w:val="00A40406"/>
    <w:rsid w:val="00A406A2"/>
    <w:rsid w:val="00A41086"/>
    <w:rsid w:val="00A413CD"/>
    <w:rsid w:val="00A413FE"/>
    <w:rsid w:val="00A415A8"/>
    <w:rsid w:val="00A419AC"/>
    <w:rsid w:val="00A41BD5"/>
    <w:rsid w:val="00A41C32"/>
    <w:rsid w:val="00A41C37"/>
    <w:rsid w:val="00A425B6"/>
    <w:rsid w:val="00A4268F"/>
    <w:rsid w:val="00A42E53"/>
    <w:rsid w:val="00A434E3"/>
    <w:rsid w:val="00A436EC"/>
    <w:rsid w:val="00A4378E"/>
    <w:rsid w:val="00A448FE"/>
    <w:rsid w:val="00A45141"/>
    <w:rsid w:val="00A45486"/>
    <w:rsid w:val="00A45537"/>
    <w:rsid w:val="00A45BF7"/>
    <w:rsid w:val="00A461AE"/>
    <w:rsid w:val="00A46A7F"/>
    <w:rsid w:val="00A47023"/>
    <w:rsid w:val="00A47247"/>
    <w:rsid w:val="00A474BD"/>
    <w:rsid w:val="00A502D6"/>
    <w:rsid w:val="00A50A34"/>
    <w:rsid w:val="00A51CF0"/>
    <w:rsid w:val="00A51F49"/>
    <w:rsid w:val="00A51FC9"/>
    <w:rsid w:val="00A5227C"/>
    <w:rsid w:val="00A52455"/>
    <w:rsid w:val="00A52506"/>
    <w:rsid w:val="00A525E2"/>
    <w:rsid w:val="00A5268B"/>
    <w:rsid w:val="00A5347E"/>
    <w:rsid w:val="00A53C59"/>
    <w:rsid w:val="00A543CE"/>
    <w:rsid w:val="00A54430"/>
    <w:rsid w:val="00A5486D"/>
    <w:rsid w:val="00A54937"/>
    <w:rsid w:val="00A54C48"/>
    <w:rsid w:val="00A54CDB"/>
    <w:rsid w:val="00A54DB1"/>
    <w:rsid w:val="00A54EA9"/>
    <w:rsid w:val="00A5527D"/>
    <w:rsid w:val="00A554FB"/>
    <w:rsid w:val="00A5688A"/>
    <w:rsid w:val="00A56C49"/>
    <w:rsid w:val="00A57121"/>
    <w:rsid w:val="00A5753F"/>
    <w:rsid w:val="00A579FB"/>
    <w:rsid w:val="00A57F83"/>
    <w:rsid w:val="00A60561"/>
    <w:rsid w:val="00A608BA"/>
    <w:rsid w:val="00A60B51"/>
    <w:rsid w:val="00A615FD"/>
    <w:rsid w:val="00A61B9F"/>
    <w:rsid w:val="00A61CB0"/>
    <w:rsid w:val="00A61DB9"/>
    <w:rsid w:val="00A61F4F"/>
    <w:rsid w:val="00A62011"/>
    <w:rsid w:val="00A621EB"/>
    <w:rsid w:val="00A621FB"/>
    <w:rsid w:val="00A62ADD"/>
    <w:rsid w:val="00A63155"/>
    <w:rsid w:val="00A63474"/>
    <w:rsid w:val="00A6364F"/>
    <w:rsid w:val="00A63689"/>
    <w:rsid w:val="00A6379D"/>
    <w:rsid w:val="00A63F0B"/>
    <w:rsid w:val="00A642AB"/>
    <w:rsid w:val="00A6478F"/>
    <w:rsid w:val="00A64BD3"/>
    <w:rsid w:val="00A64C9B"/>
    <w:rsid w:val="00A652F1"/>
    <w:rsid w:val="00A6552D"/>
    <w:rsid w:val="00A6620F"/>
    <w:rsid w:val="00A6625B"/>
    <w:rsid w:val="00A663DA"/>
    <w:rsid w:val="00A6664B"/>
    <w:rsid w:val="00A66972"/>
    <w:rsid w:val="00A671DF"/>
    <w:rsid w:val="00A67787"/>
    <w:rsid w:val="00A7009C"/>
    <w:rsid w:val="00A704AF"/>
    <w:rsid w:val="00A70CC5"/>
    <w:rsid w:val="00A70CF6"/>
    <w:rsid w:val="00A710A6"/>
    <w:rsid w:val="00A71257"/>
    <w:rsid w:val="00A71638"/>
    <w:rsid w:val="00A723E1"/>
    <w:rsid w:val="00A72B0E"/>
    <w:rsid w:val="00A73070"/>
    <w:rsid w:val="00A73485"/>
    <w:rsid w:val="00A73F71"/>
    <w:rsid w:val="00A74645"/>
    <w:rsid w:val="00A74796"/>
    <w:rsid w:val="00A75190"/>
    <w:rsid w:val="00A75CB4"/>
    <w:rsid w:val="00A75ECA"/>
    <w:rsid w:val="00A76480"/>
    <w:rsid w:val="00A76624"/>
    <w:rsid w:val="00A76865"/>
    <w:rsid w:val="00A76C30"/>
    <w:rsid w:val="00A76E66"/>
    <w:rsid w:val="00A77010"/>
    <w:rsid w:val="00A7740E"/>
    <w:rsid w:val="00A77618"/>
    <w:rsid w:val="00A77902"/>
    <w:rsid w:val="00A77CAB"/>
    <w:rsid w:val="00A8081E"/>
    <w:rsid w:val="00A80978"/>
    <w:rsid w:val="00A80F03"/>
    <w:rsid w:val="00A80FDC"/>
    <w:rsid w:val="00A814EC"/>
    <w:rsid w:val="00A81CB8"/>
    <w:rsid w:val="00A81DC7"/>
    <w:rsid w:val="00A82127"/>
    <w:rsid w:val="00A82C44"/>
    <w:rsid w:val="00A834AD"/>
    <w:rsid w:val="00A836F6"/>
    <w:rsid w:val="00A838A6"/>
    <w:rsid w:val="00A83D55"/>
    <w:rsid w:val="00A840A0"/>
    <w:rsid w:val="00A84D42"/>
    <w:rsid w:val="00A856C3"/>
    <w:rsid w:val="00A858B9"/>
    <w:rsid w:val="00A85AA5"/>
    <w:rsid w:val="00A86202"/>
    <w:rsid w:val="00A8630A"/>
    <w:rsid w:val="00A86407"/>
    <w:rsid w:val="00A873CF"/>
    <w:rsid w:val="00A87898"/>
    <w:rsid w:val="00A87B66"/>
    <w:rsid w:val="00A87D79"/>
    <w:rsid w:val="00A903B9"/>
    <w:rsid w:val="00A906D7"/>
    <w:rsid w:val="00A90992"/>
    <w:rsid w:val="00A90B43"/>
    <w:rsid w:val="00A91A5B"/>
    <w:rsid w:val="00A91AD3"/>
    <w:rsid w:val="00A91D28"/>
    <w:rsid w:val="00A9209E"/>
    <w:rsid w:val="00A92247"/>
    <w:rsid w:val="00A924A7"/>
    <w:rsid w:val="00A92693"/>
    <w:rsid w:val="00A92C74"/>
    <w:rsid w:val="00A92E8A"/>
    <w:rsid w:val="00A9341F"/>
    <w:rsid w:val="00A93657"/>
    <w:rsid w:val="00A93D5B"/>
    <w:rsid w:val="00A94236"/>
    <w:rsid w:val="00A9430D"/>
    <w:rsid w:val="00A94424"/>
    <w:rsid w:val="00A946E2"/>
    <w:rsid w:val="00A949BC"/>
    <w:rsid w:val="00A94A60"/>
    <w:rsid w:val="00A94E4E"/>
    <w:rsid w:val="00A954C6"/>
    <w:rsid w:val="00A959F4"/>
    <w:rsid w:val="00A95B0C"/>
    <w:rsid w:val="00A96058"/>
    <w:rsid w:val="00A96323"/>
    <w:rsid w:val="00A966F0"/>
    <w:rsid w:val="00A96736"/>
    <w:rsid w:val="00A96E51"/>
    <w:rsid w:val="00A970A8"/>
    <w:rsid w:val="00A974C1"/>
    <w:rsid w:val="00A97D0B"/>
    <w:rsid w:val="00A97E28"/>
    <w:rsid w:val="00AA147E"/>
    <w:rsid w:val="00AA151B"/>
    <w:rsid w:val="00AA1681"/>
    <w:rsid w:val="00AA193F"/>
    <w:rsid w:val="00AA21A7"/>
    <w:rsid w:val="00AA242F"/>
    <w:rsid w:val="00AA2912"/>
    <w:rsid w:val="00AA2C12"/>
    <w:rsid w:val="00AA3766"/>
    <w:rsid w:val="00AA37BA"/>
    <w:rsid w:val="00AA3A11"/>
    <w:rsid w:val="00AA3F34"/>
    <w:rsid w:val="00AA4B93"/>
    <w:rsid w:val="00AA4BD0"/>
    <w:rsid w:val="00AA4CAE"/>
    <w:rsid w:val="00AA50C0"/>
    <w:rsid w:val="00AA54EA"/>
    <w:rsid w:val="00AA5860"/>
    <w:rsid w:val="00AA5F13"/>
    <w:rsid w:val="00AA6C85"/>
    <w:rsid w:val="00AA6D48"/>
    <w:rsid w:val="00AA6F93"/>
    <w:rsid w:val="00AA7195"/>
    <w:rsid w:val="00AA7468"/>
    <w:rsid w:val="00AA7A26"/>
    <w:rsid w:val="00AB05A1"/>
    <w:rsid w:val="00AB098E"/>
    <w:rsid w:val="00AB0A50"/>
    <w:rsid w:val="00AB0CC4"/>
    <w:rsid w:val="00AB1450"/>
    <w:rsid w:val="00AB1806"/>
    <w:rsid w:val="00AB1B58"/>
    <w:rsid w:val="00AB1BDB"/>
    <w:rsid w:val="00AB2019"/>
    <w:rsid w:val="00AB22F7"/>
    <w:rsid w:val="00AB2386"/>
    <w:rsid w:val="00AB2635"/>
    <w:rsid w:val="00AB393F"/>
    <w:rsid w:val="00AB3A19"/>
    <w:rsid w:val="00AB418F"/>
    <w:rsid w:val="00AB453D"/>
    <w:rsid w:val="00AB4C03"/>
    <w:rsid w:val="00AB4C5E"/>
    <w:rsid w:val="00AB4CDC"/>
    <w:rsid w:val="00AB4E0A"/>
    <w:rsid w:val="00AB4EB2"/>
    <w:rsid w:val="00AB5281"/>
    <w:rsid w:val="00AB548D"/>
    <w:rsid w:val="00AB58B6"/>
    <w:rsid w:val="00AB58E0"/>
    <w:rsid w:val="00AB58E9"/>
    <w:rsid w:val="00AB5C95"/>
    <w:rsid w:val="00AB5F0B"/>
    <w:rsid w:val="00AB61AA"/>
    <w:rsid w:val="00AB64A5"/>
    <w:rsid w:val="00AB7413"/>
    <w:rsid w:val="00AC003D"/>
    <w:rsid w:val="00AC01EE"/>
    <w:rsid w:val="00AC0515"/>
    <w:rsid w:val="00AC093E"/>
    <w:rsid w:val="00AC0B3A"/>
    <w:rsid w:val="00AC15C9"/>
    <w:rsid w:val="00AC255E"/>
    <w:rsid w:val="00AC2F50"/>
    <w:rsid w:val="00AC38F3"/>
    <w:rsid w:val="00AC49A2"/>
    <w:rsid w:val="00AC4C65"/>
    <w:rsid w:val="00AC524D"/>
    <w:rsid w:val="00AC596C"/>
    <w:rsid w:val="00AC5AA0"/>
    <w:rsid w:val="00AC5B6C"/>
    <w:rsid w:val="00AC5D53"/>
    <w:rsid w:val="00AC5E14"/>
    <w:rsid w:val="00AC683A"/>
    <w:rsid w:val="00AC6E49"/>
    <w:rsid w:val="00AC6FE5"/>
    <w:rsid w:val="00AC75CD"/>
    <w:rsid w:val="00AC77B9"/>
    <w:rsid w:val="00AC7B32"/>
    <w:rsid w:val="00AC7B86"/>
    <w:rsid w:val="00AD02D2"/>
    <w:rsid w:val="00AD02F9"/>
    <w:rsid w:val="00AD0958"/>
    <w:rsid w:val="00AD0D72"/>
    <w:rsid w:val="00AD191D"/>
    <w:rsid w:val="00AD1D15"/>
    <w:rsid w:val="00AD257E"/>
    <w:rsid w:val="00AD2859"/>
    <w:rsid w:val="00AD2B33"/>
    <w:rsid w:val="00AD2DFC"/>
    <w:rsid w:val="00AD32ED"/>
    <w:rsid w:val="00AD389D"/>
    <w:rsid w:val="00AD38E3"/>
    <w:rsid w:val="00AD3946"/>
    <w:rsid w:val="00AD3FD6"/>
    <w:rsid w:val="00AD475D"/>
    <w:rsid w:val="00AD47DE"/>
    <w:rsid w:val="00AD4927"/>
    <w:rsid w:val="00AD5082"/>
    <w:rsid w:val="00AD53C8"/>
    <w:rsid w:val="00AD5584"/>
    <w:rsid w:val="00AD5669"/>
    <w:rsid w:val="00AD593C"/>
    <w:rsid w:val="00AD603F"/>
    <w:rsid w:val="00AD6753"/>
    <w:rsid w:val="00AD67BD"/>
    <w:rsid w:val="00AD6AC1"/>
    <w:rsid w:val="00AD6C68"/>
    <w:rsid w:val="00AD70D2"/>
    <w:rsid w:val="00AD78E1"/>
    <w:rsid w:val="00AD7DCB"/>
    <w:rsid w:val="00AE003F"/>
    <w:rsid w:val="00AE03C4"/>
    <w:rsid w:val="00AE058F"/>
    <w:rsid w:val="00AE0DE0"/>
    <w:rsid w:val="00AE1BD2"/>
    <w:rsid w:val="00AE1FD1"/>
    <w:rsid w:val="00AE2585"/>
    <w:rsid w:val="00AE259D"/>
    <w:rsid w:val="00AE286A"/>
    <w:rsid w:val="00AE2CD4"/>
    <w:rsid w:val="00AE306F"/>
    <w:rsid w:val="00AE31C9"/>
    <w:rsid w:val="00AE35A1"/>
    <w:rsid w:val="00AE3695"/>
    <w:rsid w:val="00AE370C"/>
    <w:rsid w:val="00AE3734"/>
    <w:rsid w:val="00AE3849"/>
    <w:rsid w:val="00AE392E"/>
    <w:rsid w:val="00AE3ACB"/>
    <w:rsid w:val="00AE3E6C"/>
    <w:rsid w:val="00AE41C3"/>
    <w:rsid w:val="00AE4CCF"/>
    <w:rsid w:val="00AE54AB"/>
    <w:rsid w:val="00AE558A"/>
    <w:rsid w:val="00AE5EDD"/>
    <w:rsid w:val="00AE63CA"/>
    <w:rsid w:val="00AE6575"/>
    <w:rsid w:val="00AE6911"/>
    <w:rsid w:val="00AE6982"/>
    <w:rsid w:val="00AE6A4C"/>
    <w:rsid w:val="00AE6F2D"/>
    <w:rsid w:val="00AE77AC"/>
    <w:rsid w:val="00AE78C6"/>
    <w:rsid w:val="00AE7ABC"/>
    <w:rsid w:val="00AE7B4C"/>
    <w:rsid w:val="00AF0354"/>
    <w:rsid w:val="00AF03E2"/>
    <w:rsid w:val="00AF0FC7"/>
    <w:rsid w:val="00AF14D0"/>
    <w:rsid w:val="00AF1C17"/>
    <w:rsid w:val="00AF1CAA"/>
    <w:rsid w:val="00AF1D36"/>
    <w:rsid w:val="00AF1E25"/>
    <w:rsid w:val="00AF26DE"/>
    <w:rsid w:val="00AF27ED"/>
    <w:rsid w:val="00AF2982"/>
    <w:rsid w:val="00AF2C79"/>
    <w:rsid w:val="00AF3B33"/>
    <w:rsid w:val="00AF4016"/>
    <w:rsid w:val="00AF40D4"/>
    <w:rsid w:val="00AF415F"/>
    <w:rsid w:val="00AF4CBC"/>
    <w:rsid w:val="00AF5C7D"/>
    <w:rsid w:val="00AF61B1"/>
    <w:rsid w:val="00AF7533"/>
    <w:rsid w:val="00AF7715"/>
    <w:rsid w:val="00B00614"/>
    <w:rsid w:val="00B0061C"/>
    <w:rsid w:val="00B00825"/>
    <w:rsid w:val="00B00C02"/>
    <w:rsid w:val="00B00C9D"/>
    <w:rsid w:val="00B00CEA"/>
    <w:rsid w:val="00B00DAE"/>
    <w:rsid w:val="00B00E05"/>
    <w:rsid w:val="00B01A4C"/>
    <w:rsid w:val="00B01BA8"/>
    <w:rsid w:val="00B01CF6"/>
    <w:rsid w:val="00B01E29"/>
    <w:rsid w:val="00B026C4"/>
    <w:rsid w:val="00B02C78"/>
    <w:rsid w:val="00B02E23"/>
    <w:rsid w:val="00B03341"/>
    <w:rsid w:val="00B037FC"/>
    <w:rsid w:val="00B03ACE"/>
    <w:rsid w:val="00B0432E"/>
    <w:rsid w:val="00B044DF"/>
    <w:rsid w:val="00B0470B"/>
    <w:rsid w:val="00B047EE"/>
    <w:rsid w:val="00B04B43"/>
    <w:rsid w:val="00B04FBD"/>
    <w:rsid w:val="00B0511E"/>
    <w:rsid w:val="00B05266"/>
    <w:rsid w:val="00B05398"/>
    <w:rsid w:val="00B056E4"/>
    <w:rsid w:val="00B06257"/>
    <w:rsid w:val="00B0700E"/>
    <w:rsid w:val="00B07A4F"/>
    <w:rsid w:val="00B07E06"/>
    <w:rsid w:val="00B10086"/>
    <w:rsid w:val="00B10200"/>
    <w:rsid w:val="00B102B7"/>
    <w:rsid w:val="00B107BB"/>
    <w:rsid w:val="00B10F00"/>
    <w:rsid w:val="00B11D49"/>
    <w:rsid w:val="00B12C8C"/>
    <w:rsid w:val="00B12DC8"/>
    <w:rsid w:val="00B1317B"/>
    <w:rsid w:val="00B1341B"/>
    <w:rsid w:val="00B135F4"/>
    <w:rsid w:val="00B139A0"/>
    <w:rsid w:val="00B13BD8"/>
    <w:rsid w:val="00B13FE2"/>
    <w:rsid w:val="00B14489"/>
    <w:rsid w:val="00B14B5A"/>
    <w:rsid w:val="00B154C0"/>
    <w:rsid w:val="00B15558"/>
    <w:rsid w:val="00B15904"/>
    <w:rsid w:val="00B15ACD"/>
    <w:rsid w:val="00B15FC1"/>
    <w:rsid w:val="00B168ED"/>
    <w:rsid w:val="00B16B3D"/>
    <w:rsid w:val="00B175EC"/>
    <w:rsid w:val="00B17B5F"/>
    <w:rsid w:val="00B17EEB"/>
    <w:rsid w:val="00B200EA"/>
    <w:rsid w:val="00B20313"/>
    <w:rsid w:val="00B2095C"/>
    <w:rsid w:val="00B20FD0"/>
    <w:rsid w:val="00B215EF"/>
    <w:rsid w:val="00B21807"/>
    <w:rsid w:val="00B21A33"/>
    <w:rsid w:val="00B21A5B"/>
    <w:rsid w:val="00B21C5A"/>
    <w:rsid w:val="00B21D7F"/>
    <w:rsid w:val="00B2202B"/>
    <w:rsid w:val="00B2257F"/>
    <w:rsid w:val="00B230D8"/>
    <w:rsid w:val="00B23466"/>
    <w:rsid w:val="00B23501"/>
    <w:rsid w:val="00B235D6"/>
    <w:rsid w:val="00B2383F"/>
    <w:rsid w:val="00B24A0C"/>
    <w:rsid w:val="00B24FCF"/>
    <w:rsid w:val="00B25460"/>
    <w:rsid w:val="00B2567F"/>
    <w:rsid w:val="00B25916"/>
    <w:rsid w:val="00B25A2F"/>
    <w:rsid w:val="00B26360"/>
    <w:rsid w:val="00B264D8"/>
    <w:rsid w:val="00B26CD2"/>
    <w:rsid w:val="00B26D76"/>
    <w:rsid w:val="00B26FA5"/>
    <w:rsid w:val="00B272C5"/>
    <w:rsid w:val="00B273EE"/>
    <w:rsid w:val="00B27867"/>
    <w:rsid w:val="00B27AA3"/>
    <w:rsid w:val="00B27C40"/>
    <w:rsid w:val="00B27E9F"/>
    <w:rsid w:val="00B30081"/>
    <w:rsid w:val="00B30158"/>
    <w:rsid w:val="00B305A4"/>
    <w:rsid w:val="00B30B04"/>
    <w:rsid w:val="00B30D43"/>
    <w:rsid w:val="00B30EC9"/>
    <w:rsid w:val="00B310A8"/>
    <w:rsid w:val="00B310EF"/>
    <w:rsid w:val="00B311A4"/>
    <w:rsid w:val="00B31588"/>
    <w:rsid w:val="00B31C85"/>
    <w:rsid w:val="00B31DCC"/>
    <w:rsid w:val="00B321C3"/>
    <w:rsid w:val="00B324E1"/>
    <w:rsid w:val="00B3293E"/>
    <w:rsid w:val="00B32C06"/>
    <w:rsid w:val="00B3353B"/>
    <w:rsid w:val="00B3366E"/>
    <w:rsid w:val="00B3377C"/>
    <w:rsid w:val="00B3385C"/>
    <w:rsid w:val="00B33C73"/>
    <w:rsid w:val="00B33CE6"/>
    <w:rsid w:val="00B33E7A"/>
    <w:rsid w:val="00B33EB5"/>
    <w:rsid w:val="00B345B7"/>
    <w:rsid w:val="00B34863"/>
    <w:rsid w:val="00B35476"/>
    <w:rsid w:val="00B356B5"/>
    <w:rsid w:val="00B36568"/>
    <w:rsid w:val="00B36841"/>
    <w:rsid w:val="00B36B3E"/>
    <w:rsid w:val="00B372DD"/>
    <w:rsid w:val="00B37480"/>
    <w:rsid w:val="00B3783E"/>
    <w:rsid w:val="00B3798E"/>
    <w:rsid w:val="00B37AB9"/>
    <w:rsid w:val="00B40053"/>
    <w:rsid w:val="00B40809"/>
    <w:rsid w:val="00B40B11"/>
    <w:rsid w:val="00B41150"/>
    <w:rsid w:val="00B4153C"/>
    <w:rsid w:val="00B41E22"/>
    <w:rsid w:val="00B41FD1"/>
    <w:rsid w:val="00B420C7"/>
    <w:rsid w:val="00B42153"/>
    <w:rsid w:val="00B42E3B"/>
    <w:rsid w:val="00B43217"/>
    <w:rsid w:val="00B43918"/>
    <w:rsid w:val="00B4395F"/>
    <w:rsid w:val="00B44050"/>
    <w:rsid w:val="00B442AE"/>
    <w:rsid w:val="00B442CC"/>
    <w:rsid w:val="00B44A22"/>
    <w:rsid w:val="00B44FDA"/>
    <w:rsid w:val="00B44FF4"/>
    <w:rsid w:val="00B45290"/>
    <w:rsid w:val="00B45C7C"/>
    <w:rsid w:val="00B45F8F"/>
    <w:rsid w:val="00B45FEB"/>
    <w:rsid w:val="00B46022"/>
    <w:rsid w:val="00B46348"/>
    <w:rsid w:val="00B46687"/>
    <w:rsid w:val="00B468B1"/>
    <w:rsid w:val="00B468DF"/>
    <w:rsid w:val="00B4692B"/>
    <w:rsid w:val="00B470DB"/>
    <w:rsid w:val="00B4758B"/>
    <w:rsid w:val="00B475AE"/>
    <w:rsid w:val="00B47759"/>
    <w:rsid w:val="00B47CA6"/>
    <w:rsid w:val="00B47E72"/>
    <w:rsid w:val="00B50917"/>
    <w:rsid w:val="00B50E72"/>
    <w:rsid w:val="00B513A2"/>
    <w:rsid w:val="00B5199A"/>
    <w:rsid w:val="00B51D88"/>
    <w:rsid w:val="00B51F2F"/>
    <w:rsid w:val="00B530A5"/>
    <w:rsid w:val="00B531D0"/>
    <w:rsid w:val="00B54145"/>
    <w:rsid w:val="00B54C00"/>
    <w:rsid w:val="00B54F71"/>
    <w:rsid w:val="00B54FEE"/>
    <w:rsid w:val="00B5563B"/>
    <w:rsid w:val="00B5591B"/>
    <w:rsid w:val="00B55FBA"/>
    <w:rsid w:val="00B56040"/>
    <w:rsid w:val="00B567DA"/>
    <w:rsid w:val="00B56F8E"/>
    <w:rsid w:val="00B5733D"/>
    <w:rsid w:val="00B57417"/>
    <w:rsid w:val="00B577BC"/>
    <w:rsid w:val="00B60F8B"/>
    <w:rsid w:val="00B61252"/>
    <w:rsid w:val="00B612A6"/>
    <w:rsid w:val="00B615A0"/>
    <w:rsid w:val="00B61740"/>
    <w:rsid w:val="00B6182C"/>
    <w:rsid w:val="00B61C9A"/>
    <w:rsid w:val="00B62463"/>
    <w:rsid w:val="00B645EF"/>
    <w:rsid w:val="00B64C7F"/>
    <w:rsid w:val="00B64CEB"/>
    <w:rsid w:val="00B668D8"/>
    <w:rsid w:val="00B67013"/>
    <w:rsid w:val="00B67795"/>
    <w:rsid w:val="00B67D1D"/>
    <w:rsid w:val="00B7038B"/>
    <w:rsid w:val="00B7041A"/>
    <w:rsid w:val="00B7065E"/>
    <w:rsid w:val="00B70DE9"/>
    <w:rsid w:val="00B71C10"/>
    <w:rsid w:val="00B72A35"/>
    <w:rsid w:val="00B72C2B"/>
    <w:rsid w:val="00B72CA0"/>
    <w:rsid w:val="00B73079"/>
    <w:rsid w:val="00B73191"/>
    <w:rsid w:val="00B736F6"/>
    <w:rsid w:val="00B73A80"/>
    <w:rsid w:val="00B73F93"/>
    <w:rsid w:val="00B73FEB"/>
    <w:rsid w:val="00B74BC3"/>
    <w:rsid w:val="00B75285"/>
    <w:rsid w:val="00B75C71"/>
    <w:rsid w:val="00B76826"/>
    <w:rsid w:val="00B7719F"/>
    <w:rsid w:val="00B778E4"/>
    <w:rsid w:val="00B804D1"/>
    <w:rsid w:val="00B8074E"/>
    <w:rsid w:val="00B807A5"/>
    <w:rsid w:val="00B81444"/>
    <w:rsid w:val="00B816E2"/>
    <w:rsid w:val="00B81768"/>
    <w:rsid w:val="00B81DFE"/>
    <w:rsid w:val="00B81F3D"/>
    <w:rsid w:val="00B81F92"/>
    <w:rsid w:val="00B8208F"/>
    <w:rsid w:val="00B82589"/>
    <w:rsid w:val="00B83692"/>
    <w:rsid w:val="00B83BD1"/>
    <w:rsid w:val="00B83C54"/>
    <w:rsid w:val="00B83CB9"/>
    <w:rsid w:val="00B84317"/>
    <w:rsid w:val="00B84664"/>
    <w:rsid w:val="00B846FF"/>
    <w:rsid w:val="00B848A6"/>
    <w:rsid w:val="00B84C01"/>
    <w:rsid w:val="00B84FDE"/>
    <w:rsid w:val="00B85331"/>
    <w:rsid w:val="00B85EE5"/>
    <w:rsid w:val="00B86BC8"/>
    <w:rsid w:val="00B87A33"/>
    <w:rsid w:val="00B87A4C"/>
    <w:rsid w:val="00B9064D"/>
    <w:rsid w:val="00B9067D"/>
    <w:rsid w:val="00B90780"/>
    <w:rsid w:val="00B908F0"/>
    <w:rsid w:val="00B90D76"/>
    <w:rsid w:val="00B90F8B"/>
    <w:rsid w:val="00B919CF"/>
    <w:rsid w:val="00B927B6"/>
    <w:rsid w:val="00B92C84"/>
    <w:rsid w:val="00B92DDC"/>
    <w:rsid w:val="00B92FD0"/>
    <w:rsid w:val="00B93115"/>
    <w:rsid w:val="00B932EB"/>
    <w:rsid w:val="00B93C81"/>
    <w:rsid w:val="00B94215"/>
    <w:rsid w:val="00B94BC2"/>
    <w:rsid w:val="00B94C2C"/>
    <w:rsid w:val="00B95105"/>
    <w:rsid w:val="00B951FA"/>
    <w:rsid w:val="00B958F6"/>
    <w:rsid w:val="00B968AD"/>
    <w:rsid w:val="00B969E4"/>
    <w:rsid w:val="00B96EA2"/>
    <w:rsid w:val="00B97006"/>
    <w:rsid w:val="00B97319"/>
    <w:rsid w:val="00B97789"/>
    <w:rsid w:val="00B97DC5"/>
    <w:rsid w:val="00BA04F4"/>
    <w:rsid w:val="00BA0CC7"/>
    <w:rsid w:val="00BA11B0"/>
    <w:rsid w:val="00BA128A"/>
    <w:rsid w:val="00BA147E"/>
    <w:rsid w:val="00BA14C9"/>
    <w:rsid w:val="00BA161F"/>
    <w:rsid w:val="00BA18C0"/>
    <w:rsid w:val="00BA1946"/>
    <w:rsid w:val="00BA2062"/>
    <w:rsid w:val="00BA2F73"/>
    <w:rsid w:val="00BA3126"/>
    <w:rsid w:val="00BA314D"/>
    <w:rsid w:val="00BA39C0"/>
    <w:rsid w:val="00BA3AD9"/>
    <w:rsid w:val="00BA3CE9"/>
    <w:rsid w:val="00BA40C3"/>
    <w:rsid w:val="00BA46A9"/>
    <w:rsid w:val="00BA4879"/>
    <w:rsid w:val="00BA4D62"/>
    <w:rsid w:val="00BA4D78"/>
    <w:rsid w:val="00BA4DE2"/>
    <w:rsid w:val="00BA5214"/>
    <w:rsid w:val="00BA5282"/>
    <w:rsid w:val="00BA5558"/>
    <w:rsid w:val="00BA5C78"/>
    <w:rsid w:val="00BA66A8"/>
    <w:rsid w:val="00BA687D"/>
    <w:rsid w:val="00BA71E1"/>
    <w:rsid w:val="00BA74FC"/>
    <w:rsid w:val="00BA760A"/>
    <w:rsid w:val="00BB03BB"/>
    <w:rsid w:val="00BB04F1"/>
    <w:rsid w:val="00BB05A0"/>
    <w:rsid w:val="00BB05F4"/>
    <w:rsid w:val="00BB08EE"/>
    <w:rsid w:val="00BB0EFF"/>
    <w:rsid w:val="00BB115B"/>
    <w:rsid w:val="00BB1783"/>
    <w:rsid w:val="00BB2000"/>
    <w:rsid w:val="00BB2101"/>
    <w:rsid w:val="00BB2155"/>
    <w:rsid w:val="00BB2A39"/>
    <w:rsid w:val="00BB3316"/>
    <w:rsid w:val="00BB36B4"/>
    <w:rsid w:val="00BB381E"/>
    <w:rsid w:val="00BB3FE3"/>
    <w:rsid w:val="00BB4174"/>
    <w:rsid w:val="00BB4BCC"/>
    <w:rsid w:val="00BB50C4"/>
    <w:rsid w:val="00BB5147"/>
    <w:rsid w:val="00BB533C"/>
    <w:rsid w:val="00BB6A8F"/>
    <w:rsid w:val="00BB7803"/>
    <w:rsid w:val="00BC0313"/>
    <w:rsid w:val="00BC031C"/>
    <w:rsid w:val="00BC033A"/>
    <w:rsid w:val="00BC03A1"/>
    <w:rsid w:val="00BC0521"/>
    <w:rsid w:val="00BC05BB"/>
    <w:rsid w:val="00BC0CC3"/>
    <w:rsid w:val="00BC1700"/>
    <w:rsid w:val="00BC20E0"/>
    <w:rsid w:val="00BC3F52"/>
    <w:rsid w:val="00BC403F"/>
    <w:rsid w:val="00BC428F"/>
    <w:rsid w:val="00BC4643"/>
    <w:rsid w:val="00BC4959"/>
    <w:rsid w:val="00BC5036"/>
    <w:rsid w:val="00BC50B3"/>
    <w:rsid w:val="00BC5440"/>
    <w:rsid w:val="00BC5600"/>
    <w:rsid w:val="00BC57BF"/>
    <w:rsid w:val="00BC5D1F"/>
    <w:rsid w:val="00BC6004"/>
    <w:rsid w:val="00BC6019"/>
    <w:rsid w:val="00BC6BA6"/>
    <w:rsid w:val="00BC73F2"/>
    <w:rsid w:val="00BC73F7"/>
    <w:rsid w:val="00BC75EE"/>
    <w:rsid w:val="00BC79F6"/>
    <w:rsid w:val="00BC7D81"/>
    <w:rsid w:val="00BD021D"/>
    <w:rsid w:val="00BD0500"/>
    <w:rsid w:val="00BD0B8C"/>
    <w:rsid w:val="00BD0BC1"/>
    <w:rsid w:val="00BD163C"/>
    <w:rsid w:val="00BD16F4"/>
    <w:rsid w:val="00BD1DE7"/>
    <w:rsid w:val="00BD1FFD"/>
    <w:rsid w:val="00BD2654"/>
    <w:rsid w:val="00BD2681"/>
    <w:rsid w:val="00BD35D8"/>
    <w:rsid w:val="00BD3992"/>
    <w:rsid w:val="00BD3C64"/>
    <w:rsid w:val="00BD3DC5"/>
    <w:rsid w:val="00BD4786"/>
    <w:rsid w:val="00BD4C5E"/>
    <w:rsid w:val="00BD4D9D"/>
    <w:rsid w:val="00BD5C64"/>
    <w:rsid w:val="00BD6446"/>
    <w:rsid w:val="00BD71C8"/>
    <w:rsid w:val="00BD787A"/>
    <w:rsid w:val="00BD78B9"/>
    <w:rsid w:val="00BD7935"/>
    <w:rsid w:val="00BD7F7A"/>
    <w:rsid w:val="00BE00B9"/>
    <w:rsid w:val="00BE03FD"/>
    <w:rsid w:val="00BE055D"/>
    <w:rsid w:val="00BE0A0C"/>
    <w:rsid w:val="00BE0C10"/>
    <w:rsid w:val="00BE16C1"/>
    <w:rsid w:val="00BE1FCE"/>
    <w:rsid w:val="00BE2340"/>
    <w:rsid w:val="00BE256C"/>
    <w:rsid w:val="00BE2693"/>
    <w:rsid w:val="00BE291B"/>
    <w:rsid w:val="00BE29D3"/>
    <w:rsid w:val="00BE2C28"/>
    <w:rsid w:val="00BE2F96"/>
    <w:rsid w:val="00BE35B9"/>
    <w:rsid w:val="00BE4036"/>
    <w:rsid w:val="00BE4E40"/>
    <w:rsid w:val="00BE5A7F"/>
    <w:rsid w:val="00BE6268"/>
    <w:rsid w:val="00BE6311"/>
    <w:rsid w:val="00BE6600"/>
    <w:rsid w:val="00BE6648"/>
    <w:rsid w:val="00BE6B77"/>
    <w:rsid w:val="00BE6DDB"/>
    <w:rsid w:val="00BE6FB5"/>
    <w:rsid w:val="00BE7847"/>
    <w:rsid w:val="00BF0111"/>
    <w:rsid w:val="00BF0114"/>
    <w:rsid w:val="00BF06E3"/>
    <w:rsid w:val="00BF0859"/>
    <w:rsid w:val="00BF0E20"/>
    <w:rsid w:val="00BF1725"/>
    <w:rsid w:val="00BF1773"/>
    <w:rsid w:val="00BF17E1"/>
    <w:rsid w:val="00BF22F7"/>
    <w:rsid w:val="00BF23D3"/>
    <w:rsid w:val="00BF2501"/>
    <w:rsid w:val="00BF2948"/>
    <w:rsid w:val="00BF391C"/>
    <w:rsid w:val="00BF453B"/>
    <w:rsid w:val="00BF46D1"/>
    <w:rsid w:val="00BF5725"/>
    <w:rsid w:val="00BF5946"/>
    <w:rsid w:val="00BF5D1F"/>
    <w:rsid w:val="00BF5ED8"/>
    <w:rsid w:val="00BF6349"/>
    <w:rsid w:val="00BF6531"/>
    <w:rsid w:val="00BF6546"/>
    <w:rsid w:val="00BF6D37"/>
    <w:rsid w:val="00BF72C5"/>
    <w:rsid w:val="00BF737B"/>
    <w:rsid w:val="00BF762A"/>
    <w:rsid w:val="00BF7F39"/>
    <w:rsid w:val="00C0021F"/>
    <w:rsid w:val="00C0026E"/>
    <w:rsid w:val="00C00657"/>
    <w:rsid w:val="00C01DBA"/>
    <w:rsid w:val="00C01FE4"/>
    <w:rsid w:val="00C020EA"/>
    <w:rsid w:val="00C024D8"/>
    <w:rsid w:val="00C02848"/>
    <w:rsid w:val="00C02ADA"/>
    <w:rsid w:val="00C02F34"/>
    <w:rsid w:val="00C035F3"/>
    <w:rsid w:val="00C040FD"/>
    <w:rsid w:val="00C04A79"/>
    <w:rsid w:val="00C04B7B"/>
    <w:rsid w:val="00C058DF"/>
    <w:rsid w:val="00C0614D"/>
    <w:rsid w:val="00C0618F"/>
    <w:rsid w:val="00C061FE"/>
    <w:rsid w:val="00C064AB"/>
    <w:rsid w:val="00C065D0"/>
    <w:rsid w:val="00C06671"/>
    <w:rsid w:val="00C06DFA"/>
    <w:rsid w:val="00C06FE6"/>
    <w:rsid w:val="00C074E3"/>
    <w:rsid w:val="00C0750F"/>
    <w:rsid w:val="00C07A94"/>
    <w:rsid w:val="00C07EC9"/>
    <w:rsid w:val="00C10444"/>
    <w:rsid w:val="00C10F59"/>
    <w:rsid w:val="00C11113"/>
    <w:rsid w:val="00C11333"/>
    <w:rsid w:val="00C11C51"/>
    <w:rsid w:val="00C122F0"/>
    <w:rsid w:val="00C1346D"/>
    <w:rsid w:val="00C13623"/>
    <w:rsid w:val="00C136BB"/>
    <w:rsid w:val="00C1542A"/>
    <w:rsid w:val="00C15A95"/>
    <w:rsid w:val="00C1622F"/>
    <w:rsid w:val="00C16569"/>
    <w:rsid w:val="00C1666E"/>
    <w:rsid w:val="00C167BD"/>
    <w:rsid w:val="00C16AF0"/>
    <w:rsid w:val="00C16B5A"/>
    <w:rsid w:val="00C16C73"/>
    <w:rsid w:val="00C16D13"/>
    <w:rsid w:val="00C16DF1"/>
    <w:rsid w:val="00C16F28"/>
    <w:rsid w:val="00C16F6D"/>
    <w:rsid w:val="00C176C1"/>
    <w:rsid w:val="00C178C3"/>
    <w:rsid w:val="00C1790B"/>
    <w:rsid w:val="00C17919"/>
    <w:rsid w:val="00C17BD8"/>
    <w:rsid w:val="00C20A14"/>
    <w:rsid w:val="00C20ABE"/>
    <w:rsid w:val="00C20D34"/>
    <w:rsid w:val="00C22624"/>
    <w:rsid w:val="00C22868"/>
    <w:rsid w:val="00C24125"/>
    <w:rsid w:val="00C246E0"/>
    <w:rsid w:val="00C24945"/>
    <w:rsid w:val="00C24F5B"/>
    <w:rsid w:val="00C255E2"/>
    <w:rsid w:val="00C25BA2"/>
    <w:rsid w:val="00C25E84"/>
    <w:rsid w:val="00C264FE"/>
    <w:rsid w:val="00C2738A"/>
    <w:rsid w:val="00C273DF"/>
    <w:rsid w:val="00C2759B"/>
    <w:rsid w:val="00C276B4"/>
    <w:rsid w:val="00C3011D"/>
    <w:rsid w:val="00C306B7"/>
    <w:rsid w:val="00C30813"/>
    <w:rsid w:val="00C30955"/>
    <w:rsid w:val="00C30DA7"/>
    <w:rsid w:val="00C30F81"/>
    <w:rsid w:val="00C31492"/>
    <w:rsid w:val="00C315E8"/>
    <w:rsid w:val="00C31779"/>
    <w:rsid w:val="00C32CBF"/>
    <w:rsid w:val="00C335C7"/>
    <w:rsid w:val="00C33626"/>
    <w:rsid w:val="00C34B04"/>
    <w:rsid w:val="00C34E1E"/>
    <w:rsid w:val="00C34ED1"/>
    <w:rsid w:val="00C35158"/>
    <w:rsid w:val="00C352F3"/>
    <w:rsid w:val="00C357F3"/>
    <w:rsid w:val="00C36132"/>
    <w:rsid w:val="00C3698D"/>
    <w:rsid w:val="00C36AC2"/>
    <w:rsid w:val="00C36DC4"/>
    <w:rsid w:val="00C400A1"/>
    <w:rsid w:val="00C40C9E"/>
    <w:rsid w:val="00C41BB1"/>
    <w:rsid w:val="00C41EC8"/>
    <w:rsid w:val="00C4233D"/>
    <w:rsid w:val="00C42B60"/>
    <w:rsid w:val="00C43080"/>
    <w:rsid w:val="00C43525"/>
    <w:rsid w:val="00C438B7"/>
    <w:rsid w:val="00C43EBB"/>
    <w:rsid w:val="00C43F8C"/>
    <w:rsid w:val="00C44B67"/>
    <w:rsid w:val="00C44EA5"/>
    <w:rsid w:val="00C44F23"/>
    <w:rsid w:val="00C45730"/>
    <w:rsid w:val="00C45DC2"/>
    <w:rsid w:val="00C4604D"/>
    <w:rsid w:val="00C46305"/>
    <w:rsid w:val="00C46363"/>
    <w:rsid w:val="00C4669C"/>
    <w:rsid w:val="00C4694C"/>
    <w:rsid w:val="00C46EC0"/>
    <w:rsid w:val="00C50D9B"/>
    <w:rsid w:val="00C5118C"/>
    <w:rsid w:val="00C512DF"/>
    <w:rsid w:val="00C51979"/>
    <w:rsid w:val="00C51A38"/>
    <w:rsid w:val="00C5225D"/>
    <w:rsid w:val="00C52412"/>
    <w:rsid w:val="00C527E6"/>
    <w:rsid w:val="00C52AF7"/>
    <w:rsid w:val="00C52F16"/>
    <w:rsid w:val="00C531F3"/>
    <w:rsid w:val="00C532E0"/>
    <w:rsid w:val="00C5330F"/>
    <w:rsid w:val="00C53515"/>
    <w:rsid w:val="00C53937"/>
    <w:rsid w:val="00C5413C"/>
    <w:rsid w:val="00C548F3"/>
    <w:rsid w:val="00C55661"/>
    <w:rsid w:val="00C55AA9"/>
    <w:rsid w:val="00C55D2B"/>
    <w:rsid w:val="00C561D3"/>
    <w:rsid w:val="00C5645D"/>
    <w:rsid w:val="00C5646C"/>
    <w:rsid w:val="00C56C0D"/>
    <w:rsid w:val="00C56CB9"/>
    <w:rsid w:val="00C57596"/>
    <w:rsid w:val="00C57A18"/>
    <w:rsid w:val="00C6003D"/>
    <w:rsid w:val="00C60155"/>
    <w:rsid w:val="00C60C85"/>
    <w:rsid w:val="00C60D6D"/>
    <w:rsid w:val="00C614B2"/>
    <w:rsid w:val="00C61B78"/>
    <w:rsid w:val="00C61BB2"/>
    <w:rsid w:val="00C61FFC"/>
    <w:rsid w:val="00C621A3"/>
    <w:rsid w:val="00C62530"/>
    <w:rsid w:val="00C625EC"/>
    <w:rsid w:val="00C627D4"/>
    <w:rsid w:val="00C6283B"/>
    <w:rsid w:val="00C62CB1"/>
    <w:rsid w:val="00C63214"/>
    <w:rsid w:val="00C63BAA"/>
    <w:rsid w:val="00C63BAB"/>
    <w:rsid w:val="00C6405E"/>
    <w:rsid w:val="00C64143"/>
    <w:rsid w:val="00C6450B"/>
    <w:rsid w:val="00C6465E"/>
    <w:rsid w:val="00C6486F"/>
    <w:rsid w:val="00C64A19"/>
    <w:rsid w:val="00C64E24"/>
    <w:rsid w:val="00C64E3F"/>
    <w:rsid w:val="00C65050"/>
    <w:rsid w:val="00C65231"/>
    <w:rsid w:val="00C655E1"/>
    <w:rsid w:val="00C66001"/>
    <w:rsid w:val="00C660EB"/>
    <w:rsid w:val="00C662FF"/>
    <w:rsid w:val="00C6660B"/>
    <w:rsid w:val="00C66889"/>
    <w:rsid w:val="00C66F7E"/>
    <w:rsid w:val="00C672B2"/>
    <w:rsid w:val="00C67751"/>
    <w:rsid w:val="00C678EA"/>
    <w:rsid w:val="00C70140"/>
    <w:rsid w:val="00C70D98"/>
    <w:rsid w:val="00C70DA7"/>
    <w:rsid w:val="00C710D3"/>
    <w:rsid w:val="00C72A66"/>
    <w:rsid w:val="00C72A9C"/>
    <w:rsid w:val="00C72C9B"/>
    <w:rsid w:val="00C72D23"/>
    <w:rsid w:val="00C7314E"/>
    <w:rsid w:val="00C7325E"/>
    <w:rsid w:val="00C734BB"/>
    <w:rsid w:val="00C735F8"/>
    <w:rsid w:val="00C73DF6"/>
    <w:rsid w:val="00C740E1"/>
    <w:rsid w:val="00C74292"/>
    <w:rsid w:val="00C7430E"/>
    <w:rsid w:val="00C743EF"/>
    <w:rsid w:val="00C7466F"/>
    <w:rsid w:val="00C746C5"/>
    <w:rsid w:val="00C747CC"/>
    <w:rsid w:val="00C74A69"/>
    <w:rsid w:val="00C751CB"/>
    <w:rsid w:val="00C7545F"/>
    <w:rsid w:val="00C75960"/>
    <w:rsid w:val="00C759F5"/>
    <w:rsid w:val="00C75C6E"/>
    <w:rsid w:val="00C75D87"/>
    <w:rsid w:val="00C7638A"/>
    <w:rsid w:val="00C767C6"/>
    <w:rsid w:val="00C76BA7"/>
    <w:rsid w:val="00C76CA2"/>
    <w:rsid w:val="00C76FDC"/>
    <w:rsid w:val="00C77A73"/>
    <w:rsid w:val="00C802DA"/>
    <w:rsid w:val="00C803A2"/>
    <w:rsid w:val="00C8054B"/>
    <w:rsid w:val="00C806AB"/>
    <w:rsid w:val="00C8070D"/>
    <w:rsid w:val="00C80ACE"/>
    <w:rsid w:val="00C80CB5"/>
    <w:rsid w:val="00C80EA5"/>
    <w:rsid w:val="00C81331"/>
    <w:rsid w:val="00C8158B"/>
    <w:rsid w:val="00C81A0F"/>
    <w:rsid w:val="00C81E2A"/>
    <w:rsid w:val="00C82489"/>
    <w:rsid w:val="00C83039"/>
    <w:rsid w:val="00C83315"/>
    <w:rsid w:val="00C8399C"/>
    <w:rsid w:val="00C839B7"/>
    <w:rsid w:val="00C83C02"/>
    <w:rsid w:val="00C83CB8"/>
    <w:rsid w:val="00C83D6F"/>
    <w:rsid w:val="00C83E36"/>
    <w:rsid w:val="00C83F17"/>
    <w:rsid w:val="00C841CB"/>
    <w:rsid w:val="00C84895"/>
    <w:rsid w:val="00C84EE6"/>
    <w:rsid w:val="00C85BAF"/>
    <w:rsid w:val="00C85ED5"/>
    <w:rsid w:val="00C86496"/>
    <w:rsid w:val="00C8670A"/>
    <w:rsid w:val="00C86752"/>
    <w:rsid w:val="00C86B03"/>
    <w:rsid w:val="00C86C34"/>
    <w:rsid w:val="00C86D35"/>
    <w:rsid w:val="00C86F9A"/>
    <w:rsid w:val="00C8776A"/>
    <w:rsid w:val="00C877EA"/>
    <w:rsid w:val="00C90231"/>
    <w:rsid w:val="00C90FBF"/>
    <w:rsid w:val="00C91207"/>
    <w:rsid w:val="00C9144E"/>
    <w:rsid w:val="00C9217E"/>
    <w:rsid w:val="00C9249C"/>
    <w:rsid w:val="00C929DD"/>
    <w:rsid w:val="00C92A0B"/>
    <w:rsid w:val="00C92BBA"/>
    <w:rsid w:val="00C92DFC"/>
    <w:rsid w:val="00C93999"/>
    <w:rsid w:val="00C93BB3"/>
    <w:rsid w:val="00C93C56"/>
    <w:rsid w:val="00C93E63"/>
    <w:rsid w:val="00C94289"/>
    <w:rsid w:val="00C94394"/>
    <w:rsid w:val="00C94444"/>
    <w:rsid w:val="00C94A25"/>
    <w:rsid w:val="00C94BF7"/>
    <w:rsid w:val="00C94F49"/>
    <w:rsid w:val="00C95214"/>
    <w:rsid w:val="00C952B8"/>
    <w:rsid w:val="00C9578D"/>
    <w:rsid w:val="00C95C35"/>
    <w:rsid w:val="00C96162"/>
    <w:rsid w:val="00C96612"/>
    <w:rsid w:val="00C96C20"/>
    <w:rsid w:val="00C96ED1"/>
    <w:rsid w:val="00C9724A"/>
    <w:rsid w:val="00C97A4A"/>
    <w:rsid w:val="00CA03CA"/>
    <w:rsid w:val="00CA0473"/>
    <w:rsid w:val="00CA04A8"/>
    <w:rsid w:val="00CA0AC7"/>
    <w:rsid w:val="00CA106F"/>
    <w:rsid w:val="00CA13AC"/>
    <w:rsid w:val="00CA21B3"/>
    <w:rsid w:val="00CA307F"/>
    <w:rsid w:val="00CA35E6"/>
    <w:rsid w:val="00CA36EE"/>
    <w:rsid w:val="00CA3C44"/>
    <w:rsid w:val="00CA427E"/>
    <w:rsid w:val="00CA49A4"/>
    <w:rsid w:val="00CA4E6B"/>
    <w:rsid w:val="00CA4EEF"/>
    <w:rsid w:val="00CA57AD"/>
    <w:rsid w:val="00CA5C85"/>
    <w:rsid w:val="00CA5CB0"/>
    <w:rsid w:val="00CA5E6A"/>
    <w:rsid w:val="00CA6167"/>
    <w:rsid w:val="00CA6189"/>
    <w:rsid w:val="00CA6807"/>
    <w:rsid w:val="00CA6B6B"/>
    <w:rsid w:val="00CA7231"/>
    <w:rsid w:val="00CA76DE"/>
    <w:rsid w:val="00CB00E5"/>
    <w:rsid w:val="00CB06DE"/>
    <w:rsid w:val="00CB0966"/>
    <w:rsid w:val="00CB097E"/>
    <w:rsid w:val="00CB1CB2"/>
    <w:rsid w:val="00CB2225"/>
    <w:rsid w:val="00CB2589"/>
    <w:rsid w:val="00CB2727"/>
    <w:rsid w:val="00CB283E"/>
    <w:rsid w:val="00CB2C40"/>
    <w:rsid w:val="00CB2ED4"/>
    <w:rsid w:val="00CB2FC9"/>
    <w:rsid w:val="00CB306B"/>
    <w:rsid w:val="00CB33D2"/>
    <w:rsid w:val="00CB383D"/>
    <w:rsid w:val="00CB3BD5"/>
    <w:rsid w:val="00CB41B1"/>
    <w:rsid w:val="00CB48ED"/>
    <w:rsid w:val="00CB51D7"/>
    <w:rsid w:val="00CB531F"/>
    <w:rsid w:val="00CB5398"/>
    <w:rsid w:val="00CB5729"/>
    <w:rsid w:val="00CB578F"/>
    <w:rsid w:val="00CB5C1D"/>
    <w:rsid w:val="00CB5F41"/>
    <w:rsid w:val="00CB6D38"/>
    <w:rsid w:val="00CB6F52"/>
    <w:rsid w:val="00CB701B"/>
    <w:rsid w:val="00CB7CAC"/>
    <w:rsid w:val="00CC0D3E"/>
    <w:rsid w:val="00CC0DBA"/>
    <w:rsid w:val="00CC15A2"/>
    <w:rsid w:val="00CC1A12"/>
    <w:rsid w:val="00CC1B5B"/>
    <w:rsid w:val="00CC1F39"/>
    <w:rsid w:val="00CC29D1"/>
    <w:rsid w:val="00CC2F08"/>
    <w:rsid w:val="00CC2FB6"/>
    <w:rsid w:val="00CC326C"/>
    <w:rsid w:val="00CC3352"/>
    <w:rsid w:val="00CC35E7"/>
    <w:rsid w:val="00CC3760"/>
    <w:rsid w:val="00CC3ED8"/>
    <w:rsid w:val="00CC459E"/>
    <w:rsid w:val="00CC5313"/>
    <w:rsid w:val="00CC582F"/>
    <w:rsid w:val="00CC5C5D"/>
    <w:rsid w:val="00CC5D01"/>
    <w:rsid w:val="00CC6308"/>
    <w:rsid w:val="00CC67CC"/>
    <w:rsid w:val="00CC69A8"/>
    <w:rsid w:val="00CC6C62"/>
    <w:rsid w:val="00CD04A8"/>
    <w:rsid w:val="00CD0927"/>
    <w:rsid w:val="00CD0A2B"/>
    <w:rsid w:val="00CD0D1F"/>
    <w:rsid w:val="00CD0D3E"/>
    <w:rsid w:val="00CD0D49"/>
    <w:rsid w:val="00CD0EA7"/>
    <w:rsid w:val="00CD0F5D"/>
    <w:rsid w:val="00CD14B4"/>
    <w:rsid w:val="00CD15A0"/>
    <w:rsid w:val="00CD15A1"/>
    <w:rsid w:val="00CD1EA8"/>
    <w:rsid w:val="00CD1EF9"/>
    <w:rsid w:val="00CD223C"/>
    <w:rsid w:val="00CD2983"/>
    <w:rsid w:val="00CD2D95"/>
    <w:rsid w:val="00CD2DAD"/>
    <w:rsid w:val="00CD2DBE"/>
    <w:rsid w:val="00CD2FAA"/>
    <w:rsid w:val="00CD355D"/>
    <w:rsid w:val="00CD390D"/>
    <w:rsid w:val="00CD3F61"/>
    <w:rsid w:val="00CD40F5"/>
    <w:rsid w:val="00CD417F"/>
    <w:rsid w:val="00CD4827"/>
    <w:rsid w:val="00CD4B39"/>
    <w:rsid w:val="00CD52FC"/>
    <w:rsid w:val="00CD547C"/>
    <w:rsid w:val="00CD55BF"/>
    <w:rsid w:val="00CD583B"/>
    <w:rsid w:val="00CD5DE1"/>
    <w:rsid w:val="00CD5E99"/>
    <w:rsid w:val="00CD68A6"/>
    <w:rsid w:val="00CD6A02"/>
    <w:rsid w:val="00CD6F2B"/>
    <w:rsid w:val="00CD709A"/>
    <w:rsid w:val="00CD70D8"/>
    <w:rsid w:val="00CD7454"/>
    <w:rsid w:val="00CD7E7A"/>
    <w:rsid w:val="00CE0214"/>
    <w:rsid w:val="00CE06AE"/>
    <w:rsid w:val="00CE0934"/>
    <w:rsid w:val="00CE0D55"/>
    <w:rsid w:val="00CE101A"/>
    <w:rsid w:val="00CE1172"/>
    <w:rsid w:val="00CE120C"/>
    <w:rsid w:val="00CE13F1"/>
    <w:rsid w:val="00CE141B"/>
    <w:rsid w:val="00CE142B"/>
    <w:rsid w:val="00CE151D"/>
    <w:rsid w:val="00CE1A07"/>
    <w:rsid w:val="00CE1F67"/>
    <w:rsid w:val="00CE21E7"/>
    <w:rsid w:val="00CE2EB8"/>
    <w:rsid w:val="00CE3129"/>
    <w:rsid w:val="00CE36E0"/>
    <w:rsid w:val="00CE393C"/>
    <w:rsid w:val="00CE3EA5"/>
    <w:rsid w:val="00CE40E2"/>
    <w:rsid w:val="00CE4101"/>
    <w:rsid w:val="00CE410D"/>
    <w:rsid w:val="00CE4A5A"/>
    <w:rsid w:val="00CE4CF4"/>
    <w:rsid w:val="00CE5395"/>
    <w:rsid w:val="00CE5AF5"/>
    <w:rsid w:val="00CE6C49"/>
    <w:rsid w:val="00CE780D"/>
    <w:rsid w:val="00CE7FA8"/>
    <w:rsid w:val="00CF0552"/>
    <w:rsid w:val="00CF05D3"/>
    <w:rsid w:val="00CF0684"/>
    <w:rsid w:val="00CF0B79"/>
    <w:rsid w:val="00CF0B7B"/>
    <w:rsid w:val="00CF0C90"/>
    <w:rsid w:val="00CF0D50"/>
    <w:rsid w:val="00CF0EF9"/>
    <w:rsid w:val="00CF1844"/>
    <w:rsid w:val="00CF2473"/>
    <w:rsid w:val="00CF2995"/>
    <w:rsid w:val="00CF2A8A"/>
    <w:rsid w:val="00CF2B28"/>
    <w:rsid w:val="00CF2D84"/>
    <w:rsid w:val="00CF3AA0"/>
    <w:rsid w:val="00CF3B79"/>
    <w:rsid w:val="00CF4294"/>
    <w:rsid w:val="00CF52BD"/>
    <w:rsid w:val="00CF5A3A"/>
    <w:rsid w:val="00CF5B23"/>
    <w:rsid w:val="00CF6572"/>
    <w:rsid w:val="00CF7ED5"/>
    <w:rsid w:val="00D00BA4"/>
    <w:rsid w:val="00D00EE6"/>
    <w:rsid w:val="00D010C3"/>
    <w:rsid w:val="00D01237"/>
    <w:rsid w:val="00D012EC"/>
    <w:rsid w:val="00D0212D"/>
    <w:rsid w:val="00D02CB5"/>
    <w:rsid w:val="00D02E12"/>
    <w:rsid w:val="00D032C8"/>
    <w:rsid w:val="00D038E3"/>
    <w:rsid w:val="00D03A71"/>
    <w:rsid w:val="00D03BFE"/>
    <w:rsid w:val="00D03C73"/>
    <w:rsid w:val="00D03D35"/>
    <w:rsid w:val="00D03F4B"/>
    <w:rsid w:val="00D04A2D"/>
    <w:rsid w:val="00D04C73"/>
    <w:rsid w:val="00D059DD"/>
    <w:rsid w:val="00D05B05"/>
    <w:rsid w:val="00D05C0F"/>
    <w:rsid w:val="00D0600A"/>
    <w:rsid w:val="00D0602F"/>
    <w:rsid w:val="00D068EE"/>
    <w:rsid w:val="00D0691C"/>
    <w:rsid w:val="00D069F8"/>
    <w:rsid w:val="00D1072C"/>
    <w:rsid w:val="00D10A28"/>
    <w:rsid w:val="00D10BD0"/>
    <w:rsid w:val="00D10F5A"/>
    <w:rsid w:val="00D114A8"/>
    <w:rsid w:val="00D11817"/>
    <w:rsid w:val="00D12146"/>
    <w:rsid w:val="00D1227B"/>
    <w:rsid w:val="00D12501"/>
    <w:rsid w:val="00D12834"/>
    <w:rsid w:val="00D12CF3"/>
    <w:rsid w:val="00D1388E"/>
    <w:rsid w:val="00D13EB5"/>
    <w:rsid w:val="00D13EEB"/>
    <w:rsid w:val="00D14243"/>
    <w:rsid w:val="00D143AE"/>
    <w:rsid w:val="00D149AA"/>
    <w:rsid w:val="00D14BD1"/>
    <w:rsid w:val="00D15B63"/>
    <w:rsid w:val="00D15D30"/>
    <w:rsid w:val="00D1702C"/>
    <w:rsid w:val="00D170F5"/>
    <w:rsid w:val="00D17230"/>
    <w:rsid w:val="00D17A83"/>
    <w:rsid w:val="00D17C85"/>
    <w:rsid w:val="00D17F51"/>
    <w:rsid w:val="00D20B12"/>
    <w:rsid w:val="00D20DFE"/>
    <w:rsid w:val="00D20FBE"/>
    <w:rsid w:val="00D21366"/>
    <w:rsid w:val="00D21B6A"/>
    <w:rsid w:val="00D222DF"/>
    <w:rsid w:val="00D232B4"/>
    <w:rsid w:val="00D237E8"/>
    <w:rsid w:val="00D23A7A"/>
    <w:rsid w:val="00D23C19"/>
    <w:rsid w:val="00D24031"/>
    <w:rsid w:val="00D244E8"/>
    <w:rsid w:val="00D245C3"/>
    <w:rsid w:val="00D24F28"/>
    <w:rsid w:val="00D254C2"/>
    <w:rsid w:val="00D25551"/>
    <w:rsid w:val="00D256C9"/>
    <w:rsid w:val="00D25C2A"/>
    <w:rsid w:val="00D25D13"/>
    <w:rsid w:val="00D26221"/>
    <w:rsid w:val="00D2630B"/>
    <w:rsid w:val="00D26476"/>
    <w:rsid w:val="00D26F8B"/>
    <w:rsid w:val="00D26FBC"/>
    <w:rsid w:val="00D27091"/>
    <w:rsid w:val="00D27107"/>
    <w:rsid w:val="00D27263"/>
    <w:rsid w:val="00D27A69"/>
    <w:rsid w:val="00D27DCA"/>
    <w:rsid w:val="00D27E13"/>
    <w:rsid w:val="00D30065"/>
    <w:rsid w:val="00D30932"/>
    <w:rsid w:val="00D30B76"/>
    <w:rsid w:val="00D31455"/>
    <w:rsid w:val="00D317E4"/>
    <w:rsid w:val="00D32D1D"/>
    <w:rsid w:val="00D3366F"/>
    <w:rsid w:val="00D33CDC"/>
    <w:rsid w:val="00D33DB9"/>
    <w:rsid w:val="00D342F6"/>
    <w:rsid w:val="00D34908"/>
    <w:rsid w:val="00D34E61"/>
    <w:rsid w:val="00D35D49"/>
    <w:rsid w:val="00D3663E"/>
    <w:rsid w:val="00D36D86"/>
    <w:rsid w:val="00D36FE2"/>
    <w:rsid w:val="00D3712C"/>
    <w:rsid w:val="00D371FD"/>
    <w:rsid w:val="00D37F2E"/>
    <w:rsid w:val="00D40413"/>
    <w:rsid w:val="00D40888"/>
    <w:rsid w:val="00D40AE9"/>
    <w:rsid w:val="00D40BE0"/>
    <w:rsid w:val="00D41061"/>
    <w:rsid w:val="00D41373"/>
    <w:rsid w:val="00D4149D"/>
    <w:rsid w:val="00D415C9"/>
    <w:rsid w:val="00D41A7F"/>
    <w:rsid w:val="00D41C59"/>
    <w:rsid w:val="00D41ECA"/>
    <w:rsid w:val="00D4315A"/>
    <w:rsid w:val="00D43375"/>
    <w:rsid w:val="00D433FE"/>
    <w:rsid w:val="00D44249"/>
    <w:rsid w:val="00D44259"/>
    <w:rsid w:val="00D444BA"/>
    <w:rsid w:val="00D44BC4"/>
    <w:rsid w:val="00D44CAC"/>
    <w:rsid w:val="00D44F76"/>
    <w:rsid w:val="00D458D3"/>
    <w:rsid w:val="00D45C24"/>
    <w:rsid w:val="00D4676C"/>
    <w:rsid w:val="00D4697A"/>
    <w:rsid w:val="00D47265"/>
    <w:rsid w:val="00D479D9"/>
    <w:rsid w:val="00D47BA1"/>
    <w:rsid w:val="00D47D1B"/>
    <w:rsid w:val="00D500A2"/>
    <w:rsid w:val="00D50F23"/>
    <w:rsid w:val="00D510BC"/>
    <w:rsid w:val="00D51134"/>
    <w:rsid w:val="00D514F6"/>
    <w:rsid w:val="00D5160E"/>
    <w:rsid w:val="00D51A22"/>
    <w:rsid w:val="00D5210E"/>
    <w:rsid w:val="00D52589"/>
    <w:rsid w:val="00D52B1E"/>
    <w:rsid w:val="00D531C2"/>
    <w:rsid w:val="00D53761"/>
    <w:rsid w:val="00D53CF1"/>
    <w:rsid w:val="00D543FA"/>
    <w:rsid w:val="00D54412"/>
    <w:rsid w:val="00D54962"/>
    <w:rsid w:val="00D553B2"/>
    <w:rsid w:val="00D55C69"/>
    <w:rsid w:val="00D55D0F"/>
    <w:rsid w:val="00D55D55"/>
    <w:rsid w:val="00D5652E"/>
    <w:rsid w:val="00D56D01"/>
    <w:rsid w:val="00D570D2"/>
    <w:rsid w:val="00D5724D"/>
    <w:rsid w:val="00D57338"/>
    <w:rsid w:val="00D573B9"/>
    <w:rsid w:val="00D576ED"/>
    <w:rsid w:val="00D57990"/>
    <w:rsid w:val="00D6012C"/>
    <w:rsid w:val="00D608D8"/>
    <w:rsid w:val="00D6173B"/>
    <w:rsid w:val="00D61BBF"/>
    <w:rsid w:val="00D62728"/>
    <w:rsid w:val="00D64247"/>
    <w:rsid w:val="00D64674"/>
    <w:rsid w:val="00D64735"/>
    <w:rsid w:val="00D64752"/>
    <w:rsid w:val="00D64801"/>
    <w:rsid w:val="00D6504E"/>
    <w:rsid w:val="00D655E2"/>
    <w:rsid w:val="00D65858"/>
    <w:rsid w:val="00D65CA8"/>
    <w:rsid w:val="00D662F6"/>
    <w:rsid w:val="00D66A68"/>
    <w:rsid w:val="00D66A8A"/>
    <w:rsid w:val="00D66E65"/>
    <w:rsid w:val="00D67506"/>
    <w:rsid w:val="00D677BE"/>
    <w:rsid w:val="00D677FE"/>
    <w:rsid w:val="00D67C9C"/>
    <w:rsid w:val="00D700EC"/>
    <w:rsid w:val="00D7035C"/>
    <w:rsid w:val="00D70DA8"/>
    <w:rsid w:val="00D710FF"/>
    <w:rsid w:val="00D720EE"/>
    <w:rsid w:val="00D72213"/>
    <w:rsid w:val="00D723A7"/>
    <w:rsid w:val="00D74360"/>
    <w:rsid w:val="00D744A1"/>
    <w:rsid w:val="00D74853"/>
    <w:rsid w:val="00D74C0C"/>
    <w:rsid w:val="00D74CE4"/>
    <w:rsid w:val="00D74E13"/>
    <w:rsid w:val="00D75387"/>
    <w:rsid w:val="00D754EF"/>
    <w:rsid w:val="00D75C52"/>
    <w:rsid w:val="00D7615F"/>
    <w:rsid w:val="00D7688D"/>
    <w:rsid w:val="00D7697A"/>
    <w:rsid w:val="00D76E35"/>
    <w:rsid w:val="00D76F18"/>
    <w:rsid w:val="00D77154"/>
    <w:rsid w:val="00D772CE"/>
    <w:rsid w:val="00D7731C"/>
    <w:rsid w:val="00D77972"/>
    <w:rsid w:val="00D7798E"/>
    <w:rsid w:val="00D77D22"/>
    <w:rsid w:val="00D804DF"/>
    <w:rsid w:val="00D81053"/>
    <w:rsid w:val="00D81C4D"/>
    <w:rsid w:val="00D81CD9"/>
    <w:rsid w:val="00D81EA4"/>
    <w:rsid w:val="00D82958"/>
    <w:rsid w:val="00D831C8"/>
    <w:rsid w:val="00D83303"/>
    <w:rsid w:val="00D8348E"/>
    <w:rsid w:val="00D836F9"/>
    <w:rsid w:val="00D83998"/>
    <w:rsid w:val="00D83CE5"/>
    <w:rsid w:val="00D83D6E"/>
    <w:rsid w:val="00D84067"/>
    <w:rsid w:val="00D841FC"/>
    <w:rsid w:val="00D84AC4"/>
    <w:rsid w:val="00D85057"/>
    <w:rsid w:val="00D85F1E"/>
    <w:rsid w:val="00D867C1"/>
    <w:rsid w:val="00D86D19"/>
    <w:rsid w:val="00D87229"/>
    <w:rsid w:val="00D87455"/>
    <w:rsid w:val="00D878A7"/>
    <w:rsid w:val="00D87A2C"/>
    <w:rsid w:val="00D90BCF"/>
    <w:rsid w:val="00D90BD5"/>
    <w:rsid w:val="00D9109B"/>
    <w:rsid w:val="00D91352"/>
    <w:rsid w:val="00D914E9"/>
    <w:rsid w:val="00D91C97"/>
    <w:rsid w:val="00D92361"/>
    <w:rsid w:val="00D92645"/>
    <w:rsid w:val="00D9270B"/>
    <w:rsid w:val="00D92FF4"/>
    <w:rsid w:val="00D93DA0"/>
    <w:rsid w:val="00D94336"/>
    <w:rsid w:val="00D94725"/>
    <w:rsid w:val="00D94ED8"/>
    <w:rsid w:val="00D955EE"/>
    <w:rsid w:val="00D95723"/>
    <w:rsid w:val="00D96260"/>
    <w:rsid w:val="00D969AB"/>
    <w:rsid w:val="00D96D45"/>
    <w:rsid w:val="00D97100"/>
    <w:rsid w:val="00D978AD"/>
    <w:rsid w:val="00DA009C"/>
    <w:rsid w:val="00DA0198"/>
    <w:rsid w:val="00DA03BF"/>
    <w:rsid w:val="00DA0B69"/>
    <w:rsid w:val="00DA0CC8"/>
    <w:rsid w:val="00DA0DC7"/>
    <w:rsid w:val="00DA1092"/>
    <w:rsid w:val="00DA10AD"/>
    <w:rsid w:val="00DA10F6"/>
    <w:rsid w:val="00DA16E0"/>
    <w:rsid w:val="00DA2235"/>
    <w:rsid w:val="00DA232B"/>
    <w:rsid w:val="00DA242A"/>
    <w:rsid w:val="00DA2645"/>
    <w:rsid w:val="00DA29F8"/>
    <w:rsid w:val="00DA3436"/>
    <w:rsid w:val="00DA3856"/>
    <w:rsid w:val="00DA3FBC"/>
    <w:rsid w:val="00DA41E2"/>
    <w:rsid w:val="00DA48A8"/>
    <w:rsid w:val="00DA49CF"/>
    <w:rsid w:val="00DA4DD4"/>
    <w:rsid w:val="00DA4E9C"/>
    <w:rsid w:val="00DA4EBE"/>
    <w:rsid w:val="00DA4F6F"/>
    <w:rsid w:val="00DA541D"/>
    <w:rsid w:val="00DA54DD"/>
    <w:rsid w:val="00DA5AD2"/>
    <w:rsid w:val="00DA5AF7"/>
    <w:rsid w:val="00DA5B89"/>
    <w:rsid w:val="00DA5C8B"/>
    <w:rsid w:val="00DA5D15"/>
    <w:rsid w:val="00DA5D7C"/>
    <w:rsid w:val="00DA5FC7"/>
    <w:rsid w:val="00DA5FF1"/>
    <w:rsid w:val="00DA6532"/>
    <w:rsid w:val="00DA6565"/>
    <w:rsid w:val="00DA70DE"/>
    <w:rsid w:val="00DA7507"/>
    <w:rsid w:val="00DA7B06"/>
    <w:rsid w:val="00DA7B8A"/>
    <w:rsid w:val="00DA7CD4"/>
    <w:rsid w:val="00DB00DF"/>
    <w:rsid w:val="00DB0366"/>
    <w:rsid w:val="00DB05EE"/>
    <w:rsid w:val="00DB0821"/>
    <w:rsid w:val="00DB08CC"/>
    <w:rsid w:val="00DB0907"/>
    <w:rsid w:val="00DB0C8B"/>
    <w:rsid w:val="00DB0DB0"/>
    <w:rsid w:val="00DB0DF9"/>
    <w:rsid w:val="00DB0E17"/>
    <w:rsid w:val="00DB1426"/>
    <w:rsid w:val="00DB17A2"/>
    <w:rsid w:val="00DB1B89"/>
    <w:rsid w:val="00DB1DDA"/>
    <w:rsid w:val="00DB23FE"/>
    <w:rsid w:val="00DB289C"/>
    <w:rsid w:val="00DB2B76"/>
    <w:rsid w:val="00DB31BF"/>
    <w:rsid w:val="00DB3490"/>
    <w:rsid w:val="00DB3973"/>
    <w:rsid w:val="00DB3CA1"/>
    <w:rsid w:val="00DB46D1"/>
    <w:rsid w:val="00DB4824"/>
    <w:rsid w:val="00DB54C2"/>
    <w:rsid w:val="00DB59E7"/>
    <w:rsid w:val="00DB5B33"/>
    <w:rsid w:val="00DB6B35"/>
    <w:rsid w:val="00DB6FEB"/>
    <w:rsid w:val="00DB7107"/>
    <w:rsid w:val="00DB7BB9"/>
    <w:rsid w:val="00DB7C9D"/>
    <w:rsid w:val="00DB7F3D"/>
    <w:rsid w:val="00DC071E"/>
    <w:rsid w:val="00DC0CA6"/>
    <w:rsid w:val="00DC1379"/>
    <w:rsid w:val="00DC1448"/>
    <w:rsid w:val="00DC1719"/>
    <w:rsid w:val="00DC1882"/>
    <w:rsid w:val="00DC1946"/>
    <w:rsid w:val="00DC2011"/>
    <w:rsid w:val="00DC2184"/>
    <w:rsid w:val="00DC2392"/>
    <w:rsid w:val="00DC2897"/>
    <w:rsid w:val="00DC2A62"/>
    <w:rsid w:val="00DC352E"/>
    <w:rsid w:val="00DC3B55"/>
    <w:rsid w:val="00DC3EB5"/>
    <w:rsid w:val="00DC444D"/>
    <w:rsid w:val="00DC4785"/>
    <w:rsid w:val="00DC53CA"/>
    <w:rsid w:val="00DC604F"/>
    <w:rsid w:val="00DC6E3E"/>
    <w:rsid w:val="00DC71BC"/>
    <w:rsid w:val="00DC798D"/>
    <w:rsid w:val="00DC7D63"/>
    <w:rsid w:val="00DC7E5C"/>
    <w:rsid w:val="00DD010A"/>
    <w:rsid w:val="00DD02FE"/>
    <w:rsid w:val="00DD049B"/>
    <w:rsid w:val="00DD0DC7"/>
    <w:rsid w:val="00DD0E8F"/>
    <w:rsid w:val="00DD143C"/>
    <w:rsid w:val="00DD19AF"/>
    <w:rsid w:val="00DD19C0"/>
    <w:rsid w:val="00DD1C56"/>
    <w:rsid w:val="00DD27DA"/>
    <w:rsid w:val="00DD297D"/>
    <w:rsid w:val="00DD3289"/>
    <w:rsid w:val="00DD4C52"/>
    <w:rsid w:val="00DD50A4"/>
    <w:rsid w:val="00DD58EA"/>
    <w:rsid w:val="00DD5F29"/>
    <w:rsid w:val="00DD646E"/>
    <w:rsid w:val="00DD6935"/>
    <w:rsid w:val="00DD7223"/>
    <w:rsid w:val="00DD742C"/>
    <w:rsid w:val="00DD7901"/>
    <w:rsid w:val="00DD7943"/>
    <w:rsid w:val="00DD7AB6"/>
    <w:rsid w:val="00DD7B2A"/>
    <w:rsid w:val="00DD7E79"/>
    <w:rsid w:val="00DE03C3"/>
    <w:rsid w:val="00DE0658"/>
    <w:rsid w:val="00DE1892"/>
    <w:rsid w:val="00DE1909"/>
    <w:rsid w:val="00DE21C9"/>
    <w:rsid w:val="00DE241E"/>
    <w:rsid w:val="00DE2753"/>
    <w:rsid w:val="00DE2B6B"/>
    <w:rsid w:val="00DE3028"/>
    <w:rsid w:val="00DE315A"/>
    <w:rsid w:val="00DE3373"/>
    <w:rsid w:val="00DE3713"/>
    <w:rsid w:val="00DE38F6"/>
    <w:rsid w:val="00DE4A9F"/>
    <w:rsid w:val="00DE4D25"/>
    <w:rsid w:val="00DE53FA"/>
    <w:rsid w:val="00DE542A"/>
    <w:rsid w:val="00DE5455"/>
    <w:rsid w:val="00DE5955"/>
    <w:rsid w:val="00DE5B3A"/>
    <w:rsid w:val="00DE689F"/>
    <w:rsid w:val="00DE695E"/>
    <w:rsid w:val="00DE7166"/>
    <w:rsid w:val="00DE7FA1"/>
    <w:rsid w:val="00DF01DC"/>
    <w:rsid w:val="00DF022D"/>
    <w:rsid w:val="00DF032D"/>
    <w:rsid w:val="00DF05BF"/>
    <w:rsid w:val="00DF11B3"/>
    <w:rsid w:val="00DF150F"/>
    <w:rsid w:val="00DF2709"/>
    <w:rsid w:val="00DF271B"/>
    <w:rsid w:val="00DF38B6"/>
    <w:rsid w:val="00DF38BD"/>
    <w:rsid w:val="00DF3A75"/>
    <w:rsid w:val="00DF3D56"/>
    <w:rsid w:val="00DF3ED2"/>
    <w:rsid w:val="00DF42A2"/>
    <w:rsid w:val="00DF4405"/>
    <w:rsid w:val="00DF4542"/>
    <w:rsid w:val="00DF4C0E"/>
    <w:rsid w:val="00DF4DC1"/>
    <w:rsid w:val="00DF592E"/>
    <w:rsid w:val="00DF5B77"/>
    <w:rsid w:val="00DF5D35"/>
    <w:rsid w:val="00DF5D84"/>
    <w:rsid w:val="00DF5E44"/>
    <w:rsid w:val="00DF5F97"/>
    <w:rsid w:val="00DF6661"/>
    <w:rsid w:val="00DF69EF"/>
    <w:rsid w:val="00DF6B51"/>
    <w:rsid w:val="00DF7399"/>
    <w:rsid w:val="00DF7772"/>
    <w:rsid w:val="00DF7D36"/>
    <w:rsid w:val="00E000B0"/>
    <w:rsid w:val="00E001B4"/>
    <w:rsid w:val="00E011CD"/>
    <w:rsid w:val="00E01F92"/>
    <w:rsid w:val="00E0246A"/>
    <w:rsid w:val="00E02C38"/>
    <w:rsid w:val="00E02CC1"/>
    <w:rsid w:val="00E02D4F"/>
    <w:rsid w:val="00E03071"/>
    <w:rsid w:val="00E03217"/>
    <w:rsid w:val="00E03487"/>
    <w:rsid w:val="00E03663"/>
    <w:rsid w:val="00E0485E"/>
    <w:rsid w:val="00E057A4"/>
    <w:rsid w:val="00E057AB"/>
    <w:rsid w:val="00E0630A"/>
    <w:rsid w:val="00E068D2"/>
    <w:rsid w:val="00E075C5"/>
    <w:rsid w:val="00E077C8"/>
    <w:rsid w:val="00E0784A"/>
    <w:rsid w:val="00E07B5D"/>
    <w:rsid w:val="00E104E8"/>
    <w:rsid w:val="00E105EA"/>
    <w:rsid w:val="00E11029"/>
    <w:rsid w:val="00E11166"/>
    <w:rsid w:val="00E11373"/>
    <w:rsid w:val="00E115C8"/>
    <w:rsid w:val="00E1185C"/>
    <w:rsid w:val="00E118A3"/>
    <w:rsid w:val="00E118FD"/>
    <w:rsid w:val="00E11A76"/>
    <w:rsid w:val="00E12D42"/>
    <w:rsid w:val="00E12E0A"/>
    <w:rsid w:val="00E131C4"/>
    <w:rsid w:val="00E139A3"/>
    <w:rsid w:val="00E1499C"/>
    <w:rsid w:val="00E151CC"/>
    <w:rsid w:val="00E156EA"/>
    <w:rsid w:val="00E15AD6"/>
    <w:rsid w:val="00E15DE9"/>
    <w:rsid w:val="00E168FE"/>
    <w:rsid w:val="00E17092"/>
    <w:rsid w:val="00E174A6"/>
    <w:rsid w:val="00E174AF"/>
    <w:rsid w:val="00E1789C"/>
    <w:rsid w:val="00E178A5"/>
    <w:rsid w:val="00E17964"/>
    <w:rsid w:val="00E20139"/>
    <w:rsid w:val="00E201AC"/>
    <w:rsid w:val="00E2054C"/>
    <w:rsid w:val="00E20C0B"/>
    <w:rsid w:val="00E2118D"/>
    <w:rsid w:val="00E21617"/>
    <w:rsid w:val="00E21EEE"/>
    <w:rsid w:val="00E223EF"/>
    <w:rsid w:val="00E224E9"/>
    <w:rsid w:val="00E228E4"/>
    <w:rsid w:val="00E22EDB"/>
    <w:rsid w:val="00E23001"/>
    <w:rsid w:val="00E2341C"/>
    <w:rsid w:val="00E2377F"/>
    <w:rsid w:val="00E24276"/>
    <w:rsid w:val="00E24C6B"/>
    <w:rsid w:val="00E25434"/>
    <w:rsid w:val="00E25720"/>
    <w:rsid w:val="00E25BF1"/>
    <w:rsid w:val="00E25DED"/>
    <w:rsid w:val="00E26006"/>
    <w:rsid w:val="00E26457"/>
    <w:rsid w:val="00E265BE"/>
    <w:rsid w:val="00E27608"/>
    <w:rsid w:val="00E27886"/>
    <w:rsid w:val="00E2795D"/>
    <w:rsid w:val="00E27BF1"/>
    <w:rsid w:val="00E27F25"/>
    <w:rsid w:val="00E30452"/>
    <w:rsid w:val="00E30B12"/>
    <w:rsid w:val="00E30CC0"/>
    <w:rsid w:val="00E316E6"/>
    <w:rsid w:val="00E32BDA"/>
    <w:rsid w:val="00E32EF3"/>
    <w:rsid w:val="00E338B4"/>
    <w:rsid w:val="00E34CE3"/>
    <w:rsid w:val="00E34E0E"/>
    <w:rsid w:val="00E356DF"/>
    <w:rsid w:val="00E35D63"/>
    <w:rsid w:val="00E35DA6"/>
    <w:rsid w:val="00E35DBD"/>
    <w:rsid w:val="00E3660F"/>
    <w:rsid w:val="00E368E6"/>
    <w:rsid w:val="00E36937"/>
    <w:rsid w:val="00E369ED"/>
    <w:rsid w:val="00E36B77"/>
    <w:rsid w:val="00E36C9E"/>
    <w:rsid w:val="00E37302"/>
    <w:rsid w:val="00E375CF"/>
    <w:rsid w:val="00E379E3"/>
    <w:rsid w:val="00E400B8"/>
    <w:rsid w:val="00E400BC"/>
    <w:rsid w:val="00E410F9"/>
    <w:rsid w:val="00E41E93"/>
    <w:rsid w:val="00E423CC"/>
    <w:rsid w:val="00E43174"/>
    <w:rsid w:val="00E4336C"/>
    <w:rsid w:val="00E44606"/>
    <w:rsid w:val="00E44613"/>
    <w:rsid w:val="00E44B1F"/>
    <w:rsid w:val="00E44E7A"/>
    <w:rsid w:val="00E454EA"/>
    <w:rsid w:val="00E4553C"/>
    <w:rsid w:val="00E45869"/>
    <w:rsid w:val="00E46447"/>
    <w:rsid w:val="00E4656B"/>
    <w:rsid w:val="00E46C3C"/>
    <w:rsid w:val="00E46EDC"/>
    <w:rsid w:val="00E47847"/>
    <w:rsid w:val="00E47B7B"/>
    <w:rsid w:val="00E504B3"/>
    <w:rsid w:val="00E507C6"/>
    <w:rsid w:val="00E50F9F"/>
    <w:rsid w:val="00E513CD"/>
    <w:rsid w:val="00E51AB9"/>
    <w:rsid w:val="00E51C7C"/>
    <w:rsid w:val="00E51D2E"/>
    <w:rsid w:val="00E527D5"/>
    <w:rsid w:val="00E528F8"/>
    <w:rsid w:val="00E52E4F"/>
    <w:rsid w:val="00E537AF"/>
    <w:rsid w:val="00E53D84"/>
    <w:rsid w:val="00E55179"/>
    <w:rsid w:val="00E553C5"/>
    <w:rsid w:val="00E5572D"/>
    <w:rsid w:val="00E5578F"/>
    <w:rsid w:val="00E55865"/>
    <w:rsid w:val="00E55A7C"/>
    <w:rsid w:val="00E55BA3"/>
    <w:rsid w:val="00E55DCC"/>
    <w:rsid w:val="00E564AC"/>
    <w:rsid w:val="00E568D9"/>
    <w:rsid w:val="00E56B65"/>
    <w:rsid w:val="00E5733E"/>
    <w:rsid w:val="00E57513"/>
    <w:rsid w:val="00E575BF"/>
    <w:rsid w:val="00E57FAB"/>
    <w:rsid w:val="00E605C0"/>
    <w:rsid w:val="00E60F92"/>
    <w:rsid w:val="00E60FC6"/>
    <w:rsid w:val="00E610D6"/>
    <w:rsid w:val="00E616F0"/>
    <w:rsid w:val="00E62EC9"/>
    <w:rsid w:val="00E63398"/>
    <w:rsid w:val="00E64A74"/>
    <w:rsid w:val="00E64EF5"/>
    <w:rsid w:val="00E65D81"/>
    <w:rsid w:val="00E65E3B"/>
    <w:rsid w:val="00E671B0"/>
    <w:rsid w:val="00E67757"/>
    <w:rsid w:val="00E67990"/>
    <w:rsid w:val="00E67ABC"/>
    <w:rsid w:val="00E70213"/>
    <w:rsid w:val="00E70293"/>
    <w:rsid w:val="00E704D4"/>
    <w:rsid w:val="00E70E51"/>
    <w:rsid w:val="00E7150C"/>
    <w:rsid w:val="00E71742"/>
    <w:rsid w:val="00E71956"/>
    <w:rsid w:val="00E721FD"/>
    <w:rsid w:val="00E72551"/>
    <w:rsid w:val="00E73237"/>
    <w:rsid w:val="00E7347D"/>
    <w:rsid w:val="00E734A3"/>
    <w:rsid w:val="00E74948"/>
    <w:rsid w:val="00E749E1"/>
    <w:rsid w:val="00E74A2D"/>
    <w:rsid w:val="00E74F85"/>
    <w:rsid w:val="00E7565C"/>
    <w:rsid w:val="00E757C2"/>
    <w:rsid w:val="00E75A9A"/>
    <w:rsid w:val="00E75E33"/>
    <w:rsid w:val="00E75E5E"/>
    <w:rsid w:val="00E761FF"/>
    <w:rsid w:val="00E76396"/>
    <w:rsid w:val="00E76862"/>
    <w:rsid w:val="00E76DC5"/>
    <w:rsid w:val="00E77B81"/>
    <w:rsid w:val="00E77C29"/>
    <w:rsid w:val="00E77FAA"/>
    <w:rsid w:val="00E803A3"/>
    <w:rsid w:val="00E804E5"/>
    <w:rsid w:val="00E8078C"/>
    <w:rsid w:val="00E80C27"/>
    <w:rsid w:val="00E80CB3"/>
    <w:rsid w:val="00E80D1E"/>
    <w:rsid w:val="00E8101D"/>
    <w:rsid w:val="00E81839"/>
    <w:rsid w:val="00E81952"/>
    <w:rsid w:val="00E82370"/>
    <w:rsid w:val="00E823CB"/>
    <w:rsid w:val="00E8264F"/>
    <w:rsid w:val="00E82B3F"/>
    <w:rsid w:val="00E832CB"/>
    <w:rsid w:val="00E835F7"/>
    <w:rsid w:val="00E83D97"/>
    <w:rsid w:val="00E83F44"/>
    <w:rsid w:val="00E84008"/>
    <w:rsid w:val="00E843B5"/>
    <w:rsid w:val="00E84D59"/>
    <w:rsid w:val="00E84D5F"/>
    <w:rsid w:val="00E8510C"/>
    <w:rsid w:val="00E852AB"/>
    <w:rsid w:val="00E85823"/>
    <w:rsid w:val="00E85A86"/>
    <w:rsid w:val="00E85F32"/>
    <w:rsid w:val="00E86FE6"/>
    <w:rsid w:val="00E877CF"/>
    <w:rsid w:val="00E87AE7"/>
    <w:rsid w:val="00E87B64"/>
    <w:rsid w:val="00E9054A"/>
    <w:rsid w:val="00E90F74"/>
    <w:rsid w:val="00E913FB"/>
    <w:rsid w:val="00E9191B"/>
    <w:rsid w:val="00E91CB9"/>
    <w:rsid w:val="00E91E13"/>
    <w:rsid w:val="00E92527"/>
    <w:rsid w:val="00E92C6A"/>
    <w:rsid w:val="00E92CC5"/>
    <w:rsid w:val="00E9326B"/>
    <w:rsid w:val="00E93DB2"/>
    <w:rsid w:val="00E94022"/>
    <w:rsid w:val="00E95F89"/>
    <w:rsid w:val="00E95F97"/>
    <w:rsid w:val="00E971A2"/>
    <w:rsid w:val="00E976E4"/>
    <w:rsid w:val="00E97760"/>
    <w:rsid w:val="00EA092B"/>
    <w:rsid w:val="00EA0EAB"/>
    <w:rsid w:val="00EA1642"/>
    <w:rsid w:val="00EA1CAF"/>
    <w:rsid w:val="00EA1CD4"/>
    <w:rsid w:val="00EA2052"/>
    <w:rsid w:val="00EA21E2"/>
    <w:rsid w:val="00EA234A"/>
    <w:rsid w:val="00EA2410"/>
    <w:rsid w:val="00EA2414"/>
    <w:rsid w:val="00EA2860"/>
    <w:rsid w:val="00EA2B0C"/>
    <w:rsid w:val="00EA376D"/>
    <w:rsid w:val="00EA46BF"/>
    <w:rsid w:val="00EA4723"/>
    <w:rsid w:val="00EA4A9E"/>
    <w:rsid w:val="00EA568E"/>
    <w:rsid w:val="00EA5EA3"/>
    <w:rsid w:val="00EA6403"/>
    <w:rsid w:val="00EA65F6"/>
    <w:rsid w:val="00EA6DE5"/>
    <w:rsid w:val="00EA6E1B"/>
    <w:rsid w:val="00EA70E5"/>
    <w:rsid w:val="00EA7569"/>
    <w:rsid w:val="00EB0049"/>
    <w:rsid w:val="00EB0485"/>
    <w:rsid w:val="00EB0877"/>
    <w:rsid w:val="00EB0BF1"/>
    <w:rsid w:val="00EB0F4E"/>
    <w:rsid w:val="00EB0F64"/>
    <w:rsid w:val="00EB112D"/>
    <w:rsid w:val="00EB1312"/>
    <w:rsid w:val="00EB1DE3"/>
    <w:rsid w:val="00EB1F83"/>
    <w:rsid w:val="00EB2C67"/>
    <w:rsid w:val="00EB34A5"/>
    <w:rsid w:val="00EB3A28"/>
    <w:rsid w:val="00EB3CC1"/>
    <w:rsid w:val="00EB4105"/>
    <w:rsid w:val="00EB4A71"/>
    <w:rsid w:val="00EB51E2"/>
    <w:rsid w:val="00EB53D7"/>
    <w:rsid w:val="00EB5810"/>
    <w:rsid w:val="00EB58AF"/>
    <w:rsid w:val="00EB5A01"/>
    <w:rsid w:val="00EB5BD8"/>
    <w:rsid w:val="00EB6350"/>
    <w:rsid w:val="00EB6A84"/>
    <w:rsid w:val="00EB6CFA"/>
    <w:rsid w:val="00EB6D7A"/>
    <w:rsid w:val="00EB7086"/>
    <w:rsid w:val="00EB72B8"/>
    <w:rsid w:val="00EC0CB2"/>
    <w:rsid w:val="00EC103B"/>
    <w:rsid w:val="00EC1513"/>
    <w:rsid w:val="00EC1608"/>
    <w:rsid w:val="00EC1C27"/>
    <w:rsid w:val="00EC284A"/>
    <w:rsid w:val="00EC29A4"/>
    <w:rsid w:val="00EC2B8D"/>
    <w:rsid w:val="00EC357D"/>
    <w:rsid w:val="00EC37F3"/>
    <w:rsid w:val="00EC4353"/>
    <w:rsid w:val="00EC4568"/>
    <w:rsid w:val="00EC4955"/>
    <w:rsid w:val="00EC4B3E"/>
    <w:rsid w:val="00EC4BCD"/>
    <w:rsid w:val="00EC5565"/>
    <w:rsid w:val="00EC56AD"/>
    <w:rsid w:val="00EC59C4"/>
    <w:rsid w:val="00EC5A6C"/>
    <w:rsid w:val="00EC5B19"/>
    <w:rsid w:val="00EC5F1D"/>
    <w:rsid w:val="00EC669E"/>
    <w:rsid w:val="00EC6FBB"/>
    <w:rsid w:val="00EC77EB"/>
    <w:rsid w:val="00EC7C75"/>
    <w:rsid w:val="00ED02FA"/>
    <w:rsid w:val="00ED04BD"/>
    <w:rsid w:val="00ED0585"/>
    <w:rsid w:val="00ED085E"/>
    <w:rsid w:val="00ED1398"/>
    <w:rsid w:val="00ED13F2"/>
    <w:rsid w:val="00ED140F"/>
    <w:rsid w:val="00ED15E3"/>
    <w:rsid w:val="00ED1A63"/>
    <w:rsid w:val="00ED1B45"/>
    <w:rsid w:val="00ED1C0F"/>
    <w:rsid w:val="00ED21C2"/>
    <w:rsid w:val="00ED25FA"/>
    <w:rsid w:val="00ED2D7C"/>
    <w:rsid w:val="00ED2EAA"/>
    <w:rsid w:val="00ED2EF0"/>
    <w:rsid w:val="00ED31A3"/>
    <w:rsid w:val="00ED3CE6"/>
    <w:rsid w:val="00ED3FD4"/>
    <w:rsid w:val="00ED41FC"/>
    <w:rsid w:val="00ED4257"/>
    <w:rsid w:val="00ED4356"/>
    <w:rsid w:val="00ED441B"/>
    <w:rsid w:val="00ED441D"/>
    <w:rsid w:val="00ED48C9"/>
    <w:rsid w:val="00ED5514"/>
    <w:rsid w:val="00ED5C87"/>
    <w:rsid w:val="00ED6451"/>
    <w:rsid w:val="00ED6835"/>
    <w:rsid w:val="00ED6A0B"/>
    <w:rsid w:val="00ED78E5"/>
    <w:rsid w:val="00ED793D"/>
    <w:rsid w:val="00ED79F3"/>
    <w:rsid w:val="00EE01CA"/>
    <w:rsid w:val="00EE025E"/>
    <w:rsid w:val="00EE0324"/>
    <w:rsid w:val="00EE0C4D"/>
    <w:rsid w:val="00EE0CD3"/>
    <w:rsid w:val="00EE0D8C"/>
    <w:rsid w:val="00EE0F0C"/>
    <w:rsid w:val="00EE0F76"/>
    <w:rsid w:val="00EE162B"/>
    <w:rsid w:val="00EE1F82"/>
    <w:rsid w:val="00EE21DB"/>
    <w:rsid w:val="00EE224E"/>
    <w:rsid w:val="00EE24B7"/>
    <w:rsid w:val="00EE2B57"/>
    <w:rsid w:val="00EE2B9A"/>
    <w:rsid w:val="00EE33AC"/>
    <w:rsid w:val="00EE4194"/>
    <w:rsid w:val="00EE498A"/>
    <w:rsid w:val="00EE4A95"/>
    <w:rsid w:val="00EE4D85"/>
    <w:rsid w:val="00EE56EE"/>
    <w:rsid w:val="00EE588A"/>
    <w:rsid w:val="00EE5AA8"/>
    <w:rsid w:val="00EE5D10"/>
    <w:rsid w:val="00EE5EBD"/>
    <w:rsid w:val="00EE6100"/>
    <w:rsid w:val="00EE667F"/>
    <w:rsid w:val="00EE66A8"/>
    <w:rsid w:val="00EE699B"/>
    <w:rsid w:val="00EE7660"/>
    <w:rsid w:val="00EE77A9"/>
    <w:rsid w:val="00EF037E"/>
    <w:rsid w:val="00EF1521"/>
    <w:rsid w:val="00EF1CFE"/>
    <w:rsid w:val="00EF225A"/>
    <w:rsid w:val="00EF2411"/>
    <w:rsid w:val="00EF2641"/>
    <w:rsid w:val="00EF3E7B"/>
    <w:rsid w:val="00EF42E4"/>
    <w:rsid w:val="00EF4540"/>
    <w:rsid w:val="00EF4642"/>
    <w:rsid w:val="00EF48AB"/>
    <w:rsid w:val="00EF4DB2"/>
    <w:rsid w:val="00EF4F3E"/>
    <w:rsid w:val="00EF4F3F"/>
    <w:rsid w:val="00EF4FAB"/>
    <w:rsid w:val="00EF504F"/>
    <w:rsid w:val="00EF5A8D"/>
    <w:rsid w:val="00EF5AD0"/>
    <w:rsid w:val="00EF5E29"/>
    <w:rsid w:val="00EF6158"/>
    <w:rsid w:val="00EF638D"/>
    <w:rsid w:val="00EF64F9"/>
    <w:rsid w:val="00EF65D3"/>
    <w:rsid w:val="00EF6BCD"/>
    <w:rsid w:val="00EF6BF3"/>
    <w:rsid w:val="00F004EF"/>
    <w:rsid w:val="00F0060D"/>
    <w:rsid w:val="00F00B48"/>
    <w:rsid w:val="00F0185E"/>
    <w:rsid w:val="00F01A2F"/>
    <w:rsid w:val="00F01C7D"/>
    <w:rsid w:val="00F0228D"/>
    <w:rsid w:val="00F0278B"/>
    <w:rsid w:val="00F02790"/>
    <w:rsid w:val="00F02F8D"/>
    <w:rsid w:val="00F0375C"/>
    <w:rsid w:val="00F03906"/>
    <w:rsid w:val="00F049AE"/>
    <w:rsid w:val="00F04C6E"/>
    <w:rsid w:val="00F05081"/>
    <w:rsid w:val="00F05A50"/>
    <w:rsid w:val="00F061FE"/>
    <w:rsid w:val="00F06530"/>
    <w:rsid w:val="00F0662F"/>
    <w:rsid w:val="00F06E6D"/>
    <w:rsid w:val="00F07472"/>
    <w:rsid w:val="00F07A8E"/>
    <w:rsid w:val="00F07C0A"/>
    <w:rsid w:val="00F07C95"/>
    <w:rsid w:val="00F07E12"/>
    <w:rsid w:val="00F101F3"/>
    <w:rsid w:val="00F11BCC"/>
    <w:rsid w:val="00F11F8A"/>
    <w:rsid w:val="00F1210D"/>
    <w:rsid w:val="00F12C71"/>
    <w:rsid w:val="00F130F4"/>
    <w:rsid w:val="00F1316C"/>
    <w:rsid w:val="00F13A22"/>
    <w:rsid w:val="00F13C0C"/>
    <w:rsid w:val="00F13DA5"/>
    <w:rsid w:val="00F13FA7"/>
    <w:rsid w:val="00F162F4"/>
    <w:rsid w:val="00F1638C"/>
    <w:rsid w:val="00F16E32"/>
    <w:rsid w:val="00F1786F"/>
    <w:rsid w:val="00F17B81"/>
    <w:rsid w:val="00F17CE9"/>
    <w:rsid w:val="00F17E0D"/>
    <w:rsid w:val="00F17F43"/>
    <w:rsid w:val="00F17F73"/>
    <w:rsid w:val="00F20A44"/>
    <w:rsid w:val="00F20A46"/>
    <w:rsid w:val="00F20C7A"/>
    <w:rsid w:val="00F21411"/>
    <w:rsid w:val="00F21633"/>
    <w:rsid w:val="00F22317"/>
    <w:rsid w:val="00F234E1"/>
    <w:rsid w:val="00F23850"/>
    <w:rsid w:val="00F2385E"/>
    <w:rsid w:val="00F2426E"/>
    <w:rsid w:val="00F2490B"/>
    <w:rsid w:val="00F24E2C"/>
    <w:rsid w:val="00F252C7"/>
    <w:rsid w:val="00F25390"/>
    <w:rsid w:val="00F25A8A"/>
    <w:rsid w:val="00F26153"/>
    <w:rsid w:val="00F26D9C"/>
    <w:rsid w:val="00F2727F"/>
    <w:rsid w:val="00F272CD"/>
    <w:rsid w:val="00F27495"/>
    <w:rsid w:val="00F276A9"/>
    <w:rsid w:val="00F277F9"/>
    <w:rsid w:val="00F27C91"/>
    <w:rsid w:val="00F30095"/>
    <w:rsid w:val="00F30156"/>
    <w:rsid w:val="00F30CA0"/>
    <w:rsid w:val="00F312AB"/>
    <w:rsid w:val="00F31366"/>
    <w:rsid w:val="00F31411"/>
    <w:rsid w:val="00F3183E"/>
    <w:rsid w:val="00F3249E"/>
    <w:rsid w:val="00F3325B"/>
    <w:rsid w:val="00F332C8"/>
    <w:rsid w:val="00F335F7"/>
    <w:rsid w:val="00F33E39"/>
    <w:rsid w:val="00F34182"/>
    <w:rsid w:val="00F348D3"/>
    <w:rsid w:val="00F34D90"/>
    <w:rsid w:val="00F34E7B"/>
    <w:rsid w:val="00F34EED"/>
    <w:rsid w:val="00F350A0"/>
    <w:rsid w:val="00F35518"/>
    <w:rsid w:val="00F35713"/>
    <w:rsid w:val="00F35A64"/>
    <w:rsid w:val="00F3731D"/>
    <w:rsid w:val="00F3784A"/>
    <w:rsid w:val="00F40303"/>
    <w:rsid w:val="00F40797"/>
    <w:rsid w:val="00F408C8"/>
    <w:rsid w:val="00F40D97"/>
    <w:rsid w:val="00F4119F"/>
    <w:rsid w:val="00F4170C"/>
    <w:rsid w:val="00F41848"/>
    <w:rsid w:val="00F419A2"/>
    <w:rsid w:val="00F41BC5"/>
    <w:rsid w:val="00F42354"/>
    <w:rsid w:val="00F42866"/>
    <w:rsid w:val="00F42AFD"/>
    <w:rsid w:val="00F42B13"/>
    <w:rsid w:val="00F42DF9"/>
    <w:rsid w:val="00F42FFA"/>
    <w:rsid w:val="00F4353F"/>
    <w:rsid w:val="00F43B39"/>
    <w:rsid w:val="00F44DF9"/>
    <w:rsid w:val="00F451EA"/>
    <w:rsid w:val="00F456A4"/>
    <w:rsid w:val="00F458CF"/>
    <w:rsid w:val="00F45986"/>
    <w:rsid w:val="00F45F2E"/>
    <w:rsid w:val="00F46109"/>
    <w:rsid w:val="00F46A5F"/>
    <w:rsid w:val="00F46A93"/>
    <w:rsid w:val="00F46AC6"/>
    <w:rsid w:val="00F46E08"/>
    <w:rsid w:val="00F46F34"/>
    <w:rsid w:val="00F4717E"/>
    <w:rsid w:val="00F47F68"/>
    <w:rsid w:val="00F501A0"/>
    <w:rsid w:val="00F50221"/>
    <w:rsid w:val="00F50397"/>
    <w:rsid w:val="00F50B08"/>
    <w:rsid w:val="00F51F1C"/>
    <w:rsid w:val="00F52C32"/>
    <w:rsid w:val="00F5361C"/>
    <w:rsid w:val="00F539EA"/>
    <w:rsid w:val="00F53DD6"/>
    <w:rsid w:val="00F54346"/>
    <w:rsid w:val="00F543B0"/>
    <w:rsid w:val="00F54481"/>
    <w:rsid w:val="00F54614"/>
    <w:rsid w:val="00F54B0F"/>
    <w:rsid w:val="00F55536"/>
    <w:rsid w:val="00F55804"/>
    <w:rsid w:val="00F5640F"/>
    <w:rsid w:val="00F56424"/>
    <w:rsid w:val="00F56607"/>
    <w:rsid w:val="00F5678D"/>
    <w:rsid w:val="00F572DF"/>
    <w:rsid w:val="00F5741F"/>
    <w:rsid w:val="00F57544"/>
    <w:rsid w:val="00F57646"/>
    <w:rsid w:val="00F57C3C"/>
    <w:rsid w:val="00F6005B"/>
    <w:rsid w:val="00F602C0"/>
    <w:rsid w:val="00F602F5"/>
    <w:rsid w:val="00F603B9"/>
    <w:rsid w:val="00F60754"/>
    <w:rsid w:val="00F60DAE"/>
    <w:rsid w:val="00F61D5E"/>
    <w:rsid w:val="00F62009"/>
    <w:rsid w:val="00F62037"/>
    <w:rsid w:val="00F622A6"/>
    <w:rsid w:val="00F631A5"/>
    <w:rsid w:val="00F631E6"/>
    <w:rsid w:val="00F63D09"/>
    <w:rsid w:val="00F644CB"/>
    <w:rsid w:val="00F64818"/>
    <w:rsid w:val="00F653D3"/>
    <w:rsid w:val="00F658E0"/>
    <w:rsid w:val="00F6607E"/>
    <w:rsid w:val="00F6647E"/>
    <w:rsid w:val="00F6710A"/>
    <w:rsid w:val="00F6714C"/>
    <w:rsid w:val="00F673A7"/>
    <w:rsid w:val="00F67478"/>
    <w:rsid w:val="00F677B9"/>
    <w:rsid w:val="00F67B86"/>
    <w:rsid w:val="00F70541"/>
    <w:rsid w:val="00F7061E"/>
    <w:rsid w:val="00F70666"/>
    <w:rsid w:val="00F70978"/>
    <w:rsid w:val="00F70B67"/>
    <w:rsid w:val="00F70C3B"/>
    <w:rsid w:val="00F7142D"/>
    <w:rsid w:val="00F71DEF"/>
    <w:rsid w:val="00F71E61"/>
    <w:rsid w:val="00F72190"/>
    <w:rsid w:val="00F7260A"/>
    <w:rsid w:val="00F728AD"/>
    <w:rsid w:val="00F73004"/>
    <w:rsid w:val="00F73871"/>
    <w:rsid w:val="00F7389B"/>
    <w:rsid w:val="00F73BB6"/>
    <w:rsid w:val="00F73C8F"/>
    <w:rsid w:val="00F745D8"/>
    <w:rsid w:val="00F7576B"/>
    <w:rsid w:val="00F75AD2"/>
    <w:rsid w:val="00F75BD7"/>
    <w:rsid w:val="00F75D69"/>
    <w:rsid w:val="00F768E8"/>
    <w:rsid w:val="00F76923"/>
    <w:rsid w:val="00F769DF"/>
    <w:rsid w:val="00F76A93"/>
    <w:rsid w:val="00F76F29"/>
    <w:rsid w:val="00F77D7F"/>
    <w:rsid w:val="00F77E18"/>
    <w:rsid w:val="00F805BC"/>
    <w:rsid w:val="00F81916"/>
    <w:rsid w:val="00F81A67"/>
    <w:rsid w:val="00F81C80"/>
    <w:rsid w:val="00F81CE5"/>
    <w:rsid w:val="00F820FC"/>
    <w:rsid w:val="00F82301"/>
    <w:rsid w:val="00F82870"/>
    <w:rsid w:val="00F833AE"/>
    <w:rsid w:val="00F83BD1"/>
    <w:rsid w:val="00F85352"/>
    <w:rsid w:val="00F85543"/>
    <w:rsid w:val="00F85853"/>
    <w:rsid w:val="00F859F0"/>
    <w:rsid w:val="00F8620C"/>
    <w:rsid w:val="00F86B43"/>
    <w:rsid w:val="00F86CCE"/>
    <w:rsid w:val="00F86E59"/>
    <w:rsid w:val="00F87A57"/>
    <w:rsid w:val="00F87D73"/>
    <w:rsid w:val="00F87FD1"/>
    <w:rsid w:val="00F900C1"/>
    <w:rsid w:val="00F90115"/>
    <w:rsid w:val="00F9039B"/>
    <w:rsid w:val="00F90418"/>
    <w:rsid w:val="00F905A8"/>
    <w:rsid w:val="00F9083E"/>
    <w:rsid w:val="00F90F11"/>
    <w:rsid w:val="00F91807"/>
    <w:rsid w:val="00F91FCC"/>
    <w:rsid w:val="00F921FA"/>
    <w:rsid w:val="00F9269E"/>
    <w:rsid w:val="00F92933"/>
    <w:rsid w:val="00F92F72"/>
    <w:rsid w:val="00F93262"/>
    <w:rsid w:val="00F9372E"/>
    <w:rsid w:val="00F9391A"/>
    <w:rsid w:val="00F939A3"/>
    <w:rsid w:val="00F94888"/>
    <w:rsid w:val="00F94941"/>
    <w:rsid w:val="00F96132"/>
    <w:rsid w:val="00F96C41"/>
    <w:rsid w:val="00F96CC2"/>
    <w:rsid w:val="00F9703A"/>
    <w:rsid w:val="00F97C71"/>
    <w:rsid w:val="00F97D18"/>
    <w:rsid w:val="00F97E0B"/>
    <w:rsid w:val="00F97E0D"/>
    <w:rsid w:val="00FA0433"/>
    <w:rsid w:val="00FA097E"/>
    <w:rsid w:val="00FA1388"/>
    <w:rsid w:val="00FA150E"/>
    <w:rsid w:val="00FA15F4"/>
    <w:rsid w:val="00FA1DFF"/>
    <w:rsid w:val="00FA25BD"/>
    <w:rsid w:val="00FA2DA0"/>
    <w:rsid w:val="00FA30AC"/>
    <w:rsid w:val="00FA3B0A"/>
    <w:rsid w:val="00FA3EFF"/>
    <w:rsid w:val="00FA4151"/>
    <w:rsid w:val="00FA47CE"/>
    <w:rsid w:val="00FA48C6"/>
    <w:rsid w:val="00FA48CB"/>
    <w:rsid w:val="00FA4DC3"/>
    <w:rsid w:val="00FA544E"/>
    <w:rsid w:val="00FA59E3"/>
    <w:rsid w:val="00FA5C0D"/>
    <w:rsid w:val="00FA5EC8"/>
    <w:rsid w:val="00FA6199"/>
    <w:rsid w:val="00FA6AF3"/>
    <w:rsid w:val="00FA6C0A"/>
    <w:rsid w:val="00FA6DEB"/>
    <w:rsid w:val="00FA72BE"/>
    <w:rsid w:val="00FA7690"/>
    <w:rsid w:val="00FA7E03"/>
    <w:rsid w:val="00FA7E19"/>
    <w:rsid w:val="00FB0D9C"/>
    <w:rsid w:val="00FB1064"/>
    <w:rsid w:val="00FB133A"/>
    <w:rsid w:val="00FB13EC"/>
    <w:rsid w:val="00FB15D6"/>
    <w:rsid w:val="00FB1ADE"/>
    <w:rsid w:val="00FB1C49"/>
    <w:rsid w:val="00FB2707"/>
    <w:rsid w:val="00FB301B"/>
    <w:rsid w:val="00FB3AE0"/>
    <w:rsid w:val="00FB3D1E"/>
    <w:rsid w:val="00FB46DD"/>
    <w:rsid w:val="00FB48C8"/>
    <w:rsid w:val="00FB4DF5"/>
    <w:rsid w:val="00FB5171"/>
    <w:rsid w:val="00FB5254"/>
    <w:rsid w:val="00FB5B03"/>
    <w:rsid w:val="00FB6035"/>
    <w:rsid w:val="00FB62DE"/>
    <w:rsid w:val="00FB6754"/>
    <w:rsid w:val="00FB690F"/>
    <w:rsid w:val="00FB71A3"/>
    <w:rsid w:val="00FB726B"/>
    <w:rsid w:val="00FB7666"/>
    <w:rsid w:val="00FC042F"/>
    <w:rsid w:val="00FC0813"/>
    <w:rsid w:val="00FC0A39"/>
    <w:rsid w:val="00FC0B8C"/>
    <w:rsid w:val="00FC0BB1"/>
    <w:rsid w:val="00FC0C0F"/>
    <w:rsid w:val="00FC14B7"/>
    <w:rsid w:val="00FC150E"/>
    <w:rsid w:val="00FC1FEF"/>
    <w:rsid w:val="00FC2A40"/>
    <w:rsid w:val="00FC3125"/>
    <w:rsid w:val="00FC3603"/>
    <w:rsid w:val="00FC3F8C"/>
    <w:rsid w:val="00FC420D"/>
    <w:rsid w:val="00FC4B89"/>
    <w:rsid w:val="00FC5303"/>
    <w:rsid w:val="00FC587E"/>
    <w:rsid w:val="00FC6442"/>
    <w:rsid w:val="00FC6C79"/>
    <w:rsid w:val="00FC6E00"/>
    <w:rsid w:val="00FC7240"/>
    <w:rsid w:val="00FC75F2"/>
    <w:rsid w:val="00FC7C74"/>
    <w:rsid w:val="00FC7D2E"/>
    <w:rsid w:val="00FC7E9D"/>
    <w:rsid w:val="00FD0035"/>
    <w:rsid w:val="00FD08A2"/>
    <w:rsid w:val="00FD0AA7"/>
    <w:rsid w:val="00FD0D92"/>
    <w:rsid w:val="00FD115F"/>
    <w:rsid w:val="00FD12F8"/>
    <w:rsid w:val="00FD16E0"/>
    <w:rsid w:val="00FD1986"/>
    <w:rsid w:val="00FD1A3B"/>
    <w:rsid w:val="00FD21F9"/>
    <w:rsid w:val="00FD2A64"/>
    <w:rsid w:val="00FD2BF0"/>
    <w:rsid w:val="00FD2D9F"/>
    <w:rsid w:val="00FD32F7"/>
    <w:rsid w:val="00FD380D"/>
    <w:rsid w:val="00FD3AAD"/>
    <w:rsid w:val="00FD41E9"/>
    <w:rsid w:val="00FD4C61"/>
    <w:rsid w:val="00FD4D43"/>
    <w:rsid w:val="00FD55E4"/>
    <w:rsid w:val="00FD5AA6"/>
    <w:rsid w:val="00FD5AAF"/>
    <w:rsid w:val="00FD5AFB"/>
    <w:rsid w:val="00FD653F"/>
    <w:rsid w:val="00FD6B09"/>
    <w:rsid w:val="00FD6B4C"/>
    <w:rsid w:val="00FD7048"/>
    <w:rsid w:val="00FD7447"/>
    <w:rsid w:val="00FE04EE"/>
    <w:rsid w:val="00FE064C"/>
    <w:rsid w:val="00FE0EDC"/>
    <w:rsid w:val="00FE18AC"/>
    <w:rsid w:val="00FE1A5C"/>
    <w:rsid w:val="00FE1C65"/>
    <w:rsid w:val="00FE227A"/>
    <w:rsid w:val="00FE2843"/>
    <w:rsid w:val="00FE2B3B"/>
    <w:rsid w:val="00FE3535"/>
    <w:rsid w:val="00FE393A"/>
    <w:rsid w:val="00FE3A9F"/>
    <w:rsid w:val="00FE421F"/>
    <w:rsid w:val="00FE4233"/>
    <w:rsid w:val="00FE4720"/>
    <w:rsid w:val="00FE4CB8"/>
    <w:rsid w:val="00FE4EBD"/>
    <w:rsid w:val="00FE4F7D"/>
    <w:rsid w:val="00FE53C4"/>
    <w:rsid w:val="00FE5420"/>
    <w:rsid w:val="00FE56DA"/>
    <w:rsid w:val="00FE5A1B"/>
    <w:rsid w:val="00FE5A75"/>
    <w:rsid w:val="00FE5BF4"/>
    <w:rsid w:val="00FE60F1"/>
    <w:rsid w:val="00FE6481"/>
    <w:rsid w:val="00FE6691"/>
    <w:rsid w:val="00FE66B4"/>
    <w:rsid w:val="00FE6BFC"/>
    <w:rsid w:val="00FE71D0"/>
    <w:rsid w:val="00FF0217"/>
    <w:rsid w:val="00FF0263"/>
    <w:rsid w:val="00FF02AF"/>
    <w:rsid w:val="00FF02BC"/>
    <w:rsid w:val="00FF037A"/>
    <w:rsid w:val="00FF085D"/>
    <w:rsid w:val="00FF0863"/>
    <w:rsid w:val="00FF0C6D"/>
    <w:rsid w:val="00FF116C"/>
    <w:rsid w:val="00FF1986"/>
    <w:rsid w:val="00FF2382"/>
    <w:rsid w:val="00FF25A7"/>
    <w:rsid w:val="00FF2940"/>
    <w:rsid w:val="00FF2BEA"/>
    <w:rsid w:val="00FF2E96"/>
    <w:rsid w:val="00FF3299"/>
    <w:rsid w:val="00FF32BE"/>
    <w:rsid w:val="00FF32E7"/>
    <w:rsid w:val="00FF3F83"/>
    <w:rsid w:val="00FF40D7"/>
    <w:rsid w:val="00FF40F2"/>
    <w:rsid w:val="00FF46EA"/>
    <w:rsid w:val="00FF4980"/>
    <w:rsid w:val="00FF4CA1"/>
    <w:rsid w:val="00FF60B4"/>
    <w:rsid w:val="00FF67C3"/>
    <w:rsid w:val="00FF786D"/>
    <w:rsid w:val="00FF78D8"/>
    <w:rsid w:val="00FF78E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D797C1D"/>
  <w15:docId w15:val="{F5AE5997-925B-4ECF-9518-8C4A3EE4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785C3A"/>
    <w:pPr>
      <w:widowControl w:val="0"/>
      <w:wordWrap w:val="0"/>
      <w:jc w:val="both"/>
    </w:pPr>
    <w:rPr>
      <w:kern w:val="2"/>
    </w:rPr>
  </w:style>
  <w:style w:type="paragraph" w:styleId="1">
    <w:name w:val="heading 1"/>
    <w:aliases w:val="1,h1,Heading U,H1,H11,Œ©o‚µ 1,?co??E 1"/>
    <w:basedOn w:val="a0"/>
    <w:next w:val="a0"/>
    <w:qFormat/>
    <w:rsid w:val="00613C0F"/>
    <w:pPr>
      <w:keepNext/>
      <w:outlineLvl w:val="0"/>
    </w:pPr>
    <w:rPr>
      <w:b/>
      <w:sz w:val="28"/>
    </w:rPr>
  </w:style>
  <w:style w:type="paragraph" w:styleId="2">
    <w:name w:val="heading 2"/>
    <w:aliases w:val="h2,H2,H21,Œ©o‚µ 2,?co??E 2"/>
    <w:basedOn w:val="a0"/>
    <w:next w:val="a0"/>
    <w:autoRedefine/>
    <w:qFormat/>
    <w:rsid w:val="00F2490B"/>
    <w:pPr>
      <w:tabs>
        <w:tab w:val="left" w:pos="500"/>
      </w:tabs>
      <w:wordWrap/>
      <w:spacing w:beforeLines="100" w:before="422" w:afterLines="100" w:after="422" w:line="264" w:lineRule="auto"/>
      <w:outlineLvl w:val="1"/>
    </w:pPr>
    <w:rPr>
      <w:b/>
      <w:sz w:val="28"/>
    </w:rPr>
  </w:style>
  <w:style w:type="paragraph" w:styleId="3">
    <w:name w:val="heading 3"/>
    <w:aliases w:val="H3,h3,H31"/>
    <w:basedOn w:val="a0"/>
    <w:next w:val="a0"/>
    <w:autoRedefine/>
    <w:qFormat/>
    <w:rsid w:val="00704234"/>
    <w:pPr>
      <w:tabs>
        <w:tab w:val="left" w:pos="700"/>
      </w:tabs>
      <w:wordWrap/>
      <w:spacing w:beforeLines="100" w:before="422" w:afterLines="50" w:after="211"/>
      <w:outlineLvl w:val="2"/>
    </w:pPr>
    <w:rPr>
      <w:b/>
      <w:sz w:val="26"/>
    </w:rPr>
  </w:style>
  <w:style w:type="paragraph" w:styleId="4">
    <w:name w:val="heading 4"/>
    <w:basedOn w:val="a0"/>
    <w:next w:val="a0"/>
    <w:autoRedefine/>
    <w:qFormat/>
    <w:rsid w:val="0016585E"/>
    <w:pPr>
      <w:keepNext/>
      <w:tabs>
        <w:tab w:val="left" w:pos="800"/>
      </w:tabs>
      <w:outlineLvl w:val="3"/>
    </w:pPr>
    <w:rPr>
      <w:rFonts w:eastAsia="Times New Roman"/>
      <w:b/>
      <w:sz w:val="22"/>
    </w:rPr>
  </w:style>
  <w:style w:type="paragraph" w:styleId="5">
    <w:name w:val="heading 5"/>
    <w:basedOn w:val="a0"/>
    <w:next w:val="a0"/>
    <w:qFormat/>
    <w:rsid w:val="00613C0F"/>
    <w:pPr>
      <w:keepNext/>
      <w:outlineLvl w:val="4"/>
    </w:pPr>
    <w:rPr>
      <w:rFonts w:ascii="Arial" w:hAnsi="Arial"/>
      <w:b/>
      <w:sz w:val="24"/>
    </w:rPr>
  </w:style>
  <w:style w:type="paragraph" w:styleId="6">
    <w:name w:val="heading 6"/>
    <w:basedOn w:val="a0"/>
    <w:next w:val="a0"/>
    <w:qFormat/>
    <w:rsid w:val="00613C0F"/>
    <w:pPr>
      <w:keepNext/>
      <w:outlineLvl w:val="5"/>
    </w:pPr>
    <w:rPr>
      <w:sz w:val="24"/>
    </w:rPr>
  </w:style>
  <w:style w:type="paragraph" w:styleId="7">
    <w:name w:val="heading 7"/>
    <w:basedOn w:val="a0"/>
    <w:next w:val="a0"/>
    <w:qFormat/>
    <w:rsid w:val="00613C0F"/>
    <w:pPr>
      <w:keepNext/>
      <w:ind w:left="851"/>
      <w:outlineLvl w:val="6"/>
    </w:pPr>
    <w:rPr>
      <w:b/>
      <w:sz w:val="24"/>
    </w:rPr>
  </w:style>
  <w:style w:type="paragraph" w:styleId="8">
    <w:name w:val="heading 8"/>
    <w:basedOn w:val="a0"/>
    <w:next w:val="a0"/>
    <w:qFormat/>
    <w:rsid w:val="00613C0F"/>
    <w:pPr>
      <w:keepNext/>
      <w:ind w:left="851"/>
      <w:outlineLvl w:val="7"/>
    </w:pPr>
    <w:rPr>
      <w:sz w:val="24"/>
    </w:rPr>
  </w:style>
  <w:style w:type="paragraph" w:styleId="9">
    <w:name w:val="heading 9"/>
    <w:basedOn w:val="a0"/>
    <w:next w:val="a0"/>
    <w:qFormat/>
    <w:rsid w:val="00613C0F"/>
    <w:pPr>
      <w:keepNext/>
      <w:outlineLvl w:val="8"/>
    </w:pPr>
    <w:rPr>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rsid w:val="00613C0F"/>
    <w:pPr>
      <w:spacing w:after="180"/>
    </w:pPr>
    <w:rPr>
      <w:sz w:val="22"/>
    </w:rPr>
  </w:style>
  <w:style w:type="paragraph" w:styleId="a5">
    <w:name w:val="Body Text Indent"/>
    <w:basedOn w:val="a0"/>
    <w:rsid w:val="00613C0F"/>
    <w:pPr>
      <w:ind w:firstLine="360"/>
    </w:pPr>
    <w:rPr>
      <w:color w:val="0000FF"/>
    </w:rPr>
  </w:style>
  <w:style w:type="paragraph" w:styleId="a6">
    <w:name w:val="caption"/>
    <w:basedOn w:val="a0"/>
    <w:next w:val="a0"/>
    <w:qFormat/>
    <w:rsid w:val="00613C0F"/>
    <w:pPr>
      <w:widowControl/>
      <w:wordWrap/>
      <w:spacing w:before="120" w:after="120"/>
      <w:jc w:val="left"/>
    </w:pPr>
    <w:rPr>
      <w:b/>
      <w:noProof/>
      <w:kern w:val="0"/>
    </w:rPr>
  </w:style>
  <w:style w:type="paragraph" w:customStyle="1" w:styleId="Normalaftertitle">
    <w:name w:val="Normal after title"/>
    <w:basedOn w:val="a0"/>
    <w:rsid w:val="00613C0F"/>
    <w:pPr>
      <w:widowControl/>
      <w:tabs>
        <w:tab w:val="left" w:pos="794"/>
        <w:tab w:val="left" w:pos="1191"/>
        <w:tab w:val="left" w:pos="1588"/>
        <w:tab w:val="left" w:pos="1985"/>
      </w:tabs>
      <w:wordWrap/>
      <w:spacing w:before="480"/>
    </w:pPr>
    <w:rPr>
      <w:rFonts w:ascii="Times" w:hAnsi="Times"/>
      <w:kern w:val="0"/>
      <w:lang w:eastAsia="en-US"/>
    </w:rPr>
  </w:style>
  <w:style w:type="paragraph" w:styleId="a7">
    <w:name w:val="header"/>
    <w:basedOn w:val="a0"/>
    <w:rsid w:val="00613C0F"/>
    <w:pPr>
      <w:tabs>
        <w:tab w:val="center" w:pos="4320"/>
        <w:tab w:val="right" w:pos="8640"/>
      </w:tabs>
      <w:wordWrap/>
      <w:jc w:val="left"/>
    </w:pPr>
    <w:rPr>
      <w:noProof/>
      <w:kern w:val="0"/>
    </w:rPr>
  </w:style>
  <w:style w:type="paragraph" w:styleId="20">
    <w:name w:val="Body Text 2"/>
    <w:basedOn w:val="a0"/>
    <w:rsid w:val="00613C0F"/>
    <w:pPr>
      <w:widowControl/>
      <w:wordWrap/>
      <w:jc w:val="center"/>
    </w:pPr>
    <w:rPr>
      <w:snapToGrid w:val="0"/>
      <w:color w:val="000000"/>
      <w:kern w:val="0"/>
      <w:sz w:val="18"/>
      <w:lang w:eastAsia="en-US"/>
    </w:rPr>
  </w:style>
  <w:style w:type="paragraph" w:customStyle="1" w:styleId="2Heading">
    <w:name w:val="2Heading"/>
    <w:basedOn w:val="a0"/>
    <w:rsid w:val="00613C0F"/>
    <w:pPr>
      <w:keepNext/>
      <w:widowControl/>
      <w:wordWrap/>
      <w:spacing w:before="380" w:after="140" w:line="300" w:lineRule="atLeast"/>
      <w:ind w:left="1368" w:hanging="648"/>
      <w:jc w:val="left"/>
    </w:pPr>
    <w:rPr>
      <w:rFonts w:ascii="Helvetica" w:hAnsi="Helvetica"/>
      <w:b/>
      <w:noProof/>
      <w:color w:val="000000"/>
      <w:kern w:val="0"/>
      <w:sz w:val="32"/>
    </w:rPr>
  </w:style>
  <w:style w:type="paragraph" w:customStyle="1" w:styleId="Body">
    <w:name w:val="Body"/>
    <w:basedOn w:val="a0"/>
    <w:rsid w:val="00613C0F"/>
    <w:pPr>
      <w:widowControl/>
      <w:wordWrap/>
      <w:spacing w:before="160" w:after="160"/>
      <w:ind w:left="720"/>
      <w:jc w:val="left"/>
    </w:pPr>
    <w:rPr>
      <w:rFonts w:ascii="Palatino" w:hAnsi="Palatino"/>
      <w:noProof/>
      <w:color w:val="000000"/>
      <w:kern w:val="0"/>
      <w:sz w:val="22"/>
    </w:rPr>
  </w:style>
  <w:style w:type="paragraph" w:customStyle="1" w:styleId="List1">
    <w:name w:val="List1"/>
    <w:basedOn w:val="a0"/>
    <w:rsid w:val="00613C0F"/>
    <w:pPr>
      <w:keepNext/>
      <w:widowControl/>
      <w:tabs>
        <w:tab w:val="left" w:pos="1224"/>
      </w:tabs>
      <w:wordWrap/>
      <w:spacing w:before="200" w:after="100"/>
      <w:ind w:left="1224" w:hanging="504"/>
      <w:jc w:val="left"/>
    </w:pPr>
    <w:rPr>
      <w:rFonts w:ascii="Palatino" w:hAnsi="Palatino"/>
      <w:noProof/>
      <w:color w:val="000000"/>
      <w:kern w:val="0"/>
      <w:sz w:val="22"/>
    </w:rPr>
  </w:style>
  <w:style w:type="paragraph" w:customStyle="1" w:styleId="lev1heading">
    <w:name w:val="lev1heading"/>
    <w:rsid w:val="00613C0F"/>
    <w:pPr>
      <w:keepNext/>
      <w:tabs>
        <w:tab w:val="center" w:pos="2880"/>
        <w:tab w:val="left" w:pos="3600"/>
      </w:tabs>
      <w:spacing w:before="200" w:after="200" w:line="280" w:lineRule="auto"/>
    </w:pPr>
    <w:rPr>
      <w:rFonts w:ascii="Times" w:hAnsi="Times"/>
      <w:b/>
      <w:color w:val="000000"/>
      <w:sz w:val="24"/>
      <w:lang w:eastAsia="en-US"/>
    </w:rPr>
  </w:style>
  <w:style w:type="paragraph" w:customStyle="1" w:styleId="vara">
    <w:name w:val="vara"/>
    <w:basedOn w:val="a0"/>
    <w:rsid w:val="00613C0F"/>
    <w:pPr>
      <w:widowControl/>
      <w:wordWrap/>
      <w:jc w:val="left"/>
    </w:pPr>
    <w:rPr>
      <w:rFonts w:ascii="Times" w:hAnsi="Times"/>
      <w:b/>
      <w:kern w:val="0"/>
      <w:sz w:val="24"/>
      <w:lang w:val="en-GB" w:eastAsia="en-US"/>
    </w:rPr>
  </w:style>
  <w:style w:type="paragraph" w:customStyle="1" w:styleId="Paragraph">
    <w:name w:val="Paragraph"/>
    <w:basedOn w:val="a0"/>
    <w:rsid w:val="00613C0F"/>
    <w:pPr>
      <w:widowControl/>
      <w:wordWrap/>
      <w:spacing w:before="120"/>
      <w:ind w:firstLine="567"/>
    </w:pPr>
    <w:rPr>
      <w:rFonts w:ascii="Times" w:hAnsi="Times"/>
      <w:kern w:val="0"/>
      <w:sz w:val="24"/>
      <w:lang w:eastAsia="en-US"/>
    </w:rPr>
  </w:style>
  <w:style w:type="paragraph" w:customStyle="1" w:styleId="Bulleted">
    <w:name w:val="Bulleted"/>
    <w:basedOn w:val="a0"/>
    <w:rsid w:val="00613C0F"/>
    <w:pPr>
      <w:widowControl/>
      <w:wordWrap/>
      <w:ind w:left="284" w:hanging="284"/>
    </w:pPr>
    <w:rPr>
      <w:rFonts w:ascii="Helv" w:hAnsi="Helv"/>
      <w:kern w:val="0"/>
      <w:sz w:val="22"/>
      <w:lang w:val="en-GB" w:eastAsia="en-US"/>
    </w:rPr>
  </w:style>
  <w:style w:type="paragraph" w:customStyle="1" w:styleId="tableofcont">
    <w:name w:val="table_of_cont"/>
    <w:basedOn w:val="a0"/>
    <w:rsid w:val="00613C0F"/>
    <w:pPr>
      <w:widowControl/>
      <w:wordWrap/>
    </w:pPr>
    <w:rPr>
      <w:rFonts w:ascii="Helvetica" w:hAnsi="Helvetica"/>
      <w:kern w:val="0"/>
      <w:sz w:val="28"/>
      <w:lang w:val="en-GB" w:eastAsia="en-US"/>
    </w:rPr>
  </w:style>
  <w:style w:type="paragraph" w:customStyle="1" w:styleId="text">
    <w:name w:val="text"/>
    <w:rsid w:val="00613C0F"/>
    <w:pPr>
      <w:widowControl w:val="0"/>
      <w:spacing w:before="100" w:after="100"/>
      <w:ind w:left="860"/>
    </w:pPr>
    <w:rPr>
      <w:rFonts w:ascii="New York" w:hAnsi="New York"/>
      <w:snapToGrid w:val="0"/>
      <w:sz w:val="24"/>
      <w:lang w:eastAsia="en-US"/>
    </w:rPr>
  </w:style>
  <w:style w:type="paragraph" w:customStyle="1" w:styleId="PunktLista08">
    <w:name w:val="PunktLista 0.8"/>
    <w:basedOn w:val="a4"/>
    <w:rsid w:val="00613C0F"/>
    <w:pPr>
      <w:tabs>
        <w:tab w:val="left" w:pos="3062"/>
      </w:tabs>
      <w:wordWrap/>
      <w:spacing w:after="240"/>
      <w:ind w:left="3119" w:right="624" w:hanging="454"/>
      <w:jc w:val="left"/>
    </w:pPr>
    <w:rPr>
      <w:rFonts w:ascii="Times" w:hAnsi="Times"/>
      <w:snapToGrid w:val="0"/>
      <w:kern w:val="0"/>
      <w:lang w:eastAsia="en-US"/>
    </w:rPr>
  </w:style>
  <w:style w:type="paragraph" w:customStyle="1" w:styleId="Identifikation">
    <w:name w:val="Identifikation"/>
    <w:basedOn w:val="1"/>
    <w:rsid w:val="00613C0F"/>
    <w:pPr>
      <w:tabs>
        <w:tab w:val="left" w:pos="3969"/>
      </w:tabs>
      <w:wordWrap/>
      <w:spacing w:after="240"/>
      <w:ind w:right="624"/>
      <w:jc w:val="left"/>
      <w:outlineLvl w:val="9"/>
    </w:pPr>
    <w:rPr>
      <w:rFonts w:ascii="Times" w:hAnsi="Times"/>
      <w:snapToGrid w:val="0"/>
      <w:kern w:val="0"/>
      <w:lang w:eastAsia="en-US"/>
    </w:rPr>
  </w:style>
  <w:style w:type="paragraph" w:customStyle="1" w:styleId="PunktLista14">
    <w:name w:val="PunktLista 1.4"/>
    <w:basedOn w:val="PunktLista08"/>
    <w:rsid w:val="00613C0F"/>
    <w:pPr>
      <w:ind w:left="3572"/>
    </w:pPr>
  </w:style>
  <w:style w:type="paragraph" w:customStyle="1" w:styleId="textindrag08">
    <w:name w:val="text indrag 0.8"/>
    <w:rsid w:val="00613C0F"/>
    <w:pPr>
      <w:widowControl w:val="0"/>
      <w:spacing w:after="240"/>
      <w:ind w:left="3119" w:right="624"/>
    </w:pPr>
    <w:rPr>
      <w:rFonts w:ascii="New York" w:hAnsi="New York"/>
      <w:snapToGrid w:val="0"/>
      <w:sz w:val="22"/>
      <w:lang w:eastAsia="en-US"/>
    </w:rPr>
  </w:style>
  <w:style w:type="paragraph" w:customStyle="1" w:styleId="OSNorm">
    <w:name w:val="OSNorm"/>
    <w:basedOn w:val="a0"/>
    <w:rsid w:val="00613C0F"/>
    <w:pPr>
      <w:wordWrap/>
      <w:spacing w:before="60" w:after="40"/>
      <w:ind w:left="1700" w:right="38"/>
      <w:jc w:val="left"/>
    </w:pPr>
    <w:rPr>
      <w:rFonts w:ascii="Times" w:hAnsi="Times"/>
      <w:snapToGrid w:val="0"/>
      <w:kern w:val="0"/>
      <w:sz w:val="24"/>
      <w:lang w:eastAsia="en-US"/>
    </w:rPr>
  </w:style>
  <w:style w:type="paragraph" w:customStyle="1" w:styleId="OSNormTabell1">
    <w:name w:val="OSNorm Tabell 1"/>
    <w:basedOn w:val="OSNorm"/>
    <w:rsid w:val="00613C0F"/>
    <w:pPr>
      <w:ind w:left="2000" w:hanging="300"/>
    </w:pPr>
  </w:style>
  <w:style w:type="paragraph" w:customStyle="1" w:styleId="textpunktlista">
    <w:name w:val="text punktlista"/>
    <w:rsid w:val="00613C0F"/>
    <w:pPr>
      <w:widowControl w:val="0"/>
      <w:ind w:left="3060" w:right="624" w:hanging="395"/>
    </w:pPr>
    <w:rPr>
      <w:rFonts w:ascii="New York" w:hAnsi="New York"/>
      <w:snapToGrid w:val="0"/>
      <w:sz w:val="22"/>
      <w:lang w:eastAsia="en-US"/>
    </w:rPr>
  </w:style>
  <w:style w:type="paragraph" w:customStyle="1" w:styleId="Blankrad">
    <w:name w:val="Blankrad"/>
    <w:basedOn w:val="a4"/>
    <w:rsid w:val="00613C0F"/>
    <w:pPr>
      <w:wordWrap/>
      <w:spacing w:after="0"/>
      <w:ind w:right="624"/>
      <w:jc w:val="left"/>
    </w:pPr>
    <w:rPr>
      <w:rFonts w:ascii="Times" w:hAnsi="Times"/>
      <w:snapToGrid w:val="0"/>
      <w:kern w:val="0"/>
      <w:lang w:eastAsia="en-US"/>
    </w:rPr>
  </w:style>
  <w:style w:type="paragraph" w:customStyle="1" w:styleId="Appendix">
    <w:name w:val="Appendix"/>
    <w:basedOn w:val="1"/>
    <w:next w:val="a0"/>
    <w:rsid w:val="00613C0F"/>
    <w:pPr>
      <w:widowControl/>
      <w:tabs>
        <w:tab w:val="num" w:pos="360"/>
      </w:tabs>
      <w:wordWrap/>
      <w:spacing w:before="360" w:after="360"/>
      <w:ind w:left="360" w:hanging="360"/>
      <w:jc w:val="left"/>
      <w:outlineLvl w:val="9"/>
    </w:pPr>
    <w:rPr>
      <w:b w:val="0"/>
      <w:kern w:val="28"/>
      <w:sz w:val="36"/>
      <w:lang w:val="en-GB" w:eastAsia="en-US"/>
    </w:rPr>
  </w:style>
  <w:style w:type="paragraph" w:customStyle="1" w:styleId="Note">
    <w:name w:val="Note"/>
    <w:basedOn w:val="a0"/>
    <w:next w:val="a0"/>
    <w:rsid w:val="00613C0F"/>
    <w:pPr>
      <w:widowControl/>
      <w:tabs>
        <w:tab w:val="left" w:pos="1191"/>
        <w:tab w:val="left" w:pos="1588"/>
        <w:tab w:val="left" w:pos="1985"/>
      </w:tabs>
      <w:wordWrap/>
      <w:spacing w:before="60" w:line="199" w:lineRule="exact"/>
      <w:ind w:firstLine="794"/>
    </w:pPr>
    <w:rPr>
      <w:rFonts w:ascii="Times" w:hAnsi="Times"/>
      <w:kern w:val="0"/>
      <w:sz w:val="18"/>
      <w:lang w:eastAsia="en-US"/>
    </w:rPr>
  </w:style>
  <w:style w:type="paragraph" w:customStyle="1" w:styleId="TableLegend">
    <w:name w:val="Table_Legend"/>
    <w:basedOn w:val="a0"/>
    <w:next w:val="a0"/>
    <w:rsid w:val="00613C0F"/>
    <w:pPr>
      <w:keepNext/>
      <w:widowControl/>
      <w:tabs>
        <w:tab w:val="left" w:pos="454"/>
      </w:tabs>
      <w:wordWrap/>
      <w:spacing w:before="86" w:line="199" w:lineRule="exact"/>
    </w:pPr>
    <w:rPr>
      <w:rFonts w:ascii="Times" w:hAnsi="Times"/>
      <w:kern w:val="0"/>
      <w:sz w:val="18"/>
      <w:lang w:eastAsia="en-US"/>
    </w:rPr>
  </w:style>
  <w:style w:type="paragraph" w:customStyle="1" w:styleId="TableTitle">
    <w:name w:val="Table_Title"/>
    <w:basedOn w:val="Table"/>
    <w:next w:val="Blanc"/>
    <w:rsid w:val="00613C0F"/>
    <w:pPr>
      <w:spacing w:before="0" w:after="57"/>
    </w:pPr>
    <w:rPr>
      <w:b/>
    </w:rPr>
  </w:style>
  <w:style w:type="paragraph" w:customStyle="1" w:styleId="Table">
    <w:name w:val="Table_#"/>
    <w:basedOn w:val="a0"/>
    <w:next w:val="TableTitle"/>
    <w:rsid w:val="00613C0F"/>
    <w:pPr>
      <w:keepNext/>
      <w:widowControl/>
      <w:wordWrap/>
      <w:spacing w:before="567" w:after="113"/>
      <w:jc w:val="center"/>
    </w:pPr>
    <w:rPr>
      <w:rFonts w:ascii="Times" w:hAnsi="Times"/>
      <w:kern w:val="0"/>
      <w:lang w:eastAsia="en-US"/>
    </w:rPr>
  </w:style>
  <w:style w:type="paragraph" w:customStyle="1" w:styleId="Blanc">
    <w:name w:val="Blanc"/>
    <w:basedOn w:val="TableTitle"/>
    <w:next w:val="TableText"/>
    <w:rsid w:val="00613C0F"/>
    <w:pPr>
      <w:spacing w:line="12" w:lineRule="exact"/>
    </w:pPr>
    <w:rPr>
      <w:b w:val="0"/>
      <w:sz w:val="8"/>
    </w:rPr>
  </w:style>
  <w:style w:type="paragraph" w:customStyle="1" w:styleId="TableText">
    <w:name w:val="Table_Text"/>
    <w:basedOn w:val="a0"/>
    <w:rsid w:val="00613C0F"/>
    <w:pPr>
      <w:keepLines/>
      <w:widowControl/>
      <w:tabs>
        <w:tab w:val="left" w:pos="794"/>
        <w:tab w:val="left" w:pos="1191"/>
        <w:tab w:val="left" w:pos="1588"/>
        <w:tab w:val="left" w:pos="1985"/>
      </w:tabs>
      <w:wordWrap/>
      <w:spacing w:before="100" w:after="100" w:line="190" w:lineRule="exact"/>
      <w:jc w:val="left"/>
    </w:pPr>
    <w:rPr>
      <w:rFonts w:ascii="Times" w:hAnsi="Times"/>
      <w:kern w:val="0"/>
      <w:sz w:val="18"/>
      <w:lang w:eastAsia="en-US"/>
    </w:rPr>
  </w:style>
  <w:style w:type="paragraph" w:customStyle="1" w:styleId="enumlev1">
    <w:name w:val="enumlev1"/>
    <w:basedOn w:val="a0"/>
    <w:rsid w:val="00613C0F"/>
    <w:pPr>
      <w:widowControl/>
      <w:tabs>
        <w:tab w:val="left" w:pos="794"/>
        <w:tab w:val="left" w:pos="1191"/>
        <w:tab w:val="left" w:pos="1588"/>
        <w:tab w:val="left" w:pos="1985"/>
      </w:tabs>
      <w:wordWrap/>
      <w:spacing w:before="86"/>
      <w:ind w:left="1191" w:hanging="397"/>
    </w:pPr>
    <w:rPr>
      <w:rFonts w:ascii="Times" w:hAnsi="Times"/>
      <w:kern w:val="0"/>
      <w:lang w:eastAsia="en-US"/>
    </w:rPr>
  </w:style>
  <w:style w:type="paragraph" w:customStyle="1" w:styleId="CellBody">
    <w:name w:val="CellBody"/>
    <w:basedOn w:val="a0"/>
    <w:rsid w:val="00613C0F"/>
    <w:pPr>
      <w:wordWrap/>
      <w:spacing w:line="-280" w:lineRule="auto"/>
    </w:pPr>
    <w:rPr>
      <w:rFonts w:ascii="Times" w:hAnsi="Times"/>
      <w:kern w:val="0"/>
      <w:lang w:eastAsia="en-US"/>
    </w:rPr>
  </w:style>
  <w:style w:type="paragraph" w:customStyle="1" w:styleId="n">
    <w:name w:val="n"/>
    <w:basedOn w:val="1"/>
    <w:rsid w:val="00613C0F"/>
    <w:pPr>
      <w:widowControl/>
      <w:tabs>
        <w:tab w:val="num" w:pos="432"/>
      </w:tabs>
      <w:wordWrap/>
      <w:spacing w:before="240" w:after="60"/>
      <w:ind w:left="360" w:hanging="360"/>
      <w:jc w:val="left"/>
      <w:outlineLvl w:val="9"/>
    </w:pPr>
    <w:rPr>
      <w:rFonts w:ascii="Times" w:hAnsi="Times"/>
      <w:kern w:val="28"/>
      <w:sz w:val="24"/>
      <w:lang w:eastAsia="en-US"/>
    </w:rPr>
  </w:style>
  <w:style w:type="paragraph" w:styleId="a8">
    <w:name w:val="annotation text"/>
    <w:basedOn w:val="a0"/>
    <w:semiHidden/>
    <w:rsid w:val="00613C0F"/>
    <w:pPr>
      <w:widowControl/>
      <w:wordWrap/>
    </w:pPr>
    <w:rPr>
      <w:rFonts w:ascii="Times" w:hAnsi="Times"/>
      <w:kern w:val="0"/>
      <w:lang w:eastAsia="en-US"/>
    </w:rPr>
  </w:style>
  <w:style w:type="paragraph" w:styleId="21">
    <w:name w:val="Body Text Indent 2"/>
    <w:basedOn w:val="a0"/>
    <w:rsid w:val="00613C0F"/>
    <w:pPr>
      <w:ind w:firstLine="284"/>
    </w:pPr>
  </w:style>
  <w:style w:type="paragraph" w:styleId="a9">
    <w:name w:val="footer"/>
    <w:basedOn w:val="a0"/>
    <w:link w:val="Char"/>
    <w:uiPriority w:val="99"/>
    <w:rsid w:val="00613C0F"/>
    <w:pPr>
      <w:tabs>
        <w:tab w:val="center" w:pos="4252"/>
        <w:tab w:val="right" w:pos="8504"/>
      </w:tabs>
      <w:snapToGrid w:val="0"/>
    </w:pPr>
  </w:style>
  <w:style w:type="character" w:styleId="aa">
    <w:name w:val="page number"/>
    <w:rsid w:val="00D1227B"/>
    <w:rPr>
      <w:rFonts w:ascii="Times New Roman" w:hAnsi="Times New Roman"/>
      <w:sz w:val="24"/>
    </w:rPr>
  </w:style>
  <w:style w:type="paragraph" w:styleId="30">
    <w:name w:val="Body Text Indent 3"/>
    <w:basedOn w:val="a0"/>
    <w:rsid w:val="00613C0F"/>
    <w:pPr>
      <w:ind w:firstLine="600"/>
    </w:pPr>
  </w:style>
  <w:style w:type="paragraph" w:customStyle="1" w:styleId="Figure">
    <w:name w:val="Figure"/>
    <w:basedOn w:val="10"/>
    <w:rsid w:val="00613C0F"/>
    <w:pPr>
      <w:spacing w:line="264" w:lineRule="auto"/>
      <w:ind w:left="0" w:firstLine="0"/>
      <w:jc w:val="center"/>
    </w:pPr>
    <w:rPr>
      <w:sz w:val="22"/>
    </w:rPr>
  </w:style>
  <w:style w:type="paragraph" w:styleId="10">
    <w:name w:val="index 1"/>
    <w:basedOn w:val="a0"/>
    <w:next w:val="a0"/>
    <w:autoRedefine/>
    <w:semiHidden/>
    <w:rsid w:val="00613C0F"/>
    <w:pPr>
      <w:ind w:left="425" w:hanging="425"/>
    </w:pPr>
  </w:style>
  <w:style w:type="paragraph" w:styleId="ab">
    <w:name w:val="table of figures"/>
    <w:basedOn w:val="a0"/>
    <w:next w:val="a0"/>
    <w:autoRedefine/>
    <w:semiHidden/>
    <w:rsid w:val="00AA7195"/>
    <w:pPr>
      <w:tabs>
        <w:tab w:val="right" w:leader="dot" w:pos="7800"/>
      </w:tabs>
      <w:ind w:left="1000" w:hanging="1000"/>
      <w:jc w:val="left"/>
    </w:pPr>
    <w:rPr>
      <w:rFonts w:eastAsia="Times New Roman"/>
      <w:sz w:val="24"/>
      <w:szCs w:val="22"/>
    </w:rPr>
  </w:style>
  <w:style w:type="character" w:styleId="ac">
    <w:name w:val="footnote reference"/>
    <w:aliases w:val="Appel note de bas de p"/>
    <w:uiPriority w:val="99"/>
    <w:semiHidden/>
    <w:rsid w:val="00613C0F"/>
    <w:rPr>
      <w:vertAlign w:val="superscript"/>
    </w:rPr>
  </w:style>
  <w:style w:type="paragraph" w:styleId="ad">
    <w:name w:val="footnote text"/>
    <w:aliases w:val="footnote text,ALTS FOOTNOTE"/>
    <w:basedOn w:val="a0"/>
    <w:link w:val="Char0"/>
    <w:uiPriority w:val="99"/>
    <w:semiHidden/>
    <w:rsid w:val="00613C0F"/>
    <w:pPr>
      <w:snapToGrid w:val="0"/>
      <w:jc w:val="left"/>
    </w:pPr>
  </w:style>
  <w:style w:type="paragraph" w:styleId="12">
    <w:name w:val="toc 1"/>
    <w:basedOn w:val="22"/>
    <w:next w:val="a0"/>
    <w:autoRedefine/>
    <w:semiHidden/>
    <w:rsid w:val="006D1996"/>
    <w:pPr>
      <w:tabs>
        <w:tab w:val="left" w:pos="400"/>
      </w:tabs>
      <w:spacing w:before="120"/>
      <w:ind w:leftChars="0" w:left="0" w:firstLineChars="0" w:firstLine="0"/>
      <w:jc w:val="both"/>
    </w:pPr>
    <w:rPr>
      <w:b/>
      <w:bCs/>
      <w:iCs/>
    </w:rPr>
  </w:style>
  <w:style w:type="paragraph" w:styleId="22">
    <w:name w:val="toc 2"/>
    <w:basedOn w:val="a0"/>
    <w:next w:val="a0"/>
    <w:autoRedefine/>
    <w:semiHidden/>
    <w:rsid w:val="006D1996"/>
    <w:pPr>
      <w:tabs>
        <w:tab w:val="left" w:pos="800"/>
        <w:tab w:val="right" w:leader="dot" w:pos="7800"/>
      </w:tabs>
      <w:ind w:leftChars="200" w:left="798" w:hangingChars="166" w:hanging="398"/>
      <w:jc w:val="left"/>
    </w:pPr>
    <w:rPr>
      <w:sz w:val="24"/>
    </w:rPr>
  </w:style>
  <w:style w:type="paragraph" w:styleId="31">
    <w:name w:val="toc 3"/>
    <w:basedOn w:val="a0"/>
    <w:next w:val="a0"/>
    <w:autoRedefine/>
    <w:semiHidden/>
    <w:rsid w:val="006D1996"/>
    <w:pPr>
      <w:tabs>
        <w:tab w:val="left" w:pos="1358"/>
        <w:tab w:val="right" w:leader="dot" w:pos="7800"/>
      </w:tabs>
      <w:ind w:left="400" w:firstLineChars="181" w:firstLine="398"/>
      <w:jc w:val="left"/>
    </w:pPr>
    <w:rPr>
      <w:iCs/>
      <w:sz w:val="22"/>
    </w:rPr>
  </w:style>
  <w:style w:type="paragraph" w:styleId="40">
    <w:name w:val="toc 4"/>
    <w:basedOn w:val="a0"/>
    <w:next w:val="a0"/>
    <w:autoRedefine/>
    <w:semiHidden/>
    <w:rsid w:val="00613C0F"/>
    <w:pPr>
      <w:ind w:left="600"/>
      <w:jc w:val="left"/>
    </w:pPr>
    <w:rPr>
      <w:sz w:val="18"/>
      <w:szCs w:val="18"/>
    </w:rPr>
  </w:style>
  <w:style w:type="paragraph" w:styleId="50">
    <w:name w:val="toc 5"/>
    <w:basedOn w:val="a0"/>
    <w:next w:val="a0"/>
    <w:autoRedefine/>
    <w:semiHidden/>
    <w:rsid w:val="00613C0F"/>
    <w:pPr>
      <w:ind w:left="800"/>
      <w:jc w:val="left"/>
    </w:pPr>
    <w:rPr>
      <w:sz w:val="18"/>
      <w:szCs w:val="18"/>
    </w:rPr>
  </w:style>
  <w:style w:type="paragraph" w:styleId="60">
    <w:name w:val="toc 6"/>
    <w:basedOn w:val="a0"/>
    <w:next w:val="a0"/>
    <w:autoRedefine/>
    <w:semiHidden/>
    <w:rsid w:val="00613C0F"/>
    <w:pPr>
      <w:ind w:left="1000"/>
      <w:jc w:val="left"/>
    </w:pPr>
    <w:rPr>
      <w:sz w:val="18"/>
      <w:szCs w:val="18"/>
    </w:rPr>
  </w:style>
  <w:style w:type="paragraph" w:styleId="70">
    <w:name w:val="toc 7"/>
    <w:basedOn w:val="a0"/>
    <w:next w:val="a0"/>
    <w:autoRedefine/>
    <w:semiHidden/>
    <w:rsid w:val="00613C0F"/>
    <w:pPr>
      <w:ind w:left="1200"/>
      <w:jc w:val="left"/>
    </w:pPr>
    <w:rPr>
      <w:sz w:val="18"/>
      <w:szCs w:val="18"/>
    </w:rPr>
  </w:style>
  <w:style w:type="paragraph" w:styleId="80">
    <w:name w:val="toc 8"/>
    <w:basedOn w:val="a0"/>
    <w:next w:val="a0"/>
    <w:autoRedefine/>
    <w:semiHidden/>
    <w:rsid w:val="00613C0F"/>
    <w:pPr>
      <w:ind w:left="1400"/>
      <w:jc w:val="left"/>
    </w:pPr>
    <w:rPr>
      <w:sz w:val="18"/>
      <w:szCs w:val="18"/>
    </w:rPr>
  </w:style>
  <w:style w:type="paragraph" w:styleId="90">
    <w:name w:val="toc 9"/>
    <w:basedOn w:val="a0"/>
    <w:next w:val="a0"/>
    <w:autoRedefine/>
    <w:semiHidden/>
    <w:rsid w:val="00613C0F"/>
    <w:pPr>
      <w:ind w:left="1600"/>
      <w:jc w:val="left"/>
    </w:pPr>
    <w:rPr>
      <w:sz w:val="18"/>
      <w:szCs w:val="18"/>
    </w:rPr>
  </w:style>
  <w:style w:type="paragraph" w:customStyle="1" w:styleId="ae">
    <w:name w:val="논문초록"/>
    <w:basedOn w:val="a0"/>
    <w:rsid w:val="00613C0F"/>
    <w:pPr>
      <w:kinsoku w:val="0"/>
      <w:overflowPunct w:val="0"/>
      <w:autoSpaceDE w:val="0"/>
      <w:autoSpaceDN w:val="0"/>
      <w:adjustRightInd w:val="0"/>
      <w:ind w:left="45" w:right="227"/>
      <w:jc w:val="left"/>
    </w:pPr>
    <w:rPr>
      <w:rFonts w:ascii="견명조" w:eastAsia="견명조" w:hAnsi="Arial Narrow"/>
      <w:kern w:val="0"/>
      <w:sz w:val="28"/>
    </w:rPr>
  </w:style>
  <w:style w:type="paragraph" w:customStyle="1" w:styleId="11">
    <w:name w:val="스타일 제목 11 + 가운데"/>
    <w:basedOn w:val="1"/>
    <w:autoRedefine/>
    <w:rsid w:val="00985C31"/>
    <w:pPr>
      <w:keepNext w:val="0"/>
      <w:pageBreakBefore/>
      <w:numPr>
        <w:numId w:val="1"/>
      </w:numPr>
      <w:spacing w:afterLines="250"/>
      <w:jc w:val="center"/>
    </w:pPr>
    <w:rPr>
      <w:rFonts w:cs="바탕"/>
      <w:bCs/>
    </w:rPr>
  </w:style>
  <w:style w:type="character" w:styleId="af">
    <w:name w:val="Hyperlink"/>
    <w:rsid w:val="000A3D9B"/>
    <w:rPr>
      <w:color w:val="0000FF"/>
      <w:u w:val="single"/>
    </w:rPr>
  </w:style>
  <w:style w:type="table" w:styleId="af0">
    <w:name w:val="Table Grid"/>
    <w:basedOn w:val="a2"/>
    <w:uiPriority w:val="59"/>
    <w:rsid w:val="009511D8"/>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스타일1"/>
    <w:basedOn w:val="22"/>
    <w:autoRedefine/>
    <w:rsid w:val="00FF0263"/>
    <w:rPr>
      <w:noProof/>
    </w:rPr>
  </w:style>
  <w:style w:type="paragraph" w:customStyle="1" w:styleId="111">
    <w:name w:val="스타일 제목 11 + 가운데1"/>
    <w:basedOn w:val="1"/>
    <w:autoRedefine/>
    <w:rsid w:val="00BE2340"/>
    <w:pPr>
      <w:keepNext w:val="0"/>
      <w:pageBreakBefore/>
      <w:tabs>
        <w:tab w:val="left" w:pos="600"/>
      </w:tabs>
      <w:spacing w:after="240"/>
      <w:ind w:left="525" w:hangingChars="191" w:hanging="525"/>
      <w:jc w:val="center"/>
    </w:pPr>
    <w:rPr>
      <w:rFonts w:eastAsia="바탕"/>
      <w:bCs/>
      <w:szCs w:val="28"/>
    </w:rPr>
  </w:style>
  <w:style w:type="paragraph" w:customStyle="1" w:styleId="10cm181">
    <w:name w:val="스타일 목차 1 + 왼쪽:  0 cm 내어쓰기:  1.81 글자"/>
    <w:basedOn w:val="12"/>
    <w:autoRedefine/>
    <w:rsid w:val="002C616D"/>
    <w:pPr>
      <w:ind w:left="391" w:hanging="391"/>
    </w:pPr>
    <w:rPr>
      <w:rFonts w:ascii="바탕" w:eastAsia="바탕" w:cs="바탕"/>
      <w:bCs w:val="0"/>
      <w:szCs w:val="22"/>
    </w:rPr>
  </w:style>
  <w:style w:type="paragraph" w:customStyle="1" w:styleId="10cm1811">
    <w:name w:val="스타일 목차 1 + 왼쪽:  0 cm 내어쓰기:  1.81 글자1"/>
    <w:basedOn w:val="12"/>
    <w:autoRedefine/>
    <w:rsid w:val="00FC3125"/>
    <w:pPr>
      <w:ind w:left="391" w:hanging="391"/>
    </w:pPr>
    <w:rPr>
      <w:rFonts w:cs="바탕"/>
      <w:bCs w:val="0"/>
    </w:rPr>
  </w:style>
  <w:style w:type="paragraph" w:customStyle="1" w:styleId="references0">
    <w:name w:val="references"/>
    <w:rsid w:val="008640DD"/>
    <w:pPr>
      <w:numPr>
        <w:numId w:val="2"/>
      </w:numPr>
      <w:autoSpaceDE w:val="0"/>
      <w:autoSpaceDN w:val="0"/>
      <w:spacing w:after="50" w:line="180" w:lineRule="exact"/>
      <w:jc w:val="both"/>
    </w:pPr>
    <w:rPr>
      <w:rFonts w:eastAsia="바탕"/>
      <w:noProof/>
      <w:sz w:val="16"/>
      <w:szCs w:val="16"/>
    </w:rPr>
  </w:style>
  <w:style w:type="paragraph" w:customStyle="1" w:styleId="0cm966">
    <w:name w:val="스타일 그림 목차 + 왼쪽:  0 cm 내어쓰기:  9.66 글자"/>
    <w:basedOn w:val="ab"/>
    <w:rsid w:val="00E55A7C"/>
    <w:pPr>
      <w:ind w:left="966" w:hanging="966"/>
    </w:pPr>
    <w:rPr>
      <w:rFonts w:ascii="바탕" w:eastAsia="바탕" w:cs="바탕"/>
    </w:rPr>
  </w:style>
  <w:style w:type="paragraph" w:customStyle="1" w:styleId="0cm9661">
    <w:name w:val="스타일 그림 목차 + 왼쪽:  0 cm 내어쓰기:  9.66 글자1"/>
    <w:basedOn w:val="ab"/>
    <w:autoRedefine/>
    <w:rsid w:val="00E55A7C"/>
    <w:pPr>
      <w:ind w:left="966" w:hanging="966"/>
    </w:pPr>
    <w:rPr>
      <w:rFonts w:ascii="바탕" w:eastAsia="바탕" w:cs="바탕"/>
    </w:rPr>
  </w:style>
  <w:style w:type="paragraph" w:customStyle="1" w:styleId="23">
    <w:name w:val="스타일2"/>
    <w:basedOn w:val="0cm9661"/>
    <w:rsid w:val="00E55A7C"/>
    <w:rPr>
      <w:noProof/>
    </w:rPr>
  </w:style>
  <w:style w:type="paragraph" w:customStyle="1" w:styleId="24">
    <w:name w:val="스타일 제목 2 + 바탕"/>
    <w:basedOn w:val="2"/>
    <w:autoRedefine/>
    <w:rsid w:val="00A840A0"/>
    <w:pPr>
      <w:tabs>
        <w:tab w:val="clear" w:pos="500"/>
        <w:tab w:val="left" w:pos="600"/>
      </w:tabs>
      <w:spacing w:afterLines="0" w:line="240" w:lineRule="auto"/>
    </w:pPr>
    <w:rPr>
      <w:rFonts w:eastAsia="바탕"/>
      <w:bCs/>
      <w:szCs w:val="28"/>
    </w:rPr>
  </w:style>
  <w:style w:type="paragraph" w:customStyle="1" w:styleId="32">
    <w:name w:val="스타일 제목 3 + 바탕"/>
    <w:basedOn w:val="3"/>
    <w:autoRedefine/>
    <w:rsid w:val="004C77F5"/>
    <w:pPr>
      <w:tabs>
        <w:tab w:val="clear" w:pos="700"/>
        <w:tab w:val="left" w:pos="800"/>
      </w:tabs>
      <w:spacing w:afterLines="0"/>
    </w:pPr>
    <w:rPr>
      <w:rFonts w:eastAsia="바탕"/>
      <w:bCs/>
      <w:sz w:val="24"/>
    </w:rPr>
  </w:style>
  <w:style w:type="paragraph" w:customStyle="1" w:styleId="10cm1812">
    <w:name w:val="스타일 목차 1 + 왼쪽:  0 cm 내어쓰기:  1.81 글자2"/>
    <w:basedOn w:val="12"/>
    <w:autoRedefine/>
    <w:rsid w:val="000C71D7"/>
    <w:pPr>
      <w:ind w:left="391" w:hanging="391"/>
    </w:pPr>
    <w:rPr>
      <w:rFonts w:eastAsia="Times New Roman" w:cs="바탕"/>
      <w:bCs w:val="0"/>
    </w:rPr>
  </w:style>
  <w:style w:type="paragraph" w:customStyle="1" w:styleId="10cm1813">
    <w:name w:val="스타일 목차 1 + 왼쪽:  0 cm 내어쓰기:  1.81 글자3"/>
    <w:basedOn w:val="12"/>
    <w:autoRedefine/>
    <w:rsid w:val="00614104"/>
    <w:pPr>
      <w:tabs>
        <w:tab w:val="clear" w:pos="800"/>
      </w:tabs>
      <w:ind w:left="1"/>
    </w:pPr>
    <w:rPr>
      <w:rFonts w:cs="바탕"/>
      <w:bCs w:val="0"/>
    </w:rPr>
  </w:style>
  <w:style w:type="paragraph" w:customStyle="1" w:styleId="xl33">
    <w:name w:val="xl33"/>
    <w:basedOn w:val="a0"/>
    <w:rsid w:val="00C83F1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cs="돋움"/>
      <w:kern w:val="0"/>
      <w:sz w:val="18"/>
      <w:szCs w:val="18"/>
    </w:rPr>
  </w:style>
  <w:style w:type="paragraph" w:customStyle="1" w:styleId="a">
    <w:name w:val="참고문헌"/>
    <w:basedOn w:val="a0"/>
    <w:rsid w:val="00E83F44"/>
    <w:pPr>
      <w:numPr>
        <w:numId w:val="3"/>
      </w:numPr>
      <w:wordWrap/>
      <w:autoSpaceDE w:val="0"/>
      <w:autoSpaceDN w:val="0"/>
      <w:adjustRightInd w:val="0"/>
      <w:spacing w:line="360" w:lineRule="atLeast"/>
      <w:textAlignment w:val="baseline"/>
    </w:pPr>
    <w:rPr>
      <w:rFonts w:ascii="굴림" w:eastAsia="굴림" w:hAnsi="Arial" w:cs="굴림"/>
      <w:kern w:val="0"/>
    </w:rPr>
  </w:style>
  <w:style w:type="paragraph" w:customStyle="1" w:styleId="211">
    <w:name w:val="스타일 스타일 제목 2 + 바탕 + 앞: 1 줄 단락 뒤: 1 줄"/>
    <w:basedOn w:val="24"/>
    <w:autoRedefine/>
    <w:rsid w:val="00962A66"/>
    <w:pPr>
      <w:spacing w:before="408"/>
      <w:ind w:left="599" w:hangingChars="218" w:hanging="599"/>
    </w:pPr>
    <w:rPr>
      <w:rFonts w:cs="바탕"/>
    </w:rPr>
  </w:style>
  <w:style w:type="paragraph" w:customStyle="1" w:styleId="3105">
    <w:name w:val="스타일 스타일 제목 3 + 바탕 + 앞: 1 줄 단락 뒤: 0.5 줄"/>
    <w:basedOn w:val="32"/>
    <w:autoRedefine/>
    <w:rsid w:val="007B7966"/>
    <w:pPr>
      <w:tabs>
        <w:tab w:val="left" w:pos="500"/>
      </w:tabs>
      <w:spacing w:before="355" w:after="48"/>
      <w:ind w:left="497" w:hangingChars="211" w:hanging="497"/>
    </w:pPr>
    <w:rPr>
      <w:rFonts w:cs="바탕"/>
    </w:rPr>
  </w:style>
  <w:style w:type="paragraph" w:customStyle="1" w:styleId="41">
    <w:name w:val="스타일 제목 4 + (한글) 바탕"/>
    <w:basedOn w:val="4"/>
    <w:autoRedefine/>
    <w:rsid w:val="004F5F56"/>
    <w:pPr>
      <w:tabs>
        <w:tab w:val="clear" w:pos="800"/>
        <w:tab w:val="left" w:pos="1100"/>
      </w:tabs>
      <w:spacing w:before="240"/>
      <w:jc w:val="center"/>
    </w:pPr>
    <w:rPr>
      <w:rFonts w:eastAsia="바탕"/>
      <w:bCs/>
      <w:sz w:val="24"/>
      <w:szCs w:val="24"/>
    </w:rPr>
  </w:style>
  <w:style w:type="paragraph" w:customStyle="1" w:styleId="Text0">
    <w:name w:val="Text"/>
    <w:basedOn w:val="a0"/>
    <w:rsid w:val="00CF0552"/>
    <w:pPr>
      <w:wordWrap/>
      <w:spacing w:line="252" w:lineRule="auto"/>
      <w:ind w:firstLine="202"/>
    </w:pPr>
    <w:rPr>
      <w:rFonts w:eastAsia="바탕"/>
      <w:kern w:val="0"/>
      <w:lang w:eastAsia="en-US"/>
    </w:rPr>
  </w:style>
  <w:style w:type="paragraph" w:customStyle="1" w:styleId="References">
    <w:name w:val="References"/>
    <w:basedOn w:val="a0"/>
    <w:rsid w:val="00592145"/>
    <w:pPr>
      <w:widowControl/>
      <w:numPr>
        <w:numId w:val="4"/>
      </w:numPr>
      <w:wordWrap/>
    </w:pPr>
    <w:rPr>
      <w:rFonts w:eastAsia="바탕"/>
      <w:kern w:val="0"/>
      <w:sz w:val="16"/>
      <w:lang w:eastAsia="en-US"/>
    </w:rPr>
  </w:style>
  <w:style w:type="paragraph" w:customStyle="1" w:styleId="2041">
    <w:name w:val="스타일 목차 2 + 첫 줄:  0.41 글자"/>
    <w:basedOn w:val="22"/>
    <w:autoRedefine/>
    <w:rsid w:val="008A781A"/>
    <w:pPr>
      <w:ind w:left="198" w:firstLineChars="41" w:firstLine="41"/>
    </w:pPr>
    <w:rPr>
      <w:rFonts w:cs="바탕"/>
    </w:rPr>
  </w:style>
  <w:style w:type="paragraph" w:styleId="af1">
    <w:name w:val="Document Map"/>
    <w:basedOn w:val="a0"/>
    <w:semiHidden/>
    <w:rsid w:val="00721701"/>
    <w:pPr>
      <w:shd w:val="clear" w:color="auto" w:fill="000080"/>
    </w:pPr>
    <w:rPr>
      <w:rFonts w:ascii="Arial" w:eastAsia="돋움" w:hAnsi="Arial"/>
    </w:rPr>
  </w:style>
  <w:style w:type="table" w:styleId="af2">
    <w:name w:val="Table Theme"/>
    <w:basedOn w:val="a2"/>
    <w:rsid w:val="001244A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Title"/>
    <w:aliases w:val="표내용"/>
    <w:basedOn w:val="a0"/>
    <w:next w:val="a0"/>
    <w:qFormat/>
    <w:rsid w:val="0085429C"/>
    <w:pPr>
      <w:snapToGrid w:val="0"/>
    </w:pPr>
    <w:rPr>
      <w:rFonts w:eastAsia="맑은 고딕"/>
      <w:sz w:val="22"/>
      <w:szCs w:val="24"/>
      <w:lang w:eastAsia="zh-CN"/>
    </w:rPr>
  </w:style>
  <w:style w:type="paragraph" w:customStyle="1" w:styleId="14">
    <w:name w:val="타이틀1"/>
    <w:basedOn w:val="a0"/>
    <w:autoRedefine/>
    <w:rsid w:val="00034168"/>
    <w:pPr>
      <w:autoSpaceDE w:val="0"/>
      <w:autoSpaceDN w:val="0"/>
      <w:adjustRightInd w:val="0"/>
      <w:snapToGrid w:val="0"/>
      <w:jc w:val="center"/>
    </w:pPr>
    <w:rPr>
      <w:rFonts w:eastAsia="굴림"/>
      <w:b/>
    </w:rPr>
  </w:style>
  <w:style w:type="paragraph" w:customStyle="1" w:styleId="00">
    <w:name w:val="타이틀00"/>
    <w:basedOn w:val="1"/>
    <w:rsid w:val="00034168"/>
    <w:pPr>
      <w:autoSpaceDE w:val="0"/>
      <w:autoSpaceDN w:val="0"/>
      <w:adjustRightInd w:val="0"/>
      <w:snapToGrid w:val="0"/>
    </w:pPr>
    <w:rPr>
      <w:rFonts w:eastAsia="Times New Roman"/>
      <w:sz w:val="32"/>
      <w:szCs w:val="28"/>
    </w:rPr>
  </w:style>
  <w:style w:type="paragraph" w:customStyle="1" w:styleId="FigureCaption">
    <w:name w:val="Figure Caption"/>
    <w:basedOn w:val="a0"/>
    <w:rsid w:val="00784C3E"/>
    <w:pPr>
      <w:widowControl/>
      <w:wordWrap/>
    </w:pPr>
    <w:rPr>
      <w:rFonts w:eastAsia="바탕"/>
      <w:kern w:val="0"/>
      <w:sz w:val="16"/>
      <w:lang w:eastAsia="en-US"/>
    </w:rPr>
  </w:style>
  <w:style w:type="table" w:styleId="af4">
    <w:name w:val="Table Professional"/>
    <w:basedOn w:val="a2"/>
    <w:rsid w:val="00784C3E"/>
    <w:pPr>
      <w:widowControl w:val="0"/>
      <w:wordWrap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af5">
    <w:name w:val="Normal (Web)"/>
    <w:basedOn w:val="a0"/>
    <w:uiPriority w:val="99"/>
    <w:rsid w:val="00872A67"/>
    <w:pPr>
      <w:widowControl/>
      <w:wordWrap/>
      <w:spacing w:before="100" w:beforeAutospacing="1" w:after="100" w:afterAutospacing="1"/>
      <w:jc w:val="left"/>
    </w:pPr>
    <w:rPr>
      <w:rFonts w:ascii="굴림" w:eastAsia="굴림" w:hAnsi="굴림" w:cs="굴림"/>
      <w:kern w:val="0"/>
      <w:sz w:val="24"/>
      <w:szCs w:val="24"/>
    </w:rPr>
  </w:style>
  <w:style w:type="table" w:styleId="15">
    <w:name w:val="Table Grid 1"/>
    <w:basedOn w:val="a2"/>
    <w:rsid w:val="00872A67"/>
    <w:pPr>
      <w:widowControl w:val="0"/>
      <w:wordWrap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customStyle="1" w:styleId="MTEquationSection">
    <w:name w:val="MTEquationSection"/>
    <w:rsid w:val="0057439B"/>
    <w:rPr>
      <w:vanish/>
      <w:color w:val="FF0000"/>
    </w:rPr>
  </w:style>
  <w:style w:type="paragraph" w:customStyle="1" w:styleId="MTDisplayEquation">
    <w:name w:val="MTDisplayEquation"/>
    <w:basedOn w:val="a0"/>
    <w:next w:val="a0"/>
    <w:autoRedefine/>
    <w:rsid w:val="001C528F"/>
    <w:pPr>
      <w:tabs>
        <w:tab w:val="left" w:pos="6000"/>
      </w:tabs>
      <w:jc w:val="center"/>
      <w:textAlignment w:val="center"/>
    </w:pPr>
    <w:rPr>
      <w:rFonts w:eastAsia="바탕"/>
      <w:sz w:val="22"/>
      <w:szCs w:val="22"/>
    </w:rPr>
  </w:style>
  <w:style w:type="character" w:styleId="af6">
    <w:name w:val="annotation reference"/>
    <w:semiHidden/>
    <w:rsid w:val="00052FBA"/>
    <w:rPr>
      <w:sz w:val="18"/>
      <w:szCs w:val="18"/>
    </w:rPr>
  </w:style>
  <w:style w:type="paragraph" w:styleId="af7">
    <w:name w:val="annotation subject"/>
    <w:basedOn w:val="a8"/>
    <w:next w:val="a8"/>
    <w:semiHidden/>
    <w:rsid w:val="00052FBA"/>
    <w:pPr>
      <w:widowControl w:val="0"/>
      <w:wordWrap w:val="0"/>
      <w:jc w:val="left"/>
    </w:pPr>
    <w:rPr>
      <w:rFonts w:ascii="Times New Roman" w:hAnsi="Times New Roman"/>
      <w:b/>
      <w:bCs/>
      <w:kern w:val="2"/>
      <w:lang w:eastAsia="ko-KR"/>
    </w:rPr>
  </w:style>
  <w:style w:type="paragraph" w:styleId="af8">
    <w:name w:val="Balloon Text"/>
    <w:basedOn w:val="a0"/>
    <w:semiHidden/>
    <w:rsid w:val="00052FBA"/>
    <w:rPr>
      <w:rFonts w:ascii="Arial" w:eastAsia="돋움" w:hAnsi="Arial"/>
      <w:sz w:val="18"/>
      <w:szCs w:val="18"/>
    </w:rPr>
  </w:style>
  <w:style w:type="paragraph" w:customStyle="1" w:styleId="footnote">
    <w:name w:val="footnote"/>
    <w:rsid w:val="000E0DFA"/>
    <w:pPr>
      <w:framePr w:hSpace="187" w:vSpace="187" w:wrap="notBeside" w:vAnchor="text" w:hAnchor="page" w:x="6121" w:y="577"/>
      <w:numPr>
        <w:numId w:val="5"/>
      </w:numPr>
      <w:autoSpaceDE w:val="0"/>
      <w:autoSpaceDN w:val="0"/>
      <w:spacing w:after="40"/>
    </w:pPr>
    <w:rPr>
      <w:rFonts w:eastAsia="바탕"/>
      <w:sz w:val="16"/>
      <w:szCs w:val="16"/>
    </w:rPr>
  </w:style>
  <w:style w:type="paragraph" w:customStyle="1" w:styleId="BasicTexts">
    <w:name w:val="Basic Texts"/>
    <w:basedOn w:val="a0"/>
    <w:rsid w:val="00204196"/>
    <w:pPr>
      <w:wordWrap/>
      <w:autoSpaceDE w:val="0"/>
      <w:autoSpaceDN w:val="0"/>
      <w:spacing w:line="260" w:lineRule="exact"/>
      <w:ind w:firstLine="170"/>
    </w:pPr>
    <w:rPr>
      <w:rFonts w:eastAsia="바탕"/>
      <w:w w:val="105"/>
    </w:rPr>
  </w:style>
  <w:style w:type="table" w:styleId="16">
    <w:name w:val="Table Classic 1"/>
    <w:aliases w:val="00논문표형"/>
    <w:basedOn w:val="a2"/>
    <w:rsid w:val="00A2233F"/>
    <w:pPr>
      <w:widowControl w:val="0"/>
      <w:wordWrap w:val="0"/>
      <w:jc w:val="both"/>
    </w:pPr>
    <w:rPr>
      <w:rFonts w:eastAsia="Times New Roman"/>
      <w:sz w:val="24"/>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af9">
    <w:name w:val="Strong"/>
    <w:uiPriority w:val="22"/>
    <w:qFormat/>
    <w:rsid w:val="00361B2F"/>
    <w:rPr>
      <w:b/>
      <w:bCs/>
    </w:rPr>
  </w:style>
  <w:style w:type="paragraph" w:customStyle="1" w:styleId="afa">
    <w:name w:val="소제목 무괄호 무목차"/>
    <w:basedOn w:val="a0"/>
    <w:rsid w:val="001B745D"/>
    <w:pPr>
      <w:spacing w:before="600" w:after="240" w:line="336" w:lineRule="auto"/>
      <w:jc w:val="center"/>
    </w:pPr>
    <w:rPr>
      <w:b/>
      <w:snapToGrid w:val="0"/>
      <w:kern w:val="0"/>
      <w:sz w:val="24"/>
    </w:rPr>
  </w:style>
  <w:style w:type="paragraph" w:styleId="afb">
    <w:name w:val="Date"/>
    <w:basedOn w:val="a0"/>
    <w:next w:val="a0"/>
    <w:rsid w:val="00720C88"/>
  </w:style>
  <w:style w:type="paragraph" w:customStyle="1" w:styleId="afc">
    <w:name w:val="바탕글"/>
    <w:basedOn w:val="a0"/>
    <w:rsid w:val="007C6CF5"/>
    <w:pPr>
      <w:widowControl/>
      <w:wordWrap/>
      <w:snapToGrid w:val="0"/>
      <w:spacing w:line="384" w:lineRule="auto"/>
    </w:pPr>
    <w:rPr>
      <w:rFonts w:ascii="바탕" w:eastAsia="바탕" w:hAnsi="바탕" w:cs="굴림"/>
      <w:color w:val="000000"/>
      <w:kern w:val="0"/>
    </w:rPr>
  </w:style>
  <w:style w:type="paragraph" w:customStyle="1" w:styleId="Title1">
    <w:name w:val="Title1"/>
    <w:basedOn w:val="a0"/>
    <w:rsid w:val="007C6CF5"/>
    <w:pPr>
      <w:widowControl/>
      <w:wordWrap/>
      <w:snapToGrid w:val="0"/>
      <w:spacing w:line="384" w:lineRule="auto"/>
      <w:jc w:val="center"/>
    </w:pPr>
    <w:rPr>
      <w:rFonts w:ascii="휴먼고딕" w:eastAsia="휴먼고딕" w:cs="굴림"/>
      <w:color w:val="000000"/>
      <w:kern w:val="0"/>
      <w:sz w:val="42"/>
      <w:szCs w:val="42"/>
    </w:rPr>
  </w:style>
  <w:style w:type="paragraph" w:customStyle="1" w:styleId="body0">
    <w:name w:val="body"/>
    <w:basedOn w:val="a0"/>
    <w:rsid w:val="002D6A4D"/>
    <w:pPr>
      <w:widowControl/>
      <w:wordWrap/>
      <w:spacing w:before="100" w:beforeAutospacing="1" w:after="100" w:afterAutospacing="1"/>
      <w:jc w:val="left"/>
    </w:pPr>
    <w:rPr>
      <w:rFonts w:ascii="굴림" w:eastAsia="굴림" w:hAnsi="굴림" w:cs="굴림"/>
      <w:kern w:val="0"/>
      <w:sz w:val="24"/>
      <w:szCs w:val="24"/>
    </w:rPr>
  </w:style>
  <w:style w:type="paragraph" w:customStyle="1" w:styleId="toc">
    <w:name w:val="toc"/>
    <w:basedOn w:val="a0"/>
    <w:rsid w:val="00B4758B"/>
    <w:pPr>
      <w:widowControl/>
      <w:wordWrap/>
      <w:spacing w:before="100" w:beforeAutospacing="1" w:after="100" w:afterAutospacing="1"/>
      <w:jc w:val="left"/>
    </w:pPr>
    <w:rPr>
      <w:rFonts w:ascii="굴림" w:eastAsia="굴림" w:hAnsi="굴림" w:cs="굴림"/>
      <w:kern w:val="0"/>
      <w:sz w:val="24"/>
      <w:szCs w:val="24"/>
    </w:rPr>
  </w:style>
  <w:style w:type="paragraph" w:styleId="afd">
    <w:name w:val="endnote text"/>
    <w:basedOn w:val="a0"/>
    <w:link w:val="Char1"/>
    <w:rsid w:val="007F3387"/>
    <w:pPr>
      <w:snapToGrid w:val="0"/>
      <w:jc w:val="left"/>
    </w:pPr>
  </w:style>
  <w:style w:type="character" w:customStyle="1" w:styleId="Char1">
    <w:name w:val="미주 텍스트 Char"/>
    <w:link w:val="afd"/>
    <w:rsid w:val="007F3387"/>
    <w:rPr>
      <w:kern w:val="2"/>
    </w:rPr>
  </w:style>
  <w:style w:type="character" w:styleId="afe">
    <w:name w:val="endnote reference"/>
    <w:rsid w:val="007F3387"/>
    <w:rPr>
      <w:vertAlign w:val="superscript"/>
    </w:rPr>
  </w:style>
  <w:style w:type="paragraph" w:customStyle="1" w:styleId="aff">
    <w:name w:val="각주"/>
    <w:basedOn w:val="a0"/>
    <w:rsid w:val="00082EA6"/>
    <w:pPr>
      <w:widowControl/>
      <w:wordWrap/>
      <w:snapToGrid w:val="0"/>
      <w:spacing w:line="312" w:lineRule="auto"/>
    </w:pPr>
    <w:rPr>
      <w:rFonts w:ascii="휴먼고딕" w:eastAsia="휴먼고딕" w:hAnsi="HCI Hollyhock" w:cs="굴림"/>
      <w:color w:val="000000"/>
      <w:kern w:val="0"/>
    </w:rPr>
  </w:style>
  <w:style w:type="character" w:customStyle="1" w:styleId="Char">
    <w:name w:val="바닥글 Char"/>
    <w:link w:val="a9"/>
    <w:uiPriority w:val="99"/>
    <w:rsid w:val="00025051"/>
    <w:rPr>
      <w:kern w:val="2"/>
    </w:rPr>
  </w:style>
  <w:style w:type="character" w:styleId="aff0">
    <w:name w:val="Placeholder Text"/>
    <w:basedOn w:val="a1"/>
    <w:uiPriority w:val="99"/>
    <w:semiHidden/>
    <w:rsid w:val="00132178"/>
    <w:rPr>
      <w:color w:val="808080"/>
    </w:rPr>
  </w:style>
  <w:style w:type="paragraph" w:styleId="aff1">
    <w:name w:val="List Paragraph"/>
    <w:basedOn w:val="a0"/>
    <w:uiPriority w:val="34"/>
    <w:qFormat/>
    <w:rsid w:val="00132178"/>
    <w:pPr>
      <w:autoSpaceDE w:val="0"/>
      <w:autoSpaceDN w:val="0"/>
      <w:spacing w:after="200" w:line="276" w:lineRule="auto"/>
      <w:ind w:leftChars="400" w:left="800"/>
    </w:pPr>
    <w:rPr>
      <w:rFonts w:ascii="맑은 고딕" w:eastAsia="맑은 고딕" w:hAnsi="맑은 고딕"/>
      <w:szCs w:val="22"/>
    </w:rPr>
  </w:style>
  <w:style w:type="table" w:styleId="33">
    <w:name w:val="Table List 3"/>
    <w:basedOn w:val="a2"/>
    <w:rsid w:val="00DE4D25"/>
    <w:pPr>
      <w:widowControl w:val="0"/>
      <w:wordWrap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25">
    <w:name w:val="Table Simple 2"/>
    <w:basedOn w:val="a2"/>
    <w:rsid w:val="006974E4"/>
    <w:pPr>
      <w:widowControl w:val="0"/>
      <w:wordWrap w:val="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Char0">
    <w:name w:val="각주 텍스트 Char"/>
    <w:aliases w:val="footnote text Char,ALTS FOOTNOTE Char"/>
    <w:basedOn w:val="a1"/>
    <w:link w:val="ad"/>
    <w:uiPriority w:val="99"/>
    <w:semiHidden/>
    <w:rsid w:val="006974E4"/>
    <w:rPr>
      <w:kern w:val="2"/>
    </w:rPr>
  </w:style>
  <w:style w:type="character" w:styleId="aff2">
    <w:name w:val="line number"/>
    <w:basedOn w:val="a1"/>
    <w:semiHidden/>
    <w:unhideWhenUsed/>
    <w:rsid w:val="00CC0DBA"/>
  </w:style>
  <w:style w:type="character" w:customStyle="1" w:styleId="katex">
    <w:name w:val="katex"/>
    <w:basedOn w:val="a1"/>
    <w:rsid w:val="0020476B"/>
  </w:style>
  <w:style w:type="paragraph" w:styleId="aff3">
    <w:name w:val="Subtitle"/>
    <w:aliases w:val="본문글"/>
    <w:basedOn w:val="a0"/>
    <w:next w:val="a0"/>
    <w:link w:val="Char2"/>
    <w:qFormat/>
    <w:rsid w:val="00DA3856"/>
    <w:pPr>
      <w:spacing w:before="240"/>
    </w:pPr>
    <w:rPr>
      <w:sz w:val="22"/>
    </w:rPr>
  </w:style>
  <w:style w:type="character" w:customStyle="1" w:styleId="Char2">
    <w:name w:val="부제 Char"/>
    <w:aliases w:val="본문글 Char"/>
    <w:basedOn w:val="a1"/>
    <w:link w:val="aff3"/>
    <w:rsid w:val="00DA3856"/>
    <w:rPr>
      <w:kern w:val="2"/>
      <w:sz w:val="22"/>
    </w:rPr>
  </w:style>
  <w:style w:type="character" w:styleId="aff4">
    <w:name w:val="Emphasis"/>
    <w:basedOn w:val="a1"/>
    <w:uiPriority w:val="20"/>
    <w:qFormat/>
    <w:rsid w:val="004E04F6"/>
    <w:rPr>
      <w:i/>
      <w:iCs/>
    </w:rPr>
  </w:style>
  <w:style w:type="paragraph" w:customStyle="1" w:styleId="Compact">
    <w:name w:val="Compact"/>
    <w:basedOn w:val="a4"/>
    <w:qFormat/>
    <w:rsid w:val="00C803A2"/>
    <w:pPr>
      <w:widowControl/>
      <w:wordWrap/>
      <w:spacing w:after="0"/>
      <w:jc w:val="left"/>
    </w:pPr>
    <w:rPr>
      <w:rFonts w:eastAsia="맑은 고딕"/>
      <w:kern w:val="0"/>
      <w:sz w:val="24"/>
      <w:szCs w:val="24"/>
      <w:lang w:eastAsia="zh-CN"/>
    </w:rPr>
  </w:style>
  <w:style w:type="table" w:customStyle="1" w:styleId="Table0">
    <w:name w:val="Table"/>
    <w:semiHidden/>
    <w:unhideWhenUsed/>
    <w:qFormat/>
    <w:rsid w:val="00C803A2"/>
    <w:rPr>
      <w:rFonts w:eastAsia="맑은 고딕"/>
      <w:sz w:val="24"/>
      <w:szCs w:val="24"/>
      <w:lang w:eastAsia="zh-CN"/>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a1"/>
    <w:link w:val="SourceCode"/>
    <w:rsid w:val="00C803A2"/>
    <w:rPr>
      <w:rFonts w:ascii="Consolas" w:hAnsi="Consolas"/>
      <w:sz w:val="22"/>
    </w:rPr>
  </w:style>
  <w:style w:type="paragraph" w:customStyle="1" w:styleId="SourceCode">
    <w:name w:val="Source Code"/>
    <w:basedOn w:val="a0"/>
    <w:link w:val="VerbatimChar"/>
    <w:rsid w:val="00C803A2"/>
    <w:pPr>
      <w:widowControl/>
      <w:spacing w:line="480" w:lineRule="auto"/>
      <w:jc w:val="left"/>
    </w:pPr>
    <w:rPr>
      <w:rFonts w:ascii="Consolas" w:hAnsi="Consolas"/>
      <w:kern w:val="0"/>
      <w:sz w:val="22"/>
    </w:rPr>
  </w:style>
  <w:style w:type="paragraph" w:customStyle="1" w:styleId="pdq2pgselectionanchorcontainer">
    <w:name w:val="pdq2pg_selectionanchorcontainer"/>
    <w:basedOn w:val="a0"/>
    <w:rsid w:val="007D488A"/>
    <w:pPr>
      <w:widowControl/>
      <w:wordWrap/>
      <w:spacing w:before="100" w:beforeAutospacing="1" w:after="100" w:afterAutospacing="1"/>
      <w:jc w:val="left"/>
    </w:pPr>
    <w:rPr>
      <w:rFonts w:ascii="굴림" w:eastAsia="굴림" w:hAnsi="굴림" w:cs="굴림"/>
      <w:kern w:val="0"/>
      <w:sz w:val="24"/>
      <w:szCs w:val="24"/>
    </w:rPr>
  </w:style>
  <w:style w:type="paragraph" w:customStyle="1" w:styleId="FirstParagraph">
    <w:name w:val="First Paragraph"/>
    <w:basedOn w:val="a4"/>
    <w:next w:val="a4"/>
    <w:qFormat/>
    <w:rsid w:val="00DA3856"/>
    <w:pPr>
      <w:widowControl/>
      <w:wordWrap/>
      <w:spacing w:before="180"/>
      <w:jc w:val="left"/>
    </w:pPr>
    <w:rPr>
      <w:rFonts w:asciiTheme="minorHAnsi" w:eastAsiaTheme="minorEastAsia" w:hAnsiTheme="minorHAnsi" w:cstheme="minorBidi"/>
      <w:kern w:val="0"/>
      <w:sz w:val="24"/>
      <w:szCs w:val="24"/>
      <w:lang w:eastAsia="zh-CN"/>
    </w:rPr>
  </w:style>
  <w:style w:type="paragraph" w:styleId="aff5">
    <w:name w:val="Block Text"/>
    <w:basedOn w:val="a4"/>
    <w:next w:val="a4"/>
    <w:uiPriority w:val="9"/>
    <w:unhideWhenUsed/>
    <w:qFormat/>
    <w:rsid w:val="00DA3856"/>
    <w:pPr>
      <w:widowControl/>
      <w:wordWrap/>
      <w:spacing w:before="100" w:after="100"/>
      <w:ind w:left="480" w:right="480"/>
      <w:jc w:val="left"/>
    </w:pPr>
    <w:rPr>
      <w:rFonts w:asciiTheme="minorHAnsi" w:eastAsiaTheme="minorEastAsia" w:hAnsiTheme="minorHAnsi" w:cstheme="minorBidi"/>
      <w:kern w:val="0"/>
      <w:sz w:val="24"/>
      <w:szCs w:val="24"/>
      <w:lang w:eastAsia="zh-CN"/>
    </w:rPr>
  </w:style>
  <w:style w:type="paragraph" w:customStyle="1" w:styleId="isselectedend">
    <w:name w:val="isselectedend"/>
    <w:basedOn w:val="a0"/>
    <w:rsid w:val="00C83D6F"/>
    <w:pPr>
      <w:widowControl/>
      <w:wordWrap/>
      <w:spacing w:before="100" w:beforeAutospacing="1" w:after="100" w:afterAutospacing="1"/>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5487">
      <w:bodyDiv w:val="1"/>
      <w:marLeft w:val="0"/>
      <w:marRight w:val="0"/>
      <w:marTop w:val="0"/>
      <w:marBottom w:val="0"/>
      <w:divBdr>
        <w:top w:val="none" w:sz="0" w:space="0" w:color="auto"/>
        <w:left w:val="none" w:sz="0" w:space="0" w:color="auto"/>
        <w:bottom w:val="none" w:sz="0" w:space="0" w:color="auto"/>
        <w:right w:val="none" w:sz="0" w:space="0" w:color="auto"/>
      </w:divBdr>
    </w:div>
    <w:div w:id="19406090">
      <w:bodyDiv w:val="1"/>
      <w:marLeft w:val="0"/>
      <w:marRight w:val="0"/>
      <w:marTop w:val="0"/>
      <w:marBottom w:val="0"/>
      <w:divBdr>
        <w:top w:val="none" w:sz="0" w:space="0" w:color="auto"/>
        <w:left w:val="none" w:sz="0" w:space="0" w:color="auto"/>
        <w:bottom w:val="none" w:sz="0" w:space="0" w:color="auto"/>
        <w:right w:val="none" w:sz="0" w:space="0" w:color="auto"/>
      </w:divBdr>
    </w:div>
    <w:div w:id="24838692">
      <w:bodyDiv w:val="1"/>
      <w:marLeft w:val="0"/>
      <w:marRight w:val="0"/>
      <w:marTop w:val="0"/>
      <w:marBottom w:val="0"/>
      <w:divBdr>
        <w:top w:val="none" w:sz="0" w:space="0" w:color="auto"/>
        <w:left w:val="none" w:sz="0" w:space="0" w:color="auto"/>
        <w:bottom w:val="none" w:sz="0" w:space="0" w:color="auto"/>
        <w:right w:val="none" w:sz="0" w:space="0" w:color="auto"/>
      </w:divBdr>
    </w:div>
    <w:div w:id="41293104">
      <w:bodyDiv w:val="1"/>
      <w:marLeft w:val="0"/>
      <w:marRight w:val="0"/>
      <w:marTop w:val="0"/>
      <w:marBottom w:val="0"/>
      <w:divBdr>
        <w:top w:val="none" w:sz="0" w:space="0" w:color="auto"/>
        <w:left w:val="none" w:sz="0" w:space="0" w:color="auto"/>
        <w:bottom w:val="none" w:sz="0" w:space="0" w:color="auto"/>
        <w:right w:val="none" w:sz="0" w:space="0" w:color="auto"/>
      </w:divBdr>
    </w:div>
    <w:div w:id="47611391">
      <w:bodyDiv w:val="1"/>
      <w:marLeft w:val="0"/>
      <w:marRight w:val="0"/>
      <w:marTop w:val="0"/>
      <w:marBottom w:val="0"/>
      <w:divBdr>
        <w:top w:val="none" w:sz="0" w:space="0" w:color="auto"/>
        <w:left w:val="none" w:sz="0" w:space="0" w:color="auto"/>
        <w:bottom w:val="none" w:sz="0" w:space="0" w:color="auto"/>
        <w:right w:val="none" w:sz="0" w:space="0" w:color="auto"/>
      </w:divBdr>
    </w:div>
    <w:div w:id="111946248">
      <w:bodyDiv w:val="1"/>
      <w:marLeft w:val="0"/>
      <w:marRight w:val="0"/>
      <w:marTop w:val="0"/>
      <w:marBottom w:val="0"/>
      <w:divBdr>
        <w:top w:val="none" w:sz="0" w:space="0" w:color="auto"/>
        <w:left w:val="none" w:sz="0" w:space="0" w:color="auto"/>
        <w:bottom w:val="none" w:sz="0" w:space="0" w:color="auto"/>
        <w:right w:val="none" w:sz="0" w:space="0" w:color="auto"/>
      </w:divBdr>
    </w:div>
    <w:div w:id="116685363">
      <w:bodyDiv w:val="1"/>
      <w:marLeft w:val="0"/>
      <w:marRight w:val="0"/>
      <w:marTop w:val="0"/>
      <w:marBottom w:val="0"/>
      <w:divBdr>
        <w:top w:val="none" w:sz="0" w:space="0" w:color="auto"/>
        <w:left w:val="none" w:sz="0" w:space="0" w:color="auto"/>
        <w:bottom w:val="none" w:sz="0" w:space="0" w:color="auto"/>
        <w:right w:val="none" w:sz="0" w:space="0" w:color="auto"/>
      </w:divBdr>
      <w:divsChild>
        <w:div w:id="1841965836">
          <w:marLeft w:val="0"/>
          <w:marRight w:val="0"/>
          <w:marTop w:val="0"/>
          <w:marBottom w:val="0"/>
          <w:divBdr>
            <w:top w:val="none" w:sz="0" w:space="0" w:color="auto"/>
            <w:left w:val="none" w:sz="0" w:space="0" w:color="auto"/>
            <w:bottom w:val="none" w:sz="0" w:space="0" w:color="auto"/>
            <w:right w:val="none" w:sz="0" w:space="0" w:color="auto"/>
          </w:divBdr>
        </w:div>
      </w:divsChild>
    </w:div>
    <w:div w:id="129636014">
      <w:bodyDiv w:val="1"/>
      <w:marLeft w:val="0"/>
      <w:marRight w:val="0"/>
      <w:marTop w:val="0"/>
      <w:marBottom w:val="0"/>
      <w:divBdr>
        <w:top w:val="none" w:sz="0" w:space="0" w:color="auto"/>
        <w:left w:val="none" w:sz="0" w:space="0" w:color="auto"/>
        <w:bottom w:val="none" w:sz="0" w:space="0" w:color="auto"/>
        <w:right w:val="none" w:sz="0" w:space="0" w:color="auto"/>
      </w:divBdr>
    </w:div>
    <w:div w:id="135224251">
      <w:bodyDiv w:val="1"/>
      <w:marLeft w:val="0"/>
      <w:marRight w:val="0"/>
      <w:marTop w:val="0"/>
      <w:marBottom w:val="0"/>
      <w:divBdr>
        <w:top w:val="none" w:sz="0" w:space="0" w:color="auto"/>
        <w:left w:val="none" w:sz="0" w:space="0" w:color="auto"/>
        <w:bottom w:val="none" w:sz="0" w:space="0" w:color="auto"/>
        <w:right w:val="none" w:sz="0" w:space="0" w:color="auto"/>
      </w:divBdr>
    </w:div>
    <w:div w:id="156578834">
      <w:bodyDiv w:val="1"/>
      <w:marLeft w:val="0"/>
      <w:marRight w:val="0"/>
      <w:marTop w:val="0"/>
      <w:marBottom w:val="0"/>
      <w:divBdr>
        <w:top w:val="none" w:sz="0" w:space="0" w:color="auto"/>
        <w:left w:val="none" w:sz="0" w:space="0" w:color="auto"/>
        <w:bottom w:val="none" w:sz="0" w:space="0" w:color="auto"/>
        <w:right w:val="none" w:sz="0" w:space="0" w:color="auto"/>
      </w:divBdr>
      <w:divsChild>
        <w:div w:id="749891859">
          <w:marLeft w:val="0"/>
          <w:marRight w:val="0"/>
          <w:marTop w:val="0"/>
          <w:marBottom w:val="0"/>
          <w:divBdr>
            <w:top w:val="none" w:sz="0" w:space="0" w:color="auto"/>
            <w:left w:val="none" w:sz="0" w:space="0" w:color="auto"/>
            <w:bottom w:val="none" w:sz="0" w:space="0" w:color="auto"/>
            <w:right w:val="none" w:sz="0" w:space="0" w:color="auto"/>
          </w:divBdr>
        </w:div>
      </w:divsChild>
    </w:div>
    <w:div w:id="165826891">
      <w:bodyDiv w:val="1"/>
      <w:marLeft w:val="0"/>
      <w:marRight w:val="0"/>
      <w:marTop w:val="0"/>
      <w:marBottom w:val="0"/>
      <w:divBdr>
        <w:top w:val="none" w:sz="0" w:space="0" w:color="auto"/>
        <w:left w:val="none" w:sz="0" w:space="0" w:color="auto"/>
        <w:bottom w:val="none" w:sz="0" w:space="0" w:color="auto"/>
        <w:right w:val="none" w:sz="0" w:space="0" w:color="auto"/>
      </w:divBdr>
    </w:div>
    <w:div w:id="209154785">
      <w:bodyDiv w:val="1"/>
      <w:marLeft w:val="0"/>
      <w:marRight w:val="0"/>
      <w:marTop w:val="0"/>
      <w:marBottom w:val="0"/>
      <w:divBdr>
        <w:top w:val="none" w:sz="0" w:space="0" w:color="auto"/>
        <w:left w:val="none" w:sz="0" w:space="0" w:color="auto"/>
        <w:bottom w:val="none" w:sz="0" w:space="0" w:color="auto"/>
        <w:right w:val="none" w:sz="0" w:space="0" w:color="auto"/>
      </w:divBdr>
    </w:div>
    <w:div w:id="216211149">
      <w:bodyDiv w:val="1"/>
      <w:marLeft w:val="0"/>
      <w:marRight w:val="0"/>
      <w:marTop w:val="0"/>
      <w:marBottom w:val="0"/>
      <w:divBdr>
        <w:top w:val="none" w:sz="0" w:space="0" w:color="auto"/>
        <w:left w:val="none" w:sz="0" w:space="0" w:color="auto"/>
        <w:bottom w:val="none" w:sz="0" w:space="0" w:color="auto"/>
        <w:right w:val="none" w:sz="0" w:space="0" w:color="auto"/>
      </w:divBdr>
    </w:div>
    <w:div w:id="224339863">
      <w:bodyDiv w:val="1"/>
      <w:marLeft w:val="0"/>
      <w:marRight w:val="0"/>
      <w:marTop w:val="0"/>
      <w:marBottom w:val="0"/>
      <w:divBdr>
        <w:top w:val="none" w:sz="0" w:space="0" w:color="auto"/>
        <w:left w:val="none" w:sz="0" w:space="0" w:color="auto"/>
        <w:bottom w:val="none" w:sz="0" w:space="0" w:color="auto"/>
        <w:right w:val="none" w:sz="0" w:space="0" w:color="auto"/>
      </w:divBdr>
    </w:div>
    <w:div w:id="248656482">
      <w:bodyDiv w:val="1"/>
      <w:marLeft w:val="0"/>
      <w:marRight w:val="0"/>
      <w:marTop w:val="0"/>
      <w:marBottom w:val="0"/>
      <w:divBdr>
        <w:top w:val="none" w:sz="0" w:space="0" w:color="auto"/>
        <w:left w:val="none" w:sz="0" w:space="0" w:color="auto"/>
        <w:bottom w:val="none" w:sz="0" w:space="0" w:color="auto"/>
        <w:right w:val="none" w:sz="0" w:space="0" w:color="auto"/>
      </w:divBdr>
    </w:div>
    <w:div w:id="254897024">
      <w:bodyDiv w:val="1"/>
      <w:marLeft w:val="0"/>
      <w:marRight w:val="0"/>
      <w:marTop w:val="0"/>
      <w:marBottom w:val="0"/>
      <w:divBdr>
        <w:top w:val="none" w:sz="0" w:space="0" w:color="auto"/>
        <w:left w:val="none" w:sz="0" w:space="0" w:color="auto"/>
        <w:bottom w:val="none" w:sz="0" w:space="0" w:color="auto"/>
        <w:right w:val="none" w:sz="0" w:space="0" w:color="auto"/>
      </w:divBdr>
    </w:div>
    <w:div w:id="259267166">
      <w:bodyDiv w:val="1"/>
      <w:marLeft w:val="0"/>
      <w:marRight w:val="0"/>
      <w:marTop w:val="0"/>
      <w:marBottom w:val="0"/>
      <w:divBdr>
        <w:top w:val="none" w:sz="0" w:space="0" w:color="auto"/>
        <w:left w:val="none" w:sz="0" w:space="0" w:color="auto"/>
        <w:bottom w:val="none" w:sz="0" w:space="0" w:color="auto"/>
        <w:right w:val="none" w:sz="0" w:space="0" w:color="auto"/>
      </w:divBdr>
    </w:div>
    <w:div w:id="269166371">
      <w:bodyDiv w:val="1"/>
      <w:marLeft w:val="0"/>
      <w:marRight w:val="0"/>
      <w:marTop w:val="0"/>
      <w:marBottom w:val="0"/>
      <w:divBdr>
        <w:top w:val="none" w:sz="0" w:space="0" w:color="auto"/>
        <w:left w:val="none" w:sz="0" w:space="0" w:color="auto"/>
        <w:bottom w:val="none" w:sz="0" w:space="0" w:color="auto"/>
        <w:right w:val="none" w:sz="0" w:space="0" w:color="auto"/>
      </w:divBdr>
    </w:div>
    <w:div w:id="276372577">
      <w:bodyDiv w:val="1"/>
      <w:marLeft w:val="0"/>
      <w:marRight w:val="0"/>
      <w:marTop w:val="0"/>
      <w:marBottom w:val="0"/>
      <w:divBdr>
        <w:top w:val="none" w:sz="0" w:space="0" w:color="auto"/>
        <w:left w:val="none" w:sz="0" w:space="0" w:color="auto"/>
        <w:bottom w:val="none" w:sz="0" w:space="0" w:color="auto"/>
        <w:right w:val="none" w:sz="0" w:space="0" w:color="auto"/>
      </w:divBdr>
    </w:div>
    <w:div w:id="297884226">
      <w:bodyDiv w:val="1"/>
      <w:marLeft w:val="0"/>
      <w:marRight w:val="0"/>
      <w:marTop w:val="0"/>
      <w:marBottom w:val="0"/>
      <w:divBdr>
        <w:top w:val="none" w:sz="0" w:space="0" w:color="auto"/>
        <w:left w:val="none" w:sz="0" w:space="0" w:color="auto"/>
        <w:bottom w:val="none" w:sz="0" w:space="0" w:color="auto"/>
        <w:right w:val="none" w:sz="0" w:space="0" w:color="auto"/>
      </w:divBdr>
      <w:divsChild>
        <w:div w:id="1745756203">
          <w:marLeft w:val="0"/>
          <w:marRight w:val="0"/>
          <w:marTop w:val="0"/>
          <w:marBottom w:val="0"/>
          <w:divBdr>
            <w:top w:val="none" w:sz="0" w:space="0" w:color="auto"/>
            <w:left w:val="none" w:sz="0" w:space="0" w:color="auto"/>
            <w:bottom w:val="none" w:sz="0" w:space="0" w:color="auto"/>
            <w:right w:val="none" w:sz="0" w:space="0" w:color="auto"/>
          </w:divBdr>
        </w:div>
      </w:divsChild>
    </w:div>
    <w:div w:id="299774103">
      <w:bodyDiv w:val="1"/>
      <w:marLeft w:val="0"/>
      <w:marRight w:val="0"/>
      <w:marTop w:val="0"/>
      <w:marBottom w:val="0"/>
      <w:divBdr>
        <w:top w:val="none" w:sz="0" w:space="0" w:color="auto"/>
        <w:left w:val="none" w:sz="0" w:space="0" w:color="auto"/>
        <w:bottom w:val="none" w:sz="0" w:space="0" w:color="auto"/>
        <w:right w:val="none" w:sz="0" w:space="0" w:color="auto"/>
      </w:divBdr>
    </w:div>
    <w:div w:id="316426364">
      <w:bodyDiv w:val="1"/>
      <w:marLeft w:val="0"/>
      <w:marRight w:val="0"/>
      <w:marTop w:val="0"/>
      <w:marBottom w:val="0"/>
      <w:divBdr>
        <w:top w:val="none" w:sz="0" w:space="0" w:color="auto"/>
        <w:left w:val="none" w:sz="0" w:space="0" w:color="auto"/>
        <w:bottom w:val="none" w:sz="0" w:space="0" w:color="auto"/>
        <w:right w:val="none" w:sz="0" w:space="0" w:color="auto"/>
      </w:divBdr>
    </w:div>
    <w:div w:id="331418211">
      <w:bodyDiv w:val="1"/>
      <w:marLeft w:val="0"/>
      <w:marRight w:val="0"/>
      <w:marTop w:val="0"/>
      <w:marBottom w:val="0"/>
      <w:divBdr>
        <w:top w:val="none" w:sz="0" w:space="0" w:color="auto"/>
        <w:left w:val="none" w:sz="0" w:space="0" w:color="auto"/>
        <w:bottom w:val="none" w:sz="0" w:space="0" w:color="auto"/>
        <w:right w:val="none" w:sz="0" w:space="0" w:color="auto"/>
      </w:divBdr>
    </w:div>
    <w:div w:id="366491366">
      <w:bodyDiv w:val="1"/>
      <w:marLeft w:val="0"/>
      <w:marRight w:val="0"/>
      <w:marTop w:val="0"/>
      <w:marBottom w:val="0"/>
      <w:divBdr>
        <w:top w:val="none" w:sz="0" w:space="0" w:color="auto"/>
        <w:left w:val="none" w:sz="0" w:space="0" w:color="auto"/>
        <w:bottom w:val="none" w:sz="0" w:space="0" w:color="auto"/>
        <w:right w:val="none" w:sz="0" w:space="0" w:color="auto"/>
      </w:divBdr>
    </w:div>
    <w:div w:id="369109366">
      <w:bodyDiv w:val="1"/>
      <w:marLeft w:val="0"/>
      <w:marRight w:val="0"/>
      <w:marTop w:val="0"/>
      <w:marBottom w:val="0"/>
      <w:divBdr>
        <w:top w:val="none" w:sz="0" w:space="0" w:color="auto"/>
        <w:left w:val="none" w:sz="0" w:space="0" w:color="auto"/>
        <w:bottom w:val="none" w:sz="0" w:space="0" w:color="auto"/>
        <w:right w:val="none" w:sz="0" w:space="0" w:color="auto"/>
      </w:divBdr>
    </w:div>
    <w:div w:id="377436070">
      <w:bodyDiv w:val="1"/>
      <w:marLeft w:val="0"/>
      <w:marRight w:val="0"/>
      <w:marTop w:val="0"/>
      <w:marBottom w:val="0"/>
      <w:divBdr>
        <w:top w:val="none" w:sz="0" w:space="0" w:color="auto"/>
        <w:left w:val="none" w:sz="0" w:space="0" w:color="auto"/>
        <w:bottom w:val="none" w:sz="0" w:space="0" w:color="auto"/>
        <w:right w:val="none" w:sz="0" w:space="0" w:color="auto"/>
      </w:divBdr>
    </w:div>
    <w:div w:id="386949919">
      <w:bodyDiv w:val="1"/>
      <w:marLeft w:val="0"/>
      <w:marRight w:val="0"/>
      <w:marTop w:val="0"/>
      <w:marBottom w:val="0"/>
      <w:divBdr>
        <w:top w:val="none" w:sz="0" w:space="0" w:color="auto"/>
        <w:left w:val="none" w:sz="0" w:space="0" w:color="auto"/>
        <w:bottom w:val="none" w:sz="0" w:space="0" w:color="auto"/>
        <w:right w:val="none" w:sz="0" w:space="0" w:color="auto"/>
      </w:divBdr>
    </w:div>
    <w:div w:id="392968654">
      <w:bodyDiv w:val="1"/>
      <w:marLeft w:val="0"/>
      <w:marRight w:val="0"/>
      <w:marTop w:val="0"/>
      <w:marBottom w:val="0"/>
      <w:divBdr>
        <w:top w:val="none" w:sz="0" w:space="0" w:color="auto"/>
        <w:left w:val="none" w:sz="0" w:space="0" w:color="auto"/>
        <w:bottom w:val="none" w:sz="0" w:space="0" w:color="auto"/>
        <w:right w:val="none" w:sz="0" w:space="0" w:color="auto"/>
      </w:divBdr>
    </w:div>
    <w:div w:id="396168488">
      <w:bodyDiv w:val="1"/>
      <w:marLeft w:val="0"/>
      <w:marRight w:val="0"/>
      <w:marTop w:val="0"/>
      <w:marBottom w:val="0"/>
      <w:divBdr>
        <w:top w:val="none" w:sz="0" w:space="0" w:color="auto"/>
        <w:left w:val="none" w:sz="0" w:space="0" w:color="auto"/>
        <w:bottom w:val="none" w:sz="0" w:space="0" w:color="auto"/>
        <w:right w:val="none" w:sz="0" w:space="0" w:color="auto"/>
      </w:divBdr>
    </w:div>
    <w:div w:id="402676691">
      <w:bodyDiv w:val="1"/>
      <w:marLeft w:val="0"/>
      <w:marRight w:val="0"/>
      <w:marTop w:val="0"/>
      <w:marBottom w:val="0"/>
      <w:divBdr>
        <w:top w:val="none" w:sz="0" w:space="0" w:color="auto"/>
        <w:left w:val="none" w:sz="0" w:space="0" w:color="auto"/>
        <w:bottom w:val="none" w:sz="0" w:space="0" w:color="auto"/>
        <w:right w:val="none" w:sz="0" w:space="0" w:color="auto"/>
      </w:divBdr>
    </w:div>
    <w:div w:id="432164542">
      <w:bodyDiv w:val="1"/>
      <w:marLeft w:val="0"/>
      <w:marRight w:val="0"/>
      <w:marTop w:val="0"/>
      <w:marBottom w:val="0"/>
      <w:divBdr>
        <w:top w:val="none" w:sz="0" w:space="0" w:color="auto"/>
        <w:left w:val="none" w:sz="0" w:space="0" w:color="auto"/>
        <w:bottom w:val="none" w:sz="0" w:space="0" w:color="auto"/>
        <w:right w:val="none" w:sz="0" w:space="0" w:color="auto"/>
      </w:divBdr>
    </w:div>
    <w:div w:id="433789564">
      <w:bodyDiv w:val="1"/>
      <w:marLeft w:val="0"/>
      <w:marRight w:val="0"/>
      <w:marTop w:val="0"/>
      <w:marBottom w:val="0"/>
      <w:divBdr>
        <w:top w:val="none" w:sz="0" w:space="0" w:color="auto"/>
        <w:left w:val="none" w:sz="0" w:space="0" w:color="auto"/>
        <w:bottom w:val="none" w:sz="0" w:space="0" w:color="auto"/>
        <w:right w:val="none" w:sz="0" w:space="0" w:color="auto"/>
      </w:divBdr>
    </w:div>
    <w:div w:id="454056621">
      <w:bodyDiv w:val="1"/>
      <w:marLeft w:val="0"/>
      <w:marRight w:val="0"/>
      <w:marTop w:val="0"/>
      <w:marBottom w:val="0"/>
      <w:divBdr>
        <w:top w:val="none" w:sz="0" w:space="0" w:color="auto"/>
        <w:left w:val="none" w:sz="0" w:space="0" w:color="auto"/>
        <w:bottom w:val="none" w:sz="0" w:space="0" w:color="auto"/>
        <w:right w:val="none" w:sz="0" w:space="0" w:color="auto"/>
      </w:divBdr>
      <w:divsChild>
        <w:div w:id="2043750209">
          <w:marLeft w:val="0"/>
          <w:marRight w:val="0"/>
          <w:marTop w:val="0"/>
          <w:marBottom w:val="0"/>
          <w:divBdr>
            <w:top w:val="none" w:sz="0" w:space="0" w:color="auto"/>
            <w:left w:val="none" w:sz="0" w:space="0" w:color="auto"/>
            <w:bottom w:val="none" w:sz="0" w:space="0" w:color="auto"/>
            <w:right w:val="none" w:sz="0" w:space="0" w:color="auto"/>
          </w:divBdr>
          <w:divsChild>
            <w:div w:id="1214468061">
              <w:marLeft w:val="0"/>
              <w:marRight w:val="0"/>
              <w:marTop w:val="0"/>
              <w:marBottom w:val="0"/>
              <w:divBdr>
                <w:top w:val="none" w:sz="0" w:space="0" w:color="auto"/>
                <w:left w:val="none" w:sz="0" w:space="0" w:color="auto"/>
                <w:bottom w:val="none" w:sz="0" w:space="0" w:color="auto"/>
                <w:right w:val="none" w:sz="0" w:space="0" w:color="auto"/>
              </w:divBdr>
            </w:div>
          </w:divsChild>
        </w:div>
        <w:div w:id="1081180083">
          <w:marLeft w:val="0"/>
          <w:marRight w:val="0"/>
          <w:marTop w:val="0"/>
          <w:marBottom w:val="0"/>
          <w:divBdr>
            <w:top w:val="none" w:sz="0" w:space="0" w:color="auto"/>
            <w:left w:val="none" w:sz="0" w:space="0" w:color="auto"/>
            <w:bottom w:val="none" w:sz="0" w:space="0" w:color="auto"/>
            <w:right w:val="none" w:sz="0" w:space="0" w:color="auto"/>
          </w:divBdr>
          <w:divsChild>
            <w:div w:id="42345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420">
      <w:bodyDiv w:val="1"/>
      <w:marLeft w:val="0"/>
      <w:marRight w:val="0"/>
      <w:marTop w:val="0"/>
      <w:marBottom w:val="0"/>
      <w:divBdr>
        <w:top w:val="none" w:sz="0" w:space="0" w:color="auto"/>
        <w:left w:val="none" w:sz="0" w:space="0" w:color="auto"/>
        <w:bottom w:val="none" w:sz="0" w:space="0" w:color="auto"/>
        <w:right w:val="none" w:sz="0" w:space="0" w:color="auto"/>
      </w:divBdr>
      <w:divsChild>
        <w:div w:id="1048989182">
          <w:marLeft w:val="0"/>
          <w:marRight w:val="0"/>
          <w:marTop w:val="0"/>
          <w:marBottom w:val="0"/>
          <w:divBdr>
            <w:top w:val="none" w:sz="0" w:space="0" w:color="auto"/>
            <w:left w:val="none" w:sz="0" w:space="0" w:color="auto"/>
            <w:bottom w:val="none" w:sz="0" w:space="0" w:color="auto"/>
            <w:right w:val="none" w:sz="0" w:space="0" w:color="auto"/>
          </w:divBdr>
        </w:div>
      </w:divsChild>
    </w:div>
    <w:div w:id="486555849">
      <w:bodyDiv w:val="1"/>
      <w:marLeft w:val="0"/>
      <w:marRight w:val="0"/>
      <w:marTop w:val="0"/>
      <w:marBottom w:val="0"/>
      <w:divBdr>
        <w:top w:val="none" w:sz="0" w:space="0" w:color="auto"/>
        <w:left w:val="none" w:sz="0" w:space="0" w:color="auto"/>
        <w:bottom w:val="none" w:sz="0" w:space="0" w:color="auto"/>
        <w:right w:val="none" w:sz="0" w:space="0" w:color="auto"/>
      </w:divBdr>
    </w:div>
    <w:div w:id="495995275">
      <w:bodyDiv w:val="1"/>
      <w:marLeft w:val="0"/>
      <w:marRight w:val="0"/>
      <w:marTop w:val="0"/>
      <w:marBottom w:val="0"/>
      <w:divBdr>
        <w:top w:val="none" w:sz="0" w:space="0" w:color="auto"/>
        <w:left w:val="none" w:sz="0" w:space="0" w:color="auto"/>
        <w:bottom w:val="none" w:sz="0" w:space="0" w:color="auto"/>
        <w:right w:val="none" w:sz="0" w:space="0" w:color="auto"/>
      </w:divBdr>
    </w:div>
    <w:div w:id="506141024">
      <w:bodyDiv w:val="1"/>
      <w:marLeft w:val="0"/>
      <w:marRight w:val="0"/>
      <w:marTop w:val="0"/>
      <w:marBottom w:val="0"/>
      <w:divBdr>
        <w:top w:val="none" w:sz="0" w:space="0" w:color="auto"/>
        <w:left w:val="none" w:sz="0" w:space="0" w:color="auto"/>
        <w:bottom w:val="none" w:sz="0" w:space="0" w:color="auto"/>
        <w:right w:val="none" w:sz="0" w:space="0" w:color="auto"/>
      </w:divBdr>
      <w:divsChild>
        <w:div w:id="556017437">
          <w:marLeft w:val="0"/>
          <w:marRight w:val="0"/>
          <w:marTop w:val="0"/>
          <w:marBottom w:val="0"/>
          <w:divBdr>
            <w:top w:val="none" w:sz="0" w:space="0" w:color="auto"/>
            <w:left w:val="none" w:sz="0" w:space="0" w:color="auto"/>
            <w:bottom w:val="none" w:sz="0" w:space="0" w:color="auto"/>
            <w:right w:val="none" w:sz="0" w:space="0" w:color="auto"/>
          </w:divBdr>
        </w:div>
      </w:divsChild>
    </w:div>
    <w:div w:id="506676536">
      <w:bodyDiv w:val="1"/>
      <w:marLeft w:val="0"/>
      <w:marRight w:val="0"/>
      <w:marTop w:val="0"/>
      <w:marBottom w:val="0"/>
      <w:divBdr>
        <w:top w:val="none" w:sz="0" w:space="0" w:color="auto"/>
        <w:left w:val="none" w:sz="0" w:space="0" w:color="auto"/>
        <w:bottom w:val="none" w:sz="0" w:space="0" w:color="auto"/>
        <w:right w:val="none" w:sz="0" w:space="0" w:color="auto"/>
      </w:divBdr>
    </w:div>
    <w:div w:id="508376674">
      <w:bodyDiv w:val="1"/>
      <w:marLeft w:val="0"/>
      <w:marRight w:val="0"/>
      <w:marTop w:val="0"/>
      <w:marBottom w:val="0"/>
      <w:divBdr>
        <w:top w:val="none" w:sz="0" w:space="0" w:color="auto"/>
        <w:left w:val="none" w:sz="0" w:space="0" w:color="auto"/>
        <w:bottom w:val="none" w:sz="0" w:space="0" w:color="auto"/>
        <w:right w:val="none" w:sz="0" w:space="0" w:color="auto"/>
      </w:divBdr>
    </w:div>
    <w:div w:id="513349501">
      <w:bodyDiv w:val="1"/>
      <w:marLeft w:val="0"/>
      <w:marRight w:val="0"/>
      <w:marTop w:val="0"/>
      <w:marBottom w:val="0"/>
      <w:divBdr>
        <w:top w:val="none" w:sz="0" w:space="0" w:color="auto"/>
        <w:left w:val="none" w:sz="0" w:space="0" w:color="auto"/>
        <w:bottom w:val="none" w:sz="0" w:space="0" w:color="auto"/>
        <w:right w:val="none" w:sz="0" w:space="0" w:color="auto"/>
      </w:divBdr>
    </w:div>
    <w:div w:id="521280923">
      <w:bodyDiv w:val="1"/>
      <w:marLeft w:val="0"/>
      <w:marRight w:val="0"/>
      <w:marTop w:val="0"/>
      <w:marBottom w:val="0"/>
      <w:divBdr>
        <w:top w:val="none" w:sz="0" w:space="0" w:color="auto"/>
        <w:left w:val="none" w:sz="0" w:space="0" w:color="auto"/>
        <w:bottom w:val="none" w:sz="0" w:space="0" w:color="auto"/>
        <w:right w:val="none" w:sz="0" w:space="0" w:color="auto"/>
      </w:divBdr>
    </w:div>
    <w:div w:id="527959678">
      <w:bodyDiv w:val="1"/>
      <w:marLeft w:val="0"/>
      <w:marRight w:val="0"/>
      <w:marTop w:val="0"/>
      <w:marBottom w:val="0"/>
      <w:divBdr>
        <w:top w:val="none" w:sz="0" w:space="0" w:color="auto"/>
        <w:left w:val="none" w:sz="0" w:space="0" w:color="auto"/>
        <w:bottom w:val="none" w:sz="0" w:space="0" w:color="auto"/>
        <w:right w:val="none" w:sz="0" w:space="0" w:color="auto"/>
      </w:divBdr>
    </w:div>
    <w:div w:id="541939680">
      <w:bodyDiv w:val="1"/>
      <w:marLeft w:val="0"/>
      <w:marRight w:val="0"/>
      <w:marTop w:val="0"/>
      <w:marBottom w:val="0"/>
      <w:divBdr>
        <w:top w:val="none" w:sz="0" w:space="0" w:color="auto"/>
        <w:left w:val="none" w:sz="0" w:space="0" w:color="auto"/>
        <w:bottom w:val="none" w:sz="0" w:space="0" w:color="auto"/>
        <w:right w:val="none" w:sz="0" w:space="0" w:color="auto"/>
      </w:divBdr>
    </w:div>
    <w:div w:id="555120348">
      <w:bodyDiv w:val="1"/>
      <w:marLeft w:val="0"/>
      <w:marRight w:val="0"/>
      <w:marTop w:val="0"/>
      <w:marBottom w:val="0"/>
      <w:divBdr>
        <w:top w:val="none" w:sz="0" w:space="0" w:color="auto"/>
        <w:left w:val="none" w:sz="0" w:space="0" w:color="auto"/>
        <w:bottom w:val="none" w:sz="0" w:space="0" w:color="auto"/>
        <w:right w:val="none" w:sz="0" w:space="0" w:color="auto"/>
      </w:divBdr>
    </w:div>
    <w:div w:id="576984044">
      <w:bodyDiv w:val="1"/>
      <w:marLeft w:val="0"/>
      <w:marRight w:val="0"/>
      <w:marTop w:val="0"/>
      <w:marBottom w:val="0"/>
      <w:divBdr>
        <w:top w:val="none" w:sz="0" w:space="0" w:color="auto"/>
        <w:left w:val="none" w:sz="0" w:space="0" w:color="auto"/>
        <w:bottom w:val="none" w:sz="0" w:space="0" w:color="auto"/>
        <w:right w:val="none" w:sz="0" w:space="0" w:color="auto"/>
      </w:divBdr>
    </w:div>
    <w:div w:id="577518772">
      <w:bodyDiv w:val="1"/>
      <w:marLeft w:val="0"/>
      <w:marRight w:val="0"/>
      <w:marTop w:val="0"/>
      <w:marBottom w:val="0"/>
      <w:divBdr>
        <w:top w:val="none" w:sz="0" w:space="0" w:color="auto"/>
        <w:left w:val="none" w:sz="0" w:space="0" w:color="auto"/>
        <w:bottom w:val="none" w:sz="0" w:space="0" w:color="auto"/>
        <w:right w:val="none" w:sz="0" w:space="0" w:color="auto"/>
      </w:divBdr>
    </w:div>
    <w:div w:id="582185944">
      <w:bodyDiv w:val="1"/>
      <w:marLeft w:val="0"/>
      <w:marRight w:val="0"/>
      <w:marTop w:val="0"/>
      <w:marBottom w:val="0"/>
      <w:divBdr>
        <w:top w:val="none" w:sz="0" w:space="0" w:color="auto"/>
        <w:left w:val="none" w:sz="0" w:space="0" w:color="auto"/>
        <w:bottom w:val="none" w:sz="0" w:space="0" w:color="auto"/>
        <w:right w:val="none" w:sz="0" w:space="0" w:color="auto"/>
      </w:divBdr>
    </w:div>
    <w:div w:id="584653824">
      <w:bodyDiv w:val="1"/>
      <w:marLeft w:val="0"/>
      <w:marRight w:val="0"/>
      <w:marTop w:val="0"/>
      <w:marBottom w:val="0"/>
      <w:divBdr>
        <w:top w:val="none" w:sz="0" w:space="0" w:color="auto"/>
        <w:left w:val="none" w:sz="0" w:space="0" w:color="auto"/>
        <w:bottom w:val="none" w:sz="0" w:space="0" w:color="auto"/>
        <w:right w:val="none" w:sz="0" w:space="0" w:color="auto"/>
      </w:divBdr>
    </w:div>
    <w:div w:id="587622158">
      <w:bodyDiv w:val="1"/>
      <w:marLeft w:val="0"/>
      <w:marRight w:val="0"/>
      <w:marTop w:val="0"/>
      <w:marBottom w:val="0"/>
      <w:divBdr>
        <w:top w:val="none" w:sz="0" w:space="0" w:color="auto"/>
        <w:left w:val="none" w:sz="0" w:space="0" w:color="auto"/>
        <w:bottom w:val="none" w:sz="0" w:space="0" w:color="auto"/>
        <w:right w:val="none" w:sz="0" w:space="0" w:color="auto"/>
      </w:divBdr>
    </w:div>
    <w:div w:id="600526494">
      <w:bodyDiv w:val="1"/>
      <w:marLeft w:val="0"/>
      <w:marRight w:val="0"/>
      <w:marTop w:val="0"/>
      <w:marBottom w:val="0"/>
      <w:divBdr>
        <w:top w:val="none" w:sz="0" w:space="0" w:color="auto"/>
        <w:left w:val="none" w:sz="0" w:space="0" w:color="auto"/>
        <w:bottom w:val="none" w:sz="0" w:space="0" w:color="auto"/>
        <w:right w:val="none" w:sz="0" w:space="0" w:color="auto"/>
      </w:divBdr>
    </w:div>
    <w:div w:id="621031636">
      <w:bodyDiv w:val="1"/>
      <w:marLeft w:val="0"/>
      <w:marRight w:val="0"/>
      <w:marTop w:val="0"/>
      <w:marBottom w:val="0"/>
      <w:divBdr>
        <w:top w:val="none" w:sz="0" w:space="0" w:color="auto"/>
        <w:left w:val="none" w:sz="0" w:space="0" w:color="auto"/>
        <w:bottom w:val="none" w:sz="0" w:space="0" w:color="auto"/>
        <w:right w:val="none" w:sz="0" w:space="0" w:color="auto"/>
      </w:divBdr>
    </w:div>
    <w:div w:id="626277107">
      <w:bodyDiv w:val="1"/>
      <w:marLeft w:val="0"/>
      <w:marRight w:val="0"/>
      <w:marTop w:val="0"/>
      <w:marBottom w:val="0"/>
      <w:divBdr>
        <w:top w:val="none" w:sz="0" w:space="0" w:color="auto"/>
        <w:left w:val="none" w:sz="0" w:space="0" w:color="auto"/>
        <w:bottom w:val="none" w:sz="0" w:space="0" w:color="auto"/>
        <w:right w:val="none" w:sz="0" w:space="0" w:color="auto"/>
      </w:divBdr>
    </w:div>
    <w:div w:id="637415469">
      <w:bodyDiv w:val="1"/>
      <w:marLeft w:val="0"/>
      <w:marRight w:val="0"/>
      <w:marTop w:val="0"/>
      <w:marBottom w:val="0"/>
      <w:divBdr>
        <w:top w:val="none" w:sz="0" w:space="0" w:color="auto"/>
        <w:left w:val="none" w:sz="0" w:space="0" w:color="auto"/>
        <w:bottom w:val="none" w:sz="0" w:space="0" w:color="auto"/>
        <w:right w:val="none" w:sz="0" w:space="0" w:color="auto"/>
      </w:divBdr>
    </w:div>
    <w:div w:id="640774535">
      <w:bodyDiv w:val="1"/>
      <w:marLeft w:val="0"/>
      <w:marRight w:val="0"/>
      <w:marTop w:val="0"/>
      <w:marBottom w:val="0"/>
      <w:divBdr>
        <w:top w:val="none" w:sz="0" w:space="0" w:color="auto"/>
        <w:left w:val="none" w:sz="0" w:space="0" w:color="auto"/>
        <w:bottom w:val="none" w:sz="0" w:space="0" w:color="auto"/>
        <w:right w:val="none" w:sz="0" w:space="0" w:color="auto"/>
      </w:divBdr>
    </w:div>
    <w:div w:id="649871073">
      <w:bodyDiv w:val="1"/>
      <w:marLeft w:val="0"/>
      <w:marRight w:val="0"/>
      <w:marTop w:val="0"/>
      <w:marBottom w:val="0"/>
      <w:divBdr>
        <w:top w:val="none" w:sz="0" w:space="0" w:color="auto"/>
        <w:left w:val="none" w:sz="0" w:space="0" w:color="auto"/>
        <w:bottom w:val="none" w:sz="0" w:space="0" w:color="auto"/>
        <w:right w:val="none" w:sz="0" w:space="0" w:color="auto"/>
      </w:divBdr>
    </w:div>
    <w:div w:id="686828861">
      <w:bodyDiv w:val="1"/>
      <w:marLeft w:val="0"/>
      <w:marRight w:val="0"/>
      <w:marTop w:val="0"/>
      <w:marBottom w:val="0"/>
      <w:divBdr>
        <w:top w:val="none" w:sz="0" w:space="0" w:color="auto"/>
        <w:left w:val="none" w:sz="0" w:space="0" w:color="auto"/>
        <w:bottom w:val="none" w:sz="0" w:space="0" w:color="auto"/>
        <w:right w:val="none" w:sz="0" w:space="0" w:color="auto"/>
      </w:divBdr>
    </w:div>
    <w:div w:id="689182154">
      <w:bodyDiv w:val="1"/>
      <w:marLeft w:val="0"/>
      <w:marRight w:val="0"/>
      <w:marTop w:val="0"/>
      <w:marBottom w:val="0"/>
      <w:divBdr>
        <w:top w:val="none" w:sz="0" w:space="0" w:color="auto"/>
        <w:left w:val="none" w:sz="0" w:space="0" w:color="auto"/>
        <w:bottom w:val="none" w:sz="0" w:space="0" w:color="auto"/>
        <w:right w:val="none" w:sz="0" w:space="0" w:color="auto"/>
      </w:divBdr>
    </w:div>
    <w:div w:id="693002341">
      <w:bodyDiv w:val="1"/>
      <w:marLeft w:val="0"/>
      <w:marRight w:val="0"/>
      <w:marTop w:val="0"/>
      <w:marBottom w:val="0"/>
      <w:divBdr>
        <w:top w:val="none" w:sz="0" w:space="0" w:color="auto"/>
        <w:left w:val="none" w:sz="0" w:space="0" w:color="auto"/>
        <w:bottom w:val="none" w:sz="0" w:space="0" w:color="auto"/>
        <w:right w:val="none" w:sz="0" w:space="0" w:color="auto"/>
      </w:divBdr>
    </w:div>
    <w:div w:id="696613592">
      <w:bodyDiv w:val="1"/>
      <w:marLeft w:val="0"/>
      <w:marRight w:val="0"/>
      <w:marTop w:val="0"/>
      <w:marBottom w:val="0"/>
      <w:divBdr>
        <w:top w:val="none" w:sz="0" w:space="0" w:color="auto"/>
        <w:left w:val="none" w:sz="0" w:space="0" w:color="auto"/>
        <w:bottom w:val="none" w:sz="0" w:space="0" w:color="auto"/>
        <w:right w:val="none" w:sz="0" w:space="0" w:color="auto"/>
      </w:divBdr>
    </w:div>
    <w:div w:id="708652870">
      <w:bodyDiv w:val="1"/>
      <w:marLeft w:val="0"/>
      <w:marRight w:val="0"/>
      <w:marTop w:val="0"/>
      <w:marBottom w:val="0"/>
      <w:divBdr>
        <w:top w:val="none" w:sz="0" w:space="0" w:color="auto"/>
        <w:left w:val="none" w:sz="0" w:space="0" w:color="auto"/>
        <w:bottom w:val="none" w:sz="0" w:space="0" w:color="auto"/>
        <w:right w:val="none" w:sz="0" w:space="0" w:color="auto"/>
      </w:divBdr>
    </w:div>
    <w:div w:id="722757750">
      <w:bodyDiv w:val="1"/>
      <w:marLeft w:val="0"/>
      <w:marRight w:val="0"/>
      <w:marTop w:val="0"/>
      <w:marBottom w:val="0"/>
      <w:divBdr>
        <w:top w:val="none" w:sz="0" w:space="0" w:color="auto"/>
        <w:left w:val="none" w:sz="0" w:space="0" w:color="auto"/>
        <w:bottom w:val="none" w:sz="0" w:space="0" w:color="auto"/>
        <w:right w:val="none" w:sz="0" w:space="0" w:color="auto"/>
      </w:divBdr>
    </w:div>
    <w:div w:id="762336139">
      <w:bodyDiv w:val="1"/>
      <w:marLeft w:val="0"/>
      <w:marRight w:val="0"/>
      <w:marTop w:val="0"/>
      <w:marBottom w:val="0"/>
      <w:divBdr>
        <w:top w:val="none" w:sz="0" w:space="0" w:color="auto"/>
        <w:left w:val="none" w:sz="0" w:space="0" w:color="auto"/>
        <w:bottom w:val="none" w:sz="0" w:space="0" w:color="auto"/>
        <w:right w:val="none" w:sz="0" w:space="0" w:color="auto"/>
      </w:divBdr>
    </w:div>
    <w:div w:id="775947896">
      <w:bodyDiv w:val="1"/>
      <w:marLeft w:val="0"/>
      <w:marRight w:val="0"/>
      <w:marTop w:val="0"/>
      <w:marBottom w:val="0"/>
      <w:divBdr>
        <w:top w:val="none" w:sz="0" w:space="0" w:color="auto"/>
        <w:left w:val="none" w:sz="0" w:space="0" w:color="auto"/>
        <w:bottom w:val="none" w:sz="0" w:space="0" w:color="auto"/>
        <w:right w:val="none" w:sz="0" w:space="0" w:color="auto"/>
      </w:divBdr>
    </w:div>
    <w:div w:id="787896971">
      <w:bodyDiv w:val="1"/>
      <w:marLeft w:val="0"/>
      <w:marRight w:val="0"/>
      <w:marTop w:val="0"/>
      <w:marBottom w:val="0"/>
      <w:divBdr>
        <w:top w:val="none" w:sz="0" w:space="0" w:color="auto"/>
        <w:left w:val="none" w:sz="0" w:space="0" w:color="auto"/>
        <w:bottom w:val="none" w:sz="0" w:space="0" w:color="auto"/>
        <w:right w:val="none" w:sz="0" w:space="0" w:color="auto"/>
      </w:divBdr>
    </w:div>
    <w:div w:id="815486457">
      <w:bodyDiv w:val="1"/>
      <w:marLeft w:val="0"/>
      <w:marRight w:val="0"/>
      <w:marTop w:val="0"/>
      <w:marBottom w:val="0"/>
      <w:divBdr>
        <w:top w:val="none" w:sz="0" w:space="0" w:color="auto"/>
        <w:left w:val="none" w:sz="0" w:space="0" w:color="auto"/>
        <w:bottom w:val="none" w:sz="0" w:space="0" w:color="auto"/>
        <w:right w:val="none" w:sz="0" w:space="0" w:color="auto"/>
      </w:divBdr>
    </w:div>
    <w:div w:id="824399440">
      <w:bodyDiv w:val="1"/>
      <w:marLeft w:val="0"/>
      <w:marRight w:val="0"/>
      <w:marTop w:val="0"/>
      <w:marBottom w:val="0"/>
      <w:divBdr>
        <w:top w:val="none" w:sz="0" w:space="0" w:color="auto"/>
        <w:left w:val="none" w:sz="0" w:space="0" w:color="auto"/>
        <w:bottom w:val="none" w:sz="0" w:space="0" w:color="auto"/>
        <w:right w:val="none" w:sz="0" w:space="0" w:color="auto"/>
      </w:divBdr>
    </w:div>
    <w:div w:id="829713106">
      <w:bodyDiv w:val="1"/>
      <w:marLeft w:val="0"/>
      <w:marRight w:val="0"/>
      <w:marTop w:val="0"/>
      <w:marBottom w:val="0"/>
      <w:divBdr>
        <w:top w:val="none" w:sz="0" w:space="0" w:color="auto"/>
        <w:left w:val="none" w:sz="0" w:space="0" w:color="auto"/>
        <w:bottom w:val="none" w:sz="0" w:space="0" w:color="auto"/>
        <w:right w:val="none" w:sz="0" w:space="0" w:color="auto"/>
      </w:divBdr>
    </w:div>
    <w:div w:id="846015301">
      <w:bodyDiv w:val="1"/>
      <w:marLeft w:val="0"/>
      <w:marRight w:val="0"/>
      <w:marTop w:val="0"/>
      <w:marBottom w:val="0"/>
      <w:divBdr>
        <w:top w:val="none" w:sz="0" w:space="0" w:color="auto"/>
        <w:left w:val="none" w:sz="0" w:space="0" w:color="auto"/>
        <w:bottom w:val="none" w:sz="0" w:space="0" w:color="auto"/>
        <w:right w:val="none" w:sz="0" w:space="0" w:color="auto"/>
      </w:divBdr>
    </w:div>
    <w:div w:id="898636621">
      <w:bodyDiv w:val="1"/>
      <w:marLeft w:val="0"/>
      <w:marRight w:val="0"/>
      <w:marTop w:val="0"/>
      <w:marBottom w:val="0"/>
      <w:divBdr>
        <w:top w:val="none" w:sz="0" w:space="0" w:color="auto"/>
        <w:left w:val="none" w:sz="0" w:space="0" w:color="auto"/>
        <w:bottom w:val="none" w:sz="0" w:space="0" w:color="auto"/>
        <w:right w:val="none" w:sz="0" w:space="0" w:color="auto"/>
      </w:divBdr>
    </w:div>
    <w:div w:id="908733534">
      <w:bodyDiv w:val="1"/>
      <w:marLeft w:val="0"/>
      <w:marRight w:val="0"/>
      <w:marTop w:val="0"/>
      <w:marBottom w:val="0"/>
      <w:divBdr>
        <w:top w:val="none" w:sz="0" w:space="0" w:color="auto"/>
        <w:left w:val="none" w:sz="0" w:space="0" w:color="auto"/>
        <w:bottom w:val="none" w:sz="0" w:space="0" w:color="auto"/>
        <w:right w:val="none" w:sz="0" w:space="0" w:color="auto"/>
      </w:divBdr>
    </w:div>
    <w:div w:id="919825429">
      <w:bodyDiv w:val="1"/>
      <w:marLeft w:val="0"/>
      <w:marRight w:val="0"/>
      <w:marTop w:val="0"/>
      <w:marBottom w:val="0"/>
      <w:divBdr>
        <w:top w:val="none" w:sz="0" w:space="0" w:color="auto"/>
        <w:left w:val="none" w:sz="0" w:space="0" w:color="auto"/>
        <w:bottom w:val="none" w:sz="0" w:space="0" w:color="auto"/>
        <w:right w:val="none" w:sz="0" w:space="0" w:color="auto"/>
      </w:divBdr>
    </w:div>
    <w:div w:id="924606199">
      <w:bodyDiv w:val="1"/>
      <w:marLeft w:val="0"/>
      <w:marRight w:val="0"/>
      <w:marTop w:val="0"/>
      <w:marBottom w:val="0"/>
      <w:divBdr>
        <w:top w:val="none" w:sz="0" w:space="0" w:color="auto"/>
        <w:left w:val="none" w:sz="0" w:space="0" w:color="auto"/>
        <w:bottom w:val="none" w:sz="0" w:space="0" w:color="auto"/>
        <w:right w:val="none" w:sz="0" w:space="0" w:color="auto"/>
      </w:divBdr>
    </w:div>
    <w:div w:id="925765309">
      <w:bodyDiv w:val="1"/>
      <w:marLeft w:val="0"/>
      <w:marRight w:val="0"/>
      <w:marTop w:val="0"/>
      <w:marBottom w:val="0"/>
      <w:divBdr>
        <w:top w:val="none" w:sz="0" w:space="0" w:color="auto"/>
        <w:left w:val="none" w:sz="0" w:space="0" w:color="auto"/>
        <w:bottom w:val="none" w:sz="0" w:space="0" w:color="auto"/>
        <w:right w:val="none" w:sz="0" w:space="0" w:color="auto"/>
      </w:divBdr>
    </w:div>
    <w:div w:id="938365657">
      <w:bodyDiv w:val="1"/>
      <w:marLeft w:val="0"/>
      <w:marRight w:val="0"/>
      <w:marTop w:val="0"/>
      <w:marBottom w:val="0"/>
      <w:divBdr>
        <w:top w:val="none" w:sz="0" w:space="0" w:color="auto"/>
        <w:left w:val="none" w:sz="0" w:space="0" w:color="auto"/>
        <w:bottom w:val="none" w:sz="0" w:space="0" w:color="auto"/>
        <w:right w:val="none" w:sz="0" w:space="0" w:color="auto"/>
      </w:divBdr>
    </w:div>
    <w:div w:id="953293533">
      <w:bodyDiv w:val="1"/>
      <w:marLeft w:val="0"/>
      <w:marRight w:val="0"/>
      <w:marTop w:val="0"/>
      <w:marBottom w:val="0"/>
      <w:divBdr>
        <w:top w:val="none" w:sz="0" w:space="0" w:color="auto"/>
        <w:left w:val="none" w:sz="0" w:space="0" w:color="auto"/>
        <w:bottom w:val="none" w:sz="0" w:space="0" w:color="auto"/>
        <w:right w:val="none" w:sz="0" w:space="0" w:color="auto"/>
      </w:divBdr>
    </w:div>
    <w:div w:id="975336739">
      <w:bodyDiv w:val="1"/>
      <w:marLeft w:val="0"/>
      <w:marRight w:val="0"/>
      <w:marTop w:val="0"/>
      <w:marBottom w:val="0"/>
      <w:divBdr>
        <w:top w:val="none" w:sz="0" w:space="0" w:color="auto"/>
        <w:left w:val="none" w:sz="0" w:space="0" w:color="auto"/>
        <w:bottom w:val="none" w:sz="0" w:space="0" w:color="auto"/>
        <w:right w:val="none" w:sz="0" w:space="0" w:color="auto"/>
      </w:divBdr>
    </w:div>
    <w:div w:id="981737401">
      <w:bodyDiv w:val="1"/>
      <w:marLeft w:val="0"/>
      <w:marRight w:val="0"/>
      <w:marTop w:val="0"/>
      <w:marBottom w:val="0"/>
      <w:divBdr>
        <w:top w:val="none" w:sz="0" w:space="0" w:color="auto"/>
        <w:left w:val="none" w:sz="0" w:space="0" w:color="auto"/>
        <w:bottom w:val="none" w:sz="0" w:space="0" w:color="auto"/>
        <w:right w:val="none" w:sz="0" w:space="0" w:color="auto"/>
      </w:divBdr>
    </w:div>
    <w:div w:id="997151118">
      <w:bodyDiv w:val="1"/>
      <w:marLeft w:val="0"/>
      <w:marRight w:val="0"/>
      <w:marTop w:val="0"/>
      <w:marBottom w:val="0"/>
      <w:divBdr>
        <w:top w:val="none" w:sz="0" w:space="0" w:color="auto"/>
        <w:left w:val="none" w:sz="0" w:space="0" w:color="auto"/>
        <w:bottom w:val="none" w:sz="0" w:space="0" w:color="auto"/>
        <w:right w:val="none" w:sz="0" w:space="0" w:color="auto"/>
      </w:divBdr>
    </w:div>
    <w:div w:id="1007903850">
      <w:bodyDiv w:val="1"/>
      <w:marLeft w:val="0"/>
      <w:marRight w:val="0"/>
      <w:marTop w:val="0"/>
      <w:marBottom w:val="0"/>
      <w:divBdr>
        <w:top w:val="none" w:sz="0" w:space="0" w:color="auto"/>
        <w:left w:val="none" w:sz="0" w:space="0" w:color="auto"/>
        <w:bottom w:val="none" w:sz="0" w:space="0" w:color="auto"/>
        <w:right w:val="none" w:sz="0" w:space="0" w:color="auto"/>
      </w:divBdr>
    </w:div>
    <w:div w:id="1020546693">
      <w:bodyDiv w:val="1"/>
      <w:marLeft w:val="0"/>
      <w:marRight w:val="0"/>
      <w:marTop w:val="0"/>
      <w:marBottom w:val="0"/>
      <w:divBdr>
        <w:top w:val="none" w:sz="0" w:space="0" w:color="auto"/>
        <w:left w:val="none" w:sz="0" w:space="0" w:color="auto"/>
        <w:bottom w:val="none" w:sz="0" w:space="0" w:color="auto"/>
        <w:right w:val="none" w:sz="0" w:space="0" w:color="auto"/>
      </w:divBdr>
    </w:div>
    <w:div w:id="1030761933">
      <w:bodyDiv w:val="1"/>
      <w:marLeft w:val="0"/>
      <w:marRight w:val="0"/>
      <w:marTop w:val="0"/>
      <w:marBottom w:val="0"/>
      <w:divBdr>
        <w:top w:val="none" w:sz="0" w:space="0" w:color="auto"/>
        <w:left w:val="none" w:sz="0" w:space="0" w:color="auto"/>
        <w:bottom w:val="none" w:sz="0" w:space="0" w:color="auto"/>
        <w:right w:val="none" w:sz="0" w:space="0" w:color="auto"/>
      </w:divBdr>
    </w:div>
    <w:div w:id="1031761437">
      <w:bodyDiv w:val="1"/>
      <w:marLeft w:val="0"/>
      <w:marRight w:val="0"/>
      <w:marTop w:val="0"/>
      <w:marBottom w:val="0"/>
      <w:divBdr>
        <w:top w:val="none" w:sz="0" w:space="0" w:color="auto"/>
        <w:left w:val="none" w:sz="0" w:space="0" w:color="auto"/>
        <w:bottom w:val="none" w:sz="0" w:space="0" w:color="auto"/>
        <w:right w:val="none" w:sz="0" w:space="0" w:color="auto"/>
      </w:divBdr>
      <w:divsChild>
        <w:div w:id="1805417742">
          <w:marLeft w:val="0"/>
          <w:marRight w:val="0"/>
          <w:marTop w:val="0"/>
          <w:marBottom w:val="0"/>
          <w:divBdr>
            <w:top w:val="none" w:sz="0" w:space="0" w:color="auto"/>
            <w:left w:val="none" w:sz="0" w:space="0" w:color="auto"/>
            <w:bottom w:val="none" w:sz="0" w:space="0" w:color="auto"/>
            <w:right w:val="none" w:sz="0" w:space="0" w:color="auto"/>
          </w:divBdr>
        </w:div>
      </w:divsChild>
    </w:div>
    <w:div w:id="1047800114">
      <w:bodyDiv w:val="1"/>
      <w:marLeft w:val="0"/>
      <w:marRight w:val="0"/>
      <w:marTop w:val="0"/>
      <w:marBottom w:val="0"/>
      <w:divBdr>
        <w:top w:val="none" w:sz="0" w:space="0" w:color="auto"/>
        <w:left w:val="none" w:sz="0" w:space="0" w:color="auto"/>
        <w:bottom w:val="none" w:sz="0" w:space="0" w:color="auto"/>
        <w:right w:val="none" w:sz="0" w:space="0" w:color="auto"/>
      </w:divBdr>
    </w:div>
    <w:div w:id="1051343065">
      <w:bodyDiv w:val="1"/>
      <w:marLeft w:val="0"/>
      <w:marRight w:val="0"/>
      <w:marTop w:val="0"/>
      <w:marBottom w:val="0"/>
      <w:divBdr>
        <w:top w:val="none" w:sz="0" w:space="0" w:color="auto"/>
        <w:left w:val="none" w:sz="0" w:space="0" w:color="auto"/>
        <w:bottom w:val="none" w:sz="0" w:space="0" w:color="auto"/>
        <w:right w:val="none" w:sz="0" w:space="0" w:color="auto"/>
      </w:divBdr>
    </w:div>
    <w:div w:id="1055860775">
      <w:bodyDiv w:val="1"/>
      <w:marLeft w:val="0"/>
      <w:marRight w:val="0"/>
      <w:marTop w:val="0"/>
      <w:marBottom w:val="0"/>
      <w:divBdr>
        <w:top w:val="none" w:sz="0" w:space="0" w:color="auto"/>
        <w:left w:val="none" w:sz="0" w:space="0" w:color="auto"/>
        <w:bottom w:val="none" w:sz="0" w:space="0" w:color="auto"/>
        <w:right w:val="none" w:sz="0" w:space="0" w:color="auto"/>
      </w:divBdr>
    </w:div>
    <w:div w:id="1069964776">
      <w:bodyDiv w:val="1"/>
      <w:marLeft w:val="0"/>
      <w:marRight w:val="0"/>
      <w:marTop w:val="0"/>
      <w:marBottom w:val="0"/>
      <w:divBdr>
        <w:top w:val="none" w:sz="0" w:space="0" w:color="auto"/>
        <w:left w:val="none" w:sz="0" w:space="0" w:color="auto"/>
        <w:bottom w:val="none" w:sz="0" w:space="0" w:color="auto"/>
        <w:right w:val="none" w:sz="0" w:space="0" w:color="auto"/>
      </w:divBdr>
    </w:div>
    <w:div w:id="1073503132">
      <w:bodyDiv w:val="1"/>
      <w:marLeft w:val="0"/>
      <w:marRight w:val="0"/>
      <w:marTop w:val="0"/>
      <w:marBottom w:val="0"/>
      <w:divBdr>
        <w:top w:val="none" w:sz="0" w:space="0" w:color="auto"/>
        <w:left w:val="none" w:sz="0" w:space="0" w:color="auto"/>
        <w:bottom w:val="none" w:sz="0" w:space="0" w:color="auto"/>
        <w:right w:val="none" w:sz="0" w:space="0" w:color="auto"/>
      </w:divBdr>
    </w:div>
    <w:div w:id="1116632781">
      <w:bodyDiv w:val="1"/>
      <w:marLeft w:val="0"/>
      <w:marRight w:val="0"/>
      <w:marTop w:val="0"/>
      <w:marBottom w:val="0"/>
      <w:divBdr>
        <w:top w:val="none" w:sz="0" w:space="0" w:color="auto"/>
        <w:left w:val="none" w:sz="0" w:space="0" w:color="auto"/>
        <w:bottom w:val="none" w:sz="0" w:space="0" w:color="auto"/>
        <w:right w:val="none" w:sz="0" w:space="0" w:color="auto"/>
      </w:divBdr>
    </w:div>
    <w:div w:id="1121146055">
      <w:bodyDiv w:val="1"/>
      <w:marLeft w:val="0"/>
      <w:marRight w:val="0"/>
      <w:marTop w:val="0"/>
      <w:marBottom w:val="0"/>
      <w:divBdr>
        <w:top w:val="none" w:sz="0" w:space="0" w:color="auto"/>
        <w:left w:val="none" w:sz="0" w:space="0" w:color="auto"/>
        <w:bottom w:val="none" w:sz="0" w:space="0" w:color="auto"/>
        <w:right w:val="none" w:sz="0" w:space="0" w:color="auto"/>
      </w:divBdr>
    </w:div>
    <w:div w:id="1133981128">
      <w:bodyDiv w:val="1"/>
      <w:marLeft w:val="0"/>
      <w:marRight w:val="0"/>
      <w:marTop w:val="0"/>
      <w:marBottom w:val="0"/>
      <w:divBdr>
        <w:top w:val="none" w:sz="0" w:space="0" w:color="auto"/>
        <w:left w:val="none" w:sz="0" w:space="0" w:color="auto"/>
        <w:bottom w:val="none" w:sz="0" w:space="0" w:color="auto"/>
        <w:right w:val="none" w:sz="0" w:space="0" w:color="auto"/>
      </w:divBdr>
    </w:div>
    <w:div w:id="1148715674">
      <w:bodyDiv w:val="1"/>
      <w:marLeft w:val="0"/>
      <w:marRight w:val="0"/>
      <w:marTop w:val="0"/>
      <w:marBottom w:val="0"/>
      <w:divBdr>
        <w:top w:val="none" w:sz="0" w:space="0" w:color="auto"/>
        <w:left w:val="none" w:sz="0" w:space="0" w:color="auto"/>
        <w:bottom w:val="none" w:sz="0" w:space="0" w:color="auto"/>
        <w:right w:val="none" w:sz="0" w:space="0" w:color="auto"/>
      </w:divBdr>
    </w:div>
    <w:div w:id="1176724842">
      <w:bodyDiv w:val="1"/>
      <w:marLeft w:val="0"/>
      <w:marRight w:val="0"/>
      <w:marTop w:val="0"/>
      <w:marBottom w:val="0"/>
      <w:divBdr>
        <w:top w:val="none" w:sz="0" w:space="0" w:color="auto"/>
        <w:left w:val="none" w:sz="0" w:space="0" w:color="auto"/>
        <w:bottom w:val="none" w:sz="0" w:space="0" w:color="auto"/>
        <w:right w:val="none" w:sz="0" w:space="0" w:color="auto"/>
      </w:divBdr>
    </w:div>
    <w:div w:id="1178235273">
      <w:bodyDiv w:val="1"/>
      <w:marLeft w:val="0"/>
      <w:marRight w:val="0"/>
      <w:marTop w:val="0"/>
      <w:marBottom w:val="0"/>
      <w:divBdr>
        <w:top w:val="none" w:sz="0" w:space="0" w:color="auto"/>
        <w:left w:val="none" w:sz="0" w:space="0" w:color="auto"/>
        <w:bottom w:val="none" w:sz="0" w:space="0" w:color="auto"/>
        <w:right w:val="none" w:sz="0" w:space="0" w:color="auto"/>
      </w:divBdr>
    </w:div>
    <w:div w:id="1205168274">
      <w:bodyDiv w:val="1"/>
      <w:marLeft w:val="0"/>
      <w:marRight w:val="0"/>
      <w:marTop w:val="0"/>
      <w:marBottom w:val="0"/>
      <w:divBdr>
        <w:top w:val="none" w:sz="0" w:space="0" w:color="auto"/>
        <w:left w:val="none" w:sz="0" w:space="0" w:color="auto"/>
        <w:bottom w:val="none" w:sz="0" w:space="0" w:color="auto"/>
        <w:right w:val="none" w:sz="0" w:space="0" w:color="auto"/>
      </w:divBdr>
      <w:divsChild>
        <w:div w:id="249629881">
          <w:marLeft w:val="0"/>
          <w:marRight w:val="0"/>
          <w:marTop w:val="0"/>
          <w:marBottom w:val="0"/>
          <w:divBdr>
            <w:top w:val="none" w:sz="0" w:space="0" w:color="auto"/>
            <w:left w:val="none" w:sz="0" w:space="0" w:color="auto"/>
            <w:bottom w:val="none" w:sz="0" w:space="0" w:color="auto"/>
            <w:right w:val="none" w:sz="0" w:space="0" w:color="auto"/>
          </w:divBdr>
        </w:div>
        <w:div w:id="287593800">
          <w:marLeft w:val="0"/>
          <w:marRight w:val="0"/>
          <w:marTop w:val="0"/>
          <w:marBottom w:val="0"/>
          <w:divBdr>
            <w:top w:val="none" w:sz="0" w:space="0" w:color="auto"/>
            <w:left w:val="none" w:sz="0" w:space="0" w:color="auto"/>
            <w:bottom w:val="none" w:sz="0" w:space="0" w:color="auto"/>
            <w:right w:val="none" w:sz="0" w:space="0" w:color="auto"/>
          </w:divBdr>
        </w:div>
        <w:div w:id="1313022347">
          <w:marLeft w:val="0"/>
          <w:marRight w:val="0"/>
          <w:marTop w:val="0"/>
          <w:marBottom w:val="0"/>
          <w:divBdr>
            <w:top w:val="none" w:sz="0" w:space="0" w:color="auto"/>
            <w:left w:val="none" w:sz="0" w:space="0" w:color="auto"/>
            <w:bottom w:val="none" w:sz="0" w:space="0" w:color="auto"/>
            <w:right w:val="none" w:sz="0" w:space="0" w:color="auto"/>
          </w:divBdr>
        </w:div>
        <w:div w:id="1330015429">
          <w:marLeft w:val="0"/>
          <w:marRight w:val="0"/>
          <w:marTop w:val="0"/>
          <w:marBottom w:val="0"/>
          <w:divBdr>
            <w:top w:val="none" w:sz="0" w:space="0" w:color="auto"/>
            <w:left w:val="none" w:sz="0" w:space="0" w:color="auto"/>
            <w:bottom w:val="none" w:sz="0" w:space="0" w:color="auto"/>
            <w:right w:val="none" w:sz="0" w:space="0" w:color="auto"/>
          </w:divBdr>
        </w:div>
        <w:div w:id="1672444478">
          <w:marLeft w:val="0"/>
          <w:marRight w:val="0"/>
          <w:marTop w:val="0"/>
          <w:marBottom w:val="0"/>
          <w:divBdr>
            <w:top w:val="none" w:sz="0" w:space="0" w:color="auto"/>
            <w:left w:val="none" w:sz="0" w:space="0" w:color="auto"/>
            <w:bottom w:val="none" w:sz="0" w:space="0" w:color="auto"/>
            <w:right w:val="none" w:sz="0" w:space="0" w:color="auto"/>
          </w:divBdr>
        </w:div>
        <w:div w:id="1801192058">
          <w:marLeft w:val="0"/>
          <w:marRight w:val="0"/>
          <w:marTop w:val="0"/>
          <w:marBottom w:val="0"/>
          <w:divBdr>
            <w:top w:val="none" w:sz="0" w:space="0" w:color="auto"/>
            <w:left w:val="none" w:sz="0" w:space="0" w:color="auto"/>
            <w:bottom w:val="none" w:sz="0" w:space="0" w:color="auto"/>
            <w:right w:val="none" w:sz="0" w:space="0" w:color="auto"/>
          </w:divBdr>
        </w:div>
        <w:div w:id="1855993389">
          <w:marLeft w:val="0"/>
          <w:marRight w:val="0"/>
          <w:marTop w:val="0"/>
          <w:marBottom w:val="0"/>
          <w:divBdr>
            <w:top w:val="none" w:sz="0" w:space="0" w:color="auto"/>
            <w:left w:val="none" w:sz="0" w:space="0" w:color="auto"/>
            <w:bottom w:val="none" w:sz="0" w:space="0" w:color="auto"/>
            <w:right w:val="none" w:sz="0" w:space="0" w:color="auto"/>
          </w:divBdr>
        </w:div>
        <w:div w:id="1887637314">
          <w:marLeft w:val="0"/>
          <w:marRight w:val="0"/>
          <w:marTop w:val="0"/>
          <w:marBottom w:val="0"/>
          <w:divBdr>
            <w:top w:val="none" w:sz="0" w:space="0" w:color="auto"/>
            <w:left w:val="none" w:sz="0" w:space="0" w:color="auto"/>
            <w:bottom w:val="none" w:sz="0" w:space="0" w:color="auto"/>
            <w:right w:val="none" w:sz="0" w:space="0" w:color="auto"/>
          </w:divBdr>
        </w:div>
        <w:div w:id="2016107568">
          <w:marLeft w:val="0"/>
          <w:marRight w:val="0"/>
          <w:marTop w:val="0"/>
          <w:marBottom w:val="0"/>
          <w:divBdr>
            <w:top w:val="none" w:sz="0" w:space="0" w:color="auto"/>
            <w:left w:val="none" w:sz="0" w:space="0" w:color="auto"/>
            <w:bottom w:val="none" w:sz="0" w:space="0" w:color="auto"/>
            <w:right w:val="none" w:sz="0" w:space="0" w:color="auto"/>
          </w:divBdr>
        </w:div>
      </w:divsChild>
    </w:div>
    <w:div w:id="1212570431">
      <w:bodyDiv w:val="1"/>
      <w:marLeft w:val="0"/>
      <w:marRight w:val="0"/>
      <w:marTop w:val="0"/>
      <w:marBottom w:val="0"/>
      <w:divBdr>
        <w:top w:val="none" w:sz="0" w:space="0" w:color="auto"/>
        <w:left w:val="none" w:sz="0" w:space="0" w:color="auto"/>
        <w:bottom w:val="none" w:sz="0" w:space="0" w:color="auto"/>
        <w:right w:val="none" w:sz="0" w:space="0" w:color="auto"/>
      </w:divBdr>
    </w:div>
    <w:div w:id="1223565155">
      <w:bodyDiv w:val="1"/>
      <w:marLeft w:val="0"/>
      <w:marRight w:val="0"/>
      <w:marTop w:val="0"/>
      <w:marBottom w:val="0"/>
      <w:divBdr>
        <w:top w:val="none" w:sz="0" w:space="0" w:color="auto"/>
        <w:left w:val="none" w:sz="0" w:space="0" w:color="auto"/>
        <w:bottom w:val="none" w:sz="0" w:space="0" w:color="auto"/>
        <w:right w:val="none" w:sz="0" w:space="0" w:color="auto"/>
      </w:divBdr>
    </w:div>
    <w:div w:id="1238858871">
      <w:bodyDiv w:val="1"/>
      <w:marLeft w:val="0"/>
      <w:marRight w:val="0"/>
      <w:marTop w:val="0"/>
      <w:marBottom w:val="0"/>
      <w:divBdr>
        <w:top w:val="none" w:sz="0" w:space="0" w:color="auto"/>
        <w:left w:val="none" w:sz="0" w:space="0" w:color="auto"/>
        <w:bottom w:val="none" w:sz="0" w:space="0" w:color="auto"/>
        <w:right w:val="none" w:sz="0" w:space="0" w:color="auto"/>
      </w:divBdr>
    </w:div>
    <w:div w:id="1253054001">
      <w:bodyDiv w:val="1"/>
      <w:marLeft w:val="0"/>
      <w:marRight w:val="0"/>
      <w:marTop w:val="0"/>
      <w:marBottom w:val="0"/>
      <w:divBdr>
        <w:top w:val="none" w:sz="0" w:space="0" w:color="auto"/>
        <w:left w:val="none" w:sz="0" w:space="0" w:color="auto"/>
        <w:bottom w:val="none" w:sz="0" w:space="0" w:color="auto"/>
        <w:right w:val="none" w:sz="0" w:space="0" w:color="auto"/>
      </w:divBdr>
      <w:divsChild>
        <w:div w:id="133724294">
          <w:marLeft w:val="0"/>
          <w:marRight w:val="0"/>
          <w:marTop w:val="0"/>
          <w:marBottom w:val="0"/>
          <w:divBdr>
            <w:top w:val="none" w:sz="0" w:space="0" w:color="auto"/>
            <w:left w:val="none" w:sz="0" w:space="0" w:color="auto"/>
            <w:bottom w:val="none" w:sz="0" w:space="0" w:color="auto"/>
            <w:right w:val="none" w:sz="0" w:space="0" w:color="auto"/>
          </w:divBdr>
        </w:div>
      </w:divsChild>
    </w:div>
    <w:div w:id="1273395166">
      <w:bodyDiv w:val="1"/>
      <w:marLeft w:val="0"/>
      <w:marRight w:val="0"/>
      <w:marTop w:val="0"/>
      <w:marBottom w:val="0"/>
      <w:divBdr>
        <w:top w:val="none" w:sz="0" w:space="0" w:color="auto"/>
        <w:left w:val="none" w:sz="0" w:space="0" w:color="auto"/>
        <w:bottom w:val="none" w:sz="0" w:space="0" w:color="auto"/>
        <w:right w:val="none" w:sz="0" w:space="0" w:color="auto"/>
      </w:divBdr>
    </w:div>
    <w:div w:id="1274941871">
      <w:bodyDiv w:val="1"/>
      <w:marLeft w:val="0"/>
      <w:marRight w:val="0"/>
      <w:marTop w:val="0"/>
      <w:marBottom w:val="0"/>
      <w:divBdr>
        <w:top w:val="none" w:sz="0" w:space="0" w:color="auto"/>
        <w:left w:val="none" w:sz="0" w:space="0" w:color="auto"/>
        <w:bottom w:val="none" w:sz="0" w:space="0" w:color="auto"/>
        <w:right w:val="none" w:sz="0" w:space="0" w:color="auto"/>
      </w:divBdr>
    </w:div>
    <w:div w:id="1321233716">
      <w:bodyDiv w:val="1"/>
      <w:marLeft w:val="0"/>
      <w:marRight w:val="0"/>
      <w:marTop w:val="0"/>
      <w:marBottom w:val="0"/>
      <w:divBdr>
        <w:top w:val="none" w:sz="0" w:space="0" w:color="auto"/>
        <w:left w:val="none" w:sz="0" w:space="0" w:color="auto"/>
        <w:bottom w:val="none" w:sz="0" w:space="0" w:color="auto"/>
        <w:right w:val="none" w:sz="0" w:space="0" w:color="auto"/>
      </w:divBdr>
    </w:div>
    <w:div w:id="1321345175">
      <w:bodyDiv w:val="1"/>
      <w:marLeft w:val="0"/>
      <w:marRight w:val="0"/>
      <w:marTop w:val="0"/>
      <w:marBottom w:val="0"/>
      <w:divBdr>
        <w:top w:val="none" w:sz="0" w:space="0" w:color="auto"/>
        <w:left w:val="none" w:sz="0" w:space="0" w:color="auto"/>
        <w:bottom w:val="none" w:sz="0" w:space="0" w:color="auto"/>
        <w:right w:val="none" w:sz="0" w:space="0" w:color="auto"/>
      </w:divBdr>
    </w:div>
    <w:div w:id="1322003968">
      <w:bodyDiv w:val="1"/>
      <w:marLeft w:val="0"/>
      <w:marRight w:val="0"/>
      <w:marTop w:val="0"/>
      <w:marBottom w:val="0"/>
      <w:divBdr>
        <w:top w:val="none" w:sz="0" w:space="0" w:color="auto"/>
        <w:left w:val="none" w:sz="0" w:space="0" w:color="auto"/>
        <w:bottom w:val="none" w:sz="0" w:space="0" w:color="auto"/>
        <w:right w:val="none" w:sz="0" w:space="0" w:color="auto"/>
      </w:divBdr>
    </w:div>
    <w:div w:id="1335768467">
      <w:bodyDiv w:val="1"/>
      <w:marLeft w:val="0"/>
      <w:marRight w:val="0"/>
      <w:marTop w:val="0"/>
      <w:marBottom w:val="0"/>
      <w:divBdr>
        <w:top w:val="none" w:sz="0" w:space="0" w:color="auto"/>
        <w:left w:val="none" w:sz="0" w:space="0" w:color="auto"/>
        <w:bottom w:val="none" w:sz="0" w:space="0" w:color="auto"/>
        <w:right w:val="none" w:sz="0" w:space="0" w:color="auto"/>
      </w:divBdr>
    </w:div>
    <w:div w:id="1367021334">
      <w:bodyDiv w:val="1"/>
      <w:marLeft w:val="0"/>
      <w:marRight w:val="0"/>
      <w:marTop w:val="0"/>
      <w:marBottom w:val="0"/>
      <w:divBdr>
        <w:top w:val="none" w:sz="0" w:space="0" w:color="auto"/>
        <w:left w:val="none" w:sz="0" w:space="0" w:color="auto"/>
        <w:bottom w:val="none" w:sz="0" w:space="0" w:color="auto"/>
        <w:right w:val="none" w:sz="0" w:space="0" w:color="auto"/>
      </w:divBdr>
    </w:div>
    <w:div w:id="1376345251">
      <w:bodyDiv w:val="1"/>
      <w:marLeft w:val="0"/>
      <w:marRight w:val="0"/>
      <w:marTop w:val="0"/>
      <w:marBottom w:val="0"/>
      <w:divBdr>
        <w:top w:val="none" w:sz="0" w:space="0" w:color="auto"/>
        <w:left w:val="none" w:sz="0" w:space="0" w:color="auto"/>
        <w:bottom w:val="none" w:sz="0" w:space="0" w:color="auto"/>
        <w:right w:val="none" w:sz="0" w:space="0" w:color="auto"/>
      </w:divBdr>
    </w:div>
    <w:div w:id="1383942623">
      <w:bodyDiv w:val="1"/>
      <w:marLeft w:val="0"/>
      <w:marRight w:val="0"/>
      <w:marTop w:val="0"/>
      <w:marBottom w:val="0"/>
      <w:divBdr>
        <w:top w:val="none" w:sz="0" w:space="0" w:color="auto"/>
        <w:left w:val="none" w:sz="0" w:space="0" w:color="auto"/>
        <w:bottom w:val="none" w:sz="0" w:space="0" w:color="auto"/>
        <w:right w:val="none" w:sz="0" w:space="0" w:color="auto"/>
      </w:divBdr>
    </w:div>
    <w:div w:id="1416707832">
      <w:bodyDiv w:val="1"/>
      <w:marLeft w:val="0"/>
      <w:marRight w:val="0"/>
      <w:marTop w:val="0"/>
      <w:marBottom w:val="0"/>
      <w:divBdr>
        <w:top w:val="none" w:sz="0" w:space="0" w:color="auto"/>
        <w:left w:val="none" w:sz="0" w:space="0" w:color="auto"/>
        <w:bottom w:val="none" w:sz="0" w:space="0" w:color="auto"/>
        <w:right w:val="none" w:sz="0" w:space="0" w:color="auto"/>
      </w:divBdr>
    </w:div>
    <w:div w:id="1417559635">
      <w:bodyDiv w:val="1"/>
      <w:marLeft w:val="0"/>
      <w:marRight w:val="0"/>
      <w:marTop w:val="0"/>
      <w:marBottom w:val="0"/>
      <w:divBdr>
        <w:top w:val="none" w:sz="0" w:space="0" w:color="auto"/>
        <w:left w:val="none" w:sz="0" w:space="0" w:color="auto"/>
        <w:bottom w:val="none" w:sz="0" w:space="0" w:color="auto"/>
        <w:right w:val="none" w:sz="0" w:space="0" w:color="auto"/>
      </w:divBdr>
    </w:div>
    <w:div w:id="1437092154">
      <w:bodyDiv w:val="1"/>
      <w:marLeft w:val="0"/>
      <w:marRight w:val="0"/>
      <w:marTop w:val="0"/>
      <w:marBottom w:val="0"/>
      <w:divBdr>
        <w:top w:val="none" w:sz="0" w:space="0" w:color="auto"/>
        <w:left w:val="none" w:sz="0" w:space="0" w:color="auto"/>
        <w:bottom w:val="none" w:sz="0" w:space="0" w:color="auto"/>
        <w:right w:val="none" w:sz="0" w:space="0" w:color="auto"/>
      </w:divBdr>
    </w:div>
    <w:div w:id="1440371227">
      <w:bodyDiv w:val="1"/>
      <w:marLeft w:val="0"/>
      <w:marRight w:val="0"/>
      <w:marTop w:val="0"/>
      <w:marBottom w:val="0"/>
      <w:divBdr>
        <w:top w:val="none" w:sz="0" w:space="0" w:color="auto"/>
        <w:left w:val="none" w:sz="0" w:space="0" w:color="auto"/>
        <w:bottom w:val="none" w:sz="0" w:space="0" w:color="auto"/>
        <w:right w:val="none" w:sz="0" w:space="0" w:color="auto"/>
      </w:divBdr>
    </w:div>
    <w:div w:id="1446536398">
      <w:bodyDiv w:val="1"/>
      <w:marLeft w:val="0"/>
      <w:marRight w:val="0"/>
      <w:marTop w:val="0"/>
      <w:marBottom w:val="0"/>
      <w:divBdr>
        <w:top w:val="none" w:sz="0" w:space="0" w:color="auto"/>
        <w:left w:val="none" w:sz="0" w:space="0" w:color="auto"/>
        <w:bottom w:val="none" w:sz="0" w:space="0" w:color="auto"/>
        <w:right w:val="none" w:sz="0" w:space="0" w:color="auto"/>
      </w:divBdr>
    </w:div>
    <w:div w:id="1477725248">
      <w:bodyDiv w:val="1"/>
      <w:marLeft w:val="0"/>
      <w:marRight w:val="0"/>
      <w:marTop w:val="0"/>
      <w:marBottom w:val="0"/>
      <w:divBdr>
        <w:top w:val="none" w:sz="0" w:space="0" w:color="auto"/>
        <w:left w:val="none" w:sz="0" w:space="0" w:color="auto"/>
        <w:bottom w:val="none" w:sz="0" w:space="0" w:color="auto"/>
        <w:right w:val="none" w:sz="0" w:space="0" w:color="auto"/>
      </w:divBdr>
      <w:divsChild>
        <w:div w:id="2145730650">
          <w:marLeft w:val="0"/>
          <w:marRight w:val="0"/>
          <w:marTop w:val="0"/>
          <w:marBottom w:val="0"/>
          <w:divBdr>
            <w:top w:val="none" w:sz="0" w:space="0" w:color="auto"/>
            <w:left w:val="none" w:sz="0" w:space="0" w:color="auto"/>
            <w:bottom w:val="none" w:sz="0" w:space="0" w:color="auto"/>
            <w:right w:val="none" w:sz="0" w:space="0" w:color="auto"/>
          </w:divBdr>
        </w:div>
      </w:divsChild>
    </w:div>
    <w:div w:id="1491630146">
      <w:bodyDiv w:val="1"/>
      <w:marLeft w:val="0"/>
      <w:marRight w:val="0"/>
      <w:marTop w:val="0"/>
      <w:marBottom w:val="0"/>
      <w:divBdr>
        <w:top w:val="none" w:sz="0" w:space="0" w:color="auto"/>
        <w:left w:val="none" w:sz="0" w:space="0" w:color="auto"/>
        <w:bottom w:val="none" w:sz="0" w:space="0" w:color="auto"/>
        <w:right w:val="none" w:sz="0" w:space="0" w:color="auto"/>
      </w:divBdr>
    </w:div>
    <w:div w:id="1504776616">
      <w:bodyDiv w:val="1"/>
      <w:marLeft w:val="0"/>
      <w:marRight w:val="0"/>
      <w:marTop w:val="0"/>
      <w:marBottom w:val="0"/>
      <w:divBdr>
        <w:top w:val="none" w:sz="0" w:space="0" w:color="auto"/>
        <w:left w:val="none" w:sz="0" w:space="0" w:color="auto"/>
        <w:bottom w:val="none" w:sz="0" w:space="0" w:color="auto"/>
        <w:right w:val="none" w:sz="0" w:space="0" w:color="auto"/>
      </w:divBdr>
    </w:div>
    <w:div w:id="1510874418">
      <w:bodyDiv w:val="1"/>
      <w:marLeft w:val="0"/>
      <w:marRight w:val="0"/>
      <w:marTop w:val="0"/>
      <w:marBottom w:val="0"/>
      <w:divBdr>
        <w:top w:val="none" w:sz="0" w:space="0" w:color="auto"/>
        <w:left w:val="none" w:sz="0" w:space="0" w:color="auto"/>
        <w:bottom w:val="none" w:sz="0" w:space="0" w:color="auto"/>
        <w:right w:val="none" w:sz="0" w:space="0" w:color="auto"/>
      </w:divBdr>
    </w:div>
    <w:div w:id="1528130600">
      <w:bodyDiv w:val="1"/>
      <w:marLeft w:val="0"/>
      <w:marRight w:val="0"/>
      <w:marTop w:val="0"/>
      <w:marBottom w:val="0"/>
      <w:divBdr>
        <w:top w:val="none" w:sz="0" w:space="0" w:color="auto"/>
        <w:left w:val="none" w:sz="0" w:space="0" w:color="auto"/>
        <w:bottom w:val="none" w:sz="0" w:space="0" w:color="auto"/>
        <w:right w:val="none" w:sz="0" w:space="0" w:color="auto"/>
      </w:divBdr>
    </w:div>
    <w:div w:id="1531213739">
      <w:bodyDiv w:val="1"/>
      <w:marLeft w:val="0"/>
      <w:marRight w:val="0"/>
      <w:marTop w:val="0"/>
      <w:marBottom w:val="0"/>
      <w:divBdr>
        <w:top w:val="none" w:sz="0" w:space="0" w:color="auto"/>
        <w:left w:val="none" w:sz="0" w:space="0" w:color="auto"/>
        <w:bottom w:val="none" w:sz="0" w:space="0" w:color="auto"/>
        <w:right w:val="none" w:sz="0" w:space="0" w:color="auto"/>
      </w:divBdr>
    </w:div>
    <w:div w:id="1538618035">
      <w:bodyDiv w:val="1"/>
      <w:marLeft w:val="0"/>
      <w:marRight w:val="0"/>
      <w:marTop w:val="0"/>
      <w:marBottom w:val="0"/>
      <w:divBdr>
        <w:top w:val="none" w:sz="0" w:space="0" w:color="auto"/>
        <w:left w:val="none" w:sz="0" w:space="0" w:color="auto"/>
        <w:bottom w:val="none" w:sz="0" w:space="0" w:color="auto"/>
        <w:right w:val="none" w:sz="0" w:space="0" w:color="auto"/>
      </w:divBdr>
    </w:div>
    <w:div w:id="1544368069">
      <w:bodyDiv w:val="1"/>
      <w:marLeft w:val="0"/>
      <w:marRight w:val="0"/>
      <w:marTop w:val="0"/>
      <w:marBottom w:val="0"/>
      <w:divBdr>
        <w:top w:val="none" w:sz="0" w:space="0" w:color="auto"/>
        <w:left w:val="none" w:sz="0" w:space="0" w:color="auto"/>
        <w:bottom w:val="none" w:sz="0" w:space="0" w:color="auto"/>
        <w:right w:val="none" w:sz="0" w:space="0" w:color="auto"/>
      </w:divBdr>
    </w:div>
    <w:div w:id="1546215695">
      <w:bodyDiv w:val="1"/>
      <w:marLeft w:val="0"/>
      <w:marRight w:val="0"/>
      <w:marTop w:val="0"/>
      <w:marBottom w:val="0"/>
      <w:divBdr>
        <w:top w:val="none" w:sz="0" w:space="0" w:color="auto"/>
        <w:left w:val="none" w:sz="0" w:space="0" w:color="auto"/>
        <w:bottom w:val="none" w:sz="0" w:space="0" w:color="auto"/>
        <w:right w:val="none" w:sz="0" w:space="0" w:color="auto"/>
      </w:divBdr>
    </w:div>
    <w:div w:id="1551989349">
      <w:bodyDiv w:val="1"/>
      <w:marLeft w:val="0"/>
      <w:marRight w:val="0"/>
      <w:marTop w:val="0"/>
      <w:marBottom w:val="0"/>
      <w:divBdr>
        <w:top w:val="none" w:sz="0" w:space="0" w:color="auto"/>
        <w:left w:val="none" w:sz="0" w:space="0" w:color="auto"/>
        <w:bottom w:val="none" w:sz="0" w:space="0" w:color="auto"/>
        <w:right w:val="none" w:sz="0" w:space="0" w:color="auto"/>
      </w:divBdr>
    </w:div>
    <w:div w:id="1566452636">
      <w:bodyDiv w:val="1"/>
      <w:marLeft w:val="0"/>
      <w:marRight w:val="0"/>
      <w:marTop w:val="0"/>
      <w:marBottom w:val="0"/>
      <w:divBdr>
        <w:top w:val="none" w:sz="0" w:space="0" w:color="auto"/>
        <w:left w:val="none" w:sz="0" w:space="0" w:color="auto"/>
        <w:bottom w:val="none" w:sz="0" w:space="0" w:color="auto"/>
        <w:right w:val="none" w:sz="0" w:space="0" w:color="auto"/>
      </w:divBdr>
    </w:div>
    <w:div w:id="1566993395">
      <w:bodyDiv w:val="1"/>
      <w:marLeft w:val="0"/>
      <w:marRight w:val="0"/>
      <w:marTop w:val="0"/>
      <w:marBottom w:val="0"/>
      <w:divBdr>
        <w:top w:val="none" w:sz="0" w:space="0" w:color="auto"/>
        <w:left w:val="none" w:sz="0" w:space="0" w:color="auto"/>
        <w:bottom w:val="none" w:sz="0" w:space="0" w:color="auto"/>
        <w:right w:val="none" w:sz="0" w:space="0" w:color="auto"/>
      </w:divBdr>
    </w:div>
    <w:div w:id="1576626244">
      <w:bodyDiv w:val="1"/>
      <w:marLeft w:val="0"/>
      <w:marRight w:val="0"/>
      <w:marTop w:val="0"/>
      <w:marBottom w:val="0"/>
      <w:divBdr>
        <w:top w:val="none" w:sz="0" w:space="0" w:color="auto"/>
        <w:left w:val="none" w:sz="0" w:space="0" w:color="auto"/>
        <w:bottom w:val="none" w:sz="0" w:space="0" w:color="auto"/>
        <w:right w:val="none" w:sz="0" w:space="0" w:color="auto"/>
      </w:divBdr>
    </w:div>
    <w:div w:id="1582333386">
      <w:bodyDiv w:val="1"/>
      <w:marLeft w:val="0"/>
      <w:marRight w:val="0"/>
      <w:marTop w:val="0"/>
      <w:marBottom w:val="0"/>
      <w:divBdr>
        <w:top w:val="none" w:sz="0" w:space="0" w:color="auto"/>
        <w:left w:val="none" w:sz="0" w:space="0" w:color="auto"/>
        <w:bottom w:val="none" w:sz="0" w:space="0" w:color="auto"/>
        <w:right w:val="none" w:sz="0" w:space="0" w:color="auto"/>
      </w:divBdr>
    </w:div>
    <w:div w:id="1597640160">
      <w:bodyDiv w:val="1"/>
      <w:marLeft w:val="0"/>
      <w:marRight w:val="0"/>
      <w:marTop w:val="0"/>
      <w:marBottom w:val="0"/>
      <w:divBdr>
        <w:top w:val="none" w:sz="0" w:space="0" w:color="auto"/>
        <w:left w:val="none" w:sz="0" w:space="0" w:color="auto"/>
        <w:bottom w:val="none" w:sz="0" w:space="0" w:color="auto"/>
        <w:right w:val="none" w:sz="0" w:space="0" w:color="auto"/>
      </w:divBdr>
    </w:div>
    <w:div w:id="1601185460">
      <w:bodyDiv w:val="1"/>
      <w:marLeft w:val="0"/>
      <w:marRight w:val="0"/>
      <w:marTop w:val="0"/>
      <w:marBottom w:val="0"/>
      <w:divBdr>
        <w:top w:val="none" w:sz="0" w:space="0" w:color="auto"/>
        <w:left w:val="none" w:sz="0" w:space="0" w:color="auto"/>
        <w:bottom w:val="none" w:sz="0" w:space="0" w:color="auto"/>
        <w:right w:val="none" w:sz="0" w:space="0" w:color="auto"/>
      </w:divBdr>
    </w:div>
    <w:div w:id="1602420927">
      <w:bodyDiv w:val="1"/>
      <w:marLeft w:val="0"/>
      <w:marRight w:val="0"/>
      <w:marTop w:val="0"/>
      <w:marBottom w:val="0"/>
      <w:divBdr>
        <w:top w:val="none" w:sz="0" w:space="0" w:color="auto"/>
        <w:left w:val="none" w:sz="0" w:space="0" w:color="auto"/>
        <w:bottom w:val="none" w:sz="0" w:space="0" w:color="auto"/>
        <w:right w:val="none" w:sz="0" w:space="0" w:color="auto"/>
      </w:divBdr>
    </w:div>
    <w:div w:id="1608077962">
      <w:bodyDiv w:val="1"/>
      <w:marLeft w:val="0"/>
      <w:marRight w:val="0"/>
      <w:marTop w:val="0"/>
      <w:marBottom w:val="0"/>
      <w:divBdr>
        <w:top w:val="none" w:sz="0" w:space="0" w:color="auto"/>
        <w:left w:val="none" w:sz="0" w:space="0" w:color="auto"/>
        <w:bottom w:val="none" w:sz="0" w:space="0" w:color="auto"/>
        <w:right w:val="none" w:sz="0" w:space="0" w:color="auto"/>
      </w:divBdr>
    </w:div>
    <w:div w:id="1617060044">
      <w:bodyDiv w:val="1"/>
      <w:marLeft w:val="0"/>
      <w:marRight w:val="0"/>
      <w:marTop w:val="0"/>
      <w:marBottom w:val="0"/>
      <w:divBdr>
        <w:top w:val="none" w:sz="0" w:space="0" w:color="auto"/>
        <w:left w:val="none" w:sz="0" w:space="0" w:color="auto"/>
        <w:bottom w:val="none" w:sz="0" w:space="0" w:color="auto"/>
        <w:right w:val="none" w:sz="0" w:space="0" w:color="auto"/>
      </w:divBdr>
    </w:div>
    <w:div w:id="1624844161">
      <w:bodyDiv w:val="1"/>
      <w:marLeft w:val="0"/>
      <w:marRight w:val="0"/>
      <w:marTop w:val="0"/>
      <w:marBottom w:val="0"/>
      <w:divBdr>
        <w:top w:val="none" w:sz="0" w:space="0" w:color="auto"/>
        <w:left w:val="none" w:sz="0" w:space="0" w:color="auto"/>
        <w:bottom w:val="none" w:sz="0" w:space="0" w:color="auto"/>
        <w:right w:val="none" w:sz="0" w:space="0" w:color="auto"/>
      </w:divBdr>
    </w:div>
    <w:div w:id="1626694318">
      <w:bodyDiv w:val="1"/>
      <w:marLeft w:val="0"/>
      <w:marRight w:val="0"/>
      <w:marTop w:val="0"/>
      <w:marBottom w:val="0"/>
      <w:divBdr>
        <w:top w:val="none" w:sz="0" w:space="0" w:color="auto"/>
        <w:left w:val="none" w:sz="0" w:space="0" w:color="auto"/>
        <w:bottom w:val="none" w:sz="0" w:space="0" w:color="auto"/>
        <w:right w:val="none" w:sz="0" w:space="0" w:color="auto"/>
      </w:divBdr>
    </w:div>
    <w:div w:id="1630547879">
      <w:bodyDiv w:val="1"/>
      <w:marLeft w:val="0"/>
      <w:marRight w:val="0"/>
      <w:marTop w:val="0"/>
      <w:marBottom w:val="0"/>
      <w:divBdr>
        <w:top w:val="none" w:sz="0" w:space="0" w:color="auto"/>
        <w:left w:val="none" w:sz="0" w:space="0" w:color="auto"/>
        <w:bottom w:val="none" w:sz="0" w:space="0" w:color="auto"/>
        <w:right w:val="none" w:sz="0" w:space="0" w:color="auto"/>
      </w:divBdr>
    </w:div>
    <w:div w:id="1645310190">
      <w:bodyDiv w:val="1"/>
      <w:marLeft w:val="0"/>
      <w:marRight w:val="0"/>
      <w:marTop w:val="0"/>
      <w:marBottom w:val="0"/>
      <w:divBdr>
        <w:top w:val="none" w:sz="0" w:space="0" w:color="auto"/>
        <w:left w:val="none" w:sz="0" w:space="0" w:color="auto"/>
        <w:bottom w:val="none" w:sz="0" w:space="0" w:color="auto"/>
        <w:right w:val="none" w:sz="0" w:space="0" w:color="auto"/>
      </w:divBdr>
    </w:div>
    <w:div w:id="1655449263">
      <w:bodyDiv w:val="1"/>
      <w:marLeft w:val="0"/>
      <w:marRight w:val="0"/>
      <w:marTop w:val="0"/>
      <w:marBottom w:val="0"/>
      <w:divBdr>
        <w:top w:val="none" w:sz="0" w:space="0" w:color="auto"/>
        <w:left w:val="none" w:sz="0" w:space="0" w:color="auto"/>
        <w:bottom w:val="none" w:sz="0" w:space="0" w:color="auto"/>
        <w:right w:val="none" w:sz="0" w:space="0" w:color="auto"/>
      </w:divBdr>
    </w:div>
    <w:div w:id="1656951130">
      <w:bodyDiv w:val="1"/>
      <w:marLeft w:val="0"/>
      <w:marRight w:val="0"/>
      <w:marTop w:val="0"/>
      <w:marBottom w:val="0"/>
      <w:divBdr>
        <w:top w:val="none" w:sz="0" w:space="0" w:color="auto"/>
        <w:left w:val="none" w:sz="0" w:space="0" w:color="auto"/>
        <w:bottom w:val="none" w:sz="0" w:space="0" w:color="auto"/>
        <w:right w:val="none" w:sz="0" w:space="0" w:color="auto"/>
      </w:divBdr>
    </w:div>
    <w:div w:id="1658265749">
      <w:bodyDiv w:val="1"/>
      <w:marLeft w:val="0"/>
      <w:marRight w:val="0"/>
      <w:marTop w:val="0"/>
      <w:marBottom w:val="0"/>
      <w:divBdr>
        <w:top w:val="none" w:sz="0" w:space="0" w:color="auto"/>
        <w:left w:val="none" w:sz="0" w:space="0" w:color="auto"/>
        <w:bottom w:val="none" w:sz="0" w:space="0" w:color="auto"/>
        <w:right w:val="none" w:sz="0" w:space="0" w:color="auto"/>
      </w:divBdr>
    </w:div>
    <w:div w:id="1681814045">
      <w:bodyDiv w:val="1"/>
      <w:marLeft w:val="0"/>
      <w:marRight w:val="0"/>
      <w:marTop w:val="0"/>
      <w:marBottom w:val="0"/>
      <w:divBdr>
        <w:top w:val="none" w:sz="0" w:space="0" w:color="auto"/>
        <w:left w:val="none" w:sz="0" w:space="0" w:color="auto"/>
        <w:bottom w:val="none" w:sz="0" w:space="0" w:color="auto"/>
        <w:right w:val="none" w:sz="0" w:space="0" w:color="auto"/>
      </w:divBdr>
    </w:div>
    <w:div w:id="1727871118">
      <w:bodyDiv w:val="1"/>
      <w:marLeft w:val="0"/>
      <w:marRight w:val="0"/>
      <w:marTop w:val="0"/>
      <w:marBottom w:val="0"/>
      <w:divBdr>
        <w:top w:val="none" w:sz="0" w:space="0" w:color="auto"/>
        <w:left w:val="none" w:sz="0" w:space="0" w:color="auto"/>
        <w:bottom w:val="none" w:sz="0" w:space="0" w:color="auto"/>
        <w:right w:val="none" w:sz="0" w:space="0" w:color="auto"/>
      </w:divBdr>
    </w:div>
    <w:div w:id="1737630709">
      <w:bodyDiv w:val="1"/>
      <w:marLeft w:val="0"/>
      <w:marRight w:val="0"/>
      <w:marTop w:val="0"/>
      <w:marBottom w:val="0"/>
      <w:divBdr>
        <w:top w:val="none" w:sz="0" w:space="0" w:color="auto"/>
        <w:left w:val="none" w:sz="0" w:space="0" w:color="auto"/>
        <w:bottom w:val="none" w:sz="0" w:space="0" w:color="auto"/>
        <w:right w:val="none" w:sz="0" w:space="0" w:color="auto"/>
      </w:divBdr>
    </w:div>
    <w:div w:id="1740327367">
      <w:bodyDiv w:val="1"/>
      <w:marLeft w:val="0"/>
      <w:marRight w:val="0"/>
      <w:marTop w:val="0"/>
      <w:marBottom w:val="0"/>
      <w:divBdr>
        <w:top w:val="none" w:sz="0" w:space="0" w:color="auto"/>
        <w:left w:val="none" w:sz="0" w:space="0" w:color="auto"/>
        <w:bottom w:val="none" w:sz="0" w:space="0" w:color="auto"/>
        <w:right w:val="none" w:sz="0" w:space="0" w:color="auto"/>
      </w:divBdr>
    </w:div>
    <w:div w:id="1742553994">
      <w:bodyDiv w:val="1"/>
      <w:marLeft w:val="0"/>
      <w:marRight w:val="0"/>
      <w:marTop w:val="0"/>
      <w:marBottom w:val="0"/>
      <w:divBdr>
        <w:top w:val="none" w:sz="0" w:space="0" w:color="auto"/>
        <w:left w:val="none" w:sz="0" w:space="0" w:color="auto"/>
        <w:bottom w:val="none" w:sz="0" w:space="0" w:color="auto"/>
        <w:right w:val="none" w:sz="0" w:space="0" w:color="auto"/>
      </w:divBdr>
    </w:div>
    <w:div w:id="1748069830">
      <w:bodyDiv w:val="1"/>
      <w:marLeft w:val="0"/>
      <w:marRight w:val="0"/>
      <w:marTop w:val="0"/>
      <w:marBottom w:val="0"/>
      <w:divBdr>
        <w:top w:val="none" w:sz="0" w:space="0" w:color="auto"/>
        <w:left w:val="none" w:sz="0" w:space="0" w:color="auto"/>
        <w:bottom w:val="none" w:sz="0" w:space="0" w:color="auto"/>
        <w:right w:val="none" w:sz="0" w:space="0" w:color="auto"/>
      </w:divBdr>
    </w:div>
    <w:div w:id="1760834436">
      <w:bodyDiv w:val="1"/>
      <w:marLeft w:val="0"/>
      <w:marRight w:val="0"/>
      <w:marTop w:val="0"/>
      <w:marBottom w:val="0"/>
      <w:divBdr>
        <w:top w:val="none" w:sz="0" w:space="0" w:color="auto"/>
        <w:left w:val="none" w:sz="0" w:space="0" w:color="auto"/>
        <w:bottom w:val="none" w:sz="0" w:space="0" w:color="auto"/>
        <w:right w:val="none" w:sz="0" w:space="0" w:color="auto"/>
      </w:divBdr>
    </w:div>
    <w:div w:id="1768652420">
      <w:bodyDiv w:val="1"/>
      <w:marLeft w:val="0"/>
      <w:marRight w:val="0"/>
      <w:marTop w:val="0"/>
      <w:marBottom w:val="0"/>
      <w:divBdr>
        <w:top w:val="none" w:sz="0" w:space="0" w:color="auto"/>
        <w:left w:val="none" w:sz="0" w:space="0" w:color="auto"/>
        <w:bottom w:val="none" w:sz="0" w:space="0" w:color="auto"/>
        <w:right w:val="none" w:sz="0" w:space="0" w:color="auto"/>
      </w:divBdr>
    </w:div>
    <w:div w:id="1783256532">
      <w:bodyDiv w:val="1"/>
      <w:marLeft w:val="0"/>
      <w:marRight w:val="0"/>
      <w:marTop w:val="0"/>
      <w:marBottom w:val="0"/>
      <w:divBdr>
        <w:top w:val="none" w:sz="0" w:space="0" w:color="auto"/>
        <w:left w:val="none" w:sz="0" w:space="0" w:color="auto"/>
        <w:bottom w:val="none" w:sz="0" w:space="0" w:color="auto"/>
        <w:right w:val="none" w:sz="0" w:space="0" w:color="auto"/>
      </w:divBdr>
    </w:div>
    <w:div w:id="1789615729">
      <w:bodyDiv w:val="1"/>
      <w:marLeft w:val="0"/>
      <w:marRight w:val="0"/>
      <w:marTop w:val="0"/>
      <w:marBottom w:val="0"/>
      <w:divBdr>
        <w:top w:val="none" w:sz="0" w:space="0" w:color="auto"/>
        <w:left w:val="none" w:sz="0" w:space="0" w:color="auto"/>
        <w:bottom w:val="none" w:sz="0" w:space="0" w:color="auto"/>
        <w:right w:val="none" w:sz="0" w:space="0" w:color="auto"/>
      </w:divBdr>
    </w:div>
    <w:div w:id="1796631416">
      <w:bodyDiv w:val="1"/>
      <w:marLeft w:val="0"/>
      <w:marRight w:val="0"/>
      <w:marTop w:val="0"/>
      <w:marBottom w:val="0"/>
      <w:divBdr>
        <w:top w:val="none" w:sz="0" w:space="0" w:color="auto"/>
        <w:left w:val="none" w:sz="0" w:space="0" w:color="auto"/>
        <w:bottom w:val="none" w:sz="0" w:space="0" w:color="auto"/>
        <w:right w:val="none" w:sz="0" w:space="0" w:color="auto"/>
      </w:divBdr>
    </w:div>
    <w:div w:id="1799253808">
      <w:bodyDiv w:val="1"/>
      <w:marLeft w:val="0"/>
      <w:marRight w:val="0"/>
      <w:marTop w:val="0"/>
      <w:marBottom w:val="0"/>
      <w:divBdr>
        <w:top w:val="none" w:sz="0" w:space="0" w:color="auto"/>
        <w:left w:val="none" w:sz="0" w:space="0" w:color="auto"/>
        <w:bottom w:val="none" w:sz="0" w:space="0" w:color="auto"/>
        <w:right w:val="none" w:sz="0" w:space="0" w:color="auto"/>
      </w:divBdr>
    </w:div>
    <w:div w:id="1799684500">
      <w:bodyDiv w:val="1"/>
      <w:marLeft w:val="0"/>
      <w:marRight w:val="0"/>
      <w:marTop w:val="0"/>
      <w:marBottom w:val="0"/>
      <w:divBdr>
        <w:top w:val="none" w:sz="0" w:space="0" w:color="auto"/>
        <w:left w:val="none" w:sz="0" w:space="0" w:color="auto"/>
        <w:bottom w:val="none" w:sz="0" w:space="0" w:color="auto"/>
        <w:right w:val="none" w:sz="0" w:space="0" w:color="auto"/>
      </w:divBdr>
    </w:div>
    <w:div w:id="1806921669">
      <w:bodyDiv w:val="1"/>
      <w:marLeft w:val="0"/>
      <w:marRight w:val="0"/>
      <w:marTop w:val="0"/>
      <w:marBottom w:val="0"/>
      <w:divBdr>
        <w:top w:val="none" w:sz="0" w:space="0" w:color="auto"/>
        <w:left w:val="none" w:sz="0" w:space="0" w:color="auto"/>
        <w:bottom w:val="none" w:sz="0" w:space="0" w:color="auto"/>
        <w:right w:val="none" w:sz="0" w:space="0" w:color="auto"/>
      </w:divBdr>
    </w:div>
    <w:div w:id="1808859251">
      <w:bodyDiv w:val="1"/>
      <w:marLeft w:val="0"/>
      <w:marRight w:val="0"/>
      <w:marTop w:val="0"/>
      <w:marBottom w:val="0"/>
      <w:divBdr>
        <w:top w:val="none" w:sz="0" w:space="0" w:color="auto"/>
        <w:left w:val="none" w:sz="0" w:space="0" w:color="auto"/>
        <w:bottom w:val="none" w:sz="0" w:space="0" w:color="auto"/>
        <w:right w:val="none" w:sz="0" w:space="0" w:color="auto"/>
      </w:divBdr>
    </w:div>
    <w:div w:id="1832594720">
      <w:bodyDiv w:val="1"/>
      <w:marLeft w:val="0"/>
      <w:marRight w:val="0"/>
      <w:marTop w:val="0"/>
      <w:marBottom w:val="0"/>
      <w:divBdr>
        <w:top w:val="none" w:sz="0" w:space="0" w:color="auto"/>
        <w:left w:val="none" w:sz="0" w:space="0" w:color="auto"/>
        <w:bottom w:val="none" w:sz="0" w:space="0" w:color="auto"/>
        <w:right w:val="none" w:sz="0" w:space="0" w:color="auto"/>
      </w:divBdr>
    </w:div>
    <w:div w:id="1837531031">
      <w:bodyDiv w:val="1"/>
      <w:marLeft w:val="0"/>
      <w:marRight w:val="0"/>
      <w:marTop w:val="0"/>
      <w:marBottom w:val="0"/>
      <w:divBdr>
        <w:top w:val="none" w:sz="0" w:space="0" w:color="auto"/>
        <w:left w:val="none" w:sz="0" w:space="0" w:color="auto"/>
        <w:bottom w:val="none" w:sz="0" w:space="0" w:color="auto"/>
        <w:right w:val="none" w:sz="0" w:space="0" w:color="auto"/>
      </w:divBdr>
    </w:div>
    <w:div w:id="1841846723">
      <w:bodyDiv w:val="1"/>
      <w:marLeft w:val="0"/>
      <w:marRight w:val="0"/>
      <w:marTop w:val="0"/>
      <w:marBottom w:val="0"/>
      <w:divBdr>
        <w:top w:val="none" w:sz="0" w:space="0" w:color="auto"/>
        <w:left w:val="none" w:sz="0" w:space="0" w:color="auto"/>
        <w:bottom w:val="none" w:sz="0" w:space="0" w:color="auto"/>
        <w:right w:val="none" w:sz="0" w:space="0" w:color="auto"/>
      </w:divBdr>
    </w:div>
    <w:div w:id="1878160758">
      <w:bodyDiv w:val="1"/>
      <w:marLeft w:val="0"/>
      <w:marRight w:val="0"/>
      <w:marTop w:val="0"/>
      <w:marBottom w:val="0"/>
      <w:divBdr>
        <w:top w:val="none" w:sz="0" w:space="0" w:color="auto"/>
        <w:left w:val="none" w:sz="0" w:space="0" w:color="auto"/>
        <w:bottom w:val="none" w:sz="0" w:space="0" w:color="auto"/>
        <w:right w:val="none" w:sz="0" w:space="0" w:color="auto"/>
      </w:divBdr>
    </w:div>
    <w:div w:id="1893299000">
      <w:bodyDiv w:val="1"/>
      <w:marLeft w:val="0"/>
      <w:marRight w:val="0"/>
      <w:marTop w:val="0"/>
      <w:marBottom w:val="0"/>
      <w:divBdr>
        <w:top w:val="none" w:sz="0" w:space="0" w:color="auto"/>
        <w:left w:val="none" w:sz="0" w:space="0" w:color="auto"/>
        <w:bottom w:val="none" w:sz="0" w:space="0" w:color="auto"/>
        <w:right w:val="none" w:sz="0" w:space="0" w:color="auto"/>
      </w:divBdr>
    </w:div>
    <w:div w:id="1897889339">
      <w:bodyDiv w:val="1"/>
      <w:marLeft w:val="0"/>
      <w:marRight w:val="0"/>
      <w:marTop w:val="0"/>
      <w:marBottom w:val="0"/>
      <w:divBdr>
        <w:top w:val="none" w:sz="0" w:space="0" w:color="auto"/>
        <w:left w:val="none" w:sz="0" w:space="0" w:color="auto"/>
        <w:bottom w:val="none" w:sz="0" w:space="0" w:color="auto"/>
        <w:right w:val="none" w:sz="0" w:space="0" w:color="auto"/>
      </w:divBdr>
    </w:div>
    <w:div w:id="1903367559">
      <w:bodyDiv w:val="1"/>
      <w:marLeft w:val="0"/>
      <w:marRight w:val="0"/>
      <w:marTop w:val="0"/>
      <w:marBottom w:val="0"/>
      <w:divBdr>
        <w:top w:val="none" w:sz="0" w:space="0" w:color="auto"/>
        <w:left w:val="none" w:sz="0" w:space="0" w:color="auto"/>
        <w:bottom w:val="none" w:sz="0" w:space="0" w:color="auto"/>
        <w:right w:val="none" w:sz="0" w:space="0" w:color="auto"/>
      </w:divBdr>
    </w:div>
    <w:div w:id="1904827061">
      <w:bodyDiv w:val="1"/>
      <w:marLeft w:val="0"/>
      <w:marRight w:val="0"/>
      <w:marTop w:val="0"/>
      <w:marBottom w:val="0"/>
      <w:divBdr>
        <w:top w:val="none" w:sz="0" w:space="0" w:color="auto"/>
        <w:left w:val="none" w:sz="0" w:space="0" w:color="auto"/>
        <w:bottom w:val="none" w:sz="0" w:space="0" w:color="auto"/>
        <w:right w:val="none" w:sz="0" w:space="0" w:color="auto"/>
      </w:divBdr>
    </w:div>
    <w:div w:id="1907766177">
      <w:bodyDiv w:val="1"/>
      <w:marLeft w:val="0"/>
      <w:marRight w:val="0"/>
      <w:marTop w:val="0"/>
      <w:marBottom w:val="0"/>
      <w:divBdr>
        <w:top w:val="none" w:sz="0" w:space="0" w:color="auto"/>
        <w:left w:val="none" w:sz="0" w:space="0" w:color="auto"/>
        <w:bottom w:val="none" w:sz="0" w:space="0" w:color="auto"/>
        <w:right w:val="none" w:sz="0" w:space="0" w:color="auto"/>
      </w:divBdr>
    </w:div>
    <w:div w:id="1915776263">
      <w:bodyDiv w:val="1"/>
      <w:marLeft w:val="0"/>
      <w:marRight w:val="0"/>
      <w:marTop w:val="0"/>
      <w:marBottom w:val="0"/>
      <w:divBdr>
        <w:top w:val="none" w:sz="0" w:space="0" w:color="auto"/>
        <w:left w:val="none" w:sz="0" w:space="0" w:color="auto"/>
        <w:bottom w:val="none" w:sz="0" w:space="0" w:color="auto"/>
        <w:right w:val="none" w:sz="0" w:space="0" w:color="auto"/>
      </w:divBdr>
      <w:divsChild>
        <w:div w:id="505746945">
          <w:marLeft w:val="0"/>
          <w:marRight w:val="0"/>
          <w:marTop w:val="0"/>
          <w:marBottom w:val="0"/>
          <w:divBdr>
            <w:top w:val="none" w:sz="0" w:space="0" w:color="auto"/>
            <w:left w:val="none" w:sz="0" w:space="0" w:color="auto"/>
            <w:bottom w:val="none" w:sz="0" w:space="0" w:color="auto"/>
            <w:right w:val="none" w:sz="0" w:space="0" w:color="auto"/>
          </w:divBdr>
        </w:div>
        <w:div w:id="875239866">
          <w:marLeft w:val="0"/>
          <w:marRight w:val="0"/>
          <w:marTop w:val="0"/>
          <w:marBottom w:val="0"/>
          <w:divBdr>
            <w:top w:val="none" w:sz="0" w:space="0" w:color="auto"/>
            <w:left w:val="none" w:sz="0" w:space="0" w:color="auto"/>
            <w:bottom w:val="none" w:sz="0" w:space="0" w:color="auto"/>
            <w:right w:val="none" w:sz="0" w:space="0" w:color="auto"/>
          </w:divBdr>
        </w:div>
        <w:div w:id="1083912937">
          <w:marLeft w:val="0"/>
          <w:marRight w:val="0"/>
          <w:marTop w:val="0"/>
          <w:marBottom w:val="0"/>
          <w:divBdr>
            <w:top w:val="none" w:sz="0" w:space="0" w:color="auto"/>
            <w:left w:val="none" w:sz="0" w:space="0" w:color="auto"/>
            <w:bottom w:val="none" w:sz="0" w:space="0" w:color="auto"/>
            <w:right w:val="none" w:sz="0" w:space="0" w:color="auto"/>
          </w:divBdr>
        </w:div>
        <w:div w:id="1267273651">
          <w:marLeft w:val="0"/>
          <w:marRight w:val="0"/>
          <w:marTop w:val="0"/>
          <w:marBottom w:val="0"/>
          <w:divBdr>
            <w:top w:val="none" w:sz="0" w:space="0" w:color="auto"/>
            <w:left w:val="none" w:sz="0" w:space="0" w:color="auto"/>
            <w:bottom w:val="none" w:sz="0" w:space="0" w:color="auto"/>
            <w:right w:val="none" w:sz="0" w:space="0" w:color="auto"/>
          </w:divBdr>
        </w:div>
        <w:div w:id="1356730959">
          <w:marLeft w:val="0"/>
          <w:marRight w:val="0"/>
          <w:marTop w:val="0"/>
          <w:marBottom w:val="0"/>
          <w:divBdr>
            <w:top w:val="none" w:sz="0" w:space="0" w:color="auto"/>
            <w:left w:val="none" w:sz="0" w:space="0" w:color="auto"/>
            <w:bottom w:val="none" w:sz="0" w:space="0" w:color="auto"/>
            <w:right w:val="none" w:sz="0" w:space="0" w:color="auto"/>
          </w:divBdr>
        </w:div>
        <w:div w:id="1419474865">
          <w:marLeft w:val="0"/>
          <w:marRight w:val="0"/>
          <w:marTop w:val="0"/>
          <w:marBottom w:val="0"/>
          <w:divBdr>
            <w:top w:val="none" w:sz="0" w:space="0" w:color="auto"/>
            <w:left w:val="none" w:sz="0" w:space="0" w:color="auto"/>
            <w:bottom w:val="none" w:sz="0" w:space="0" w:color="auto"/>
            <w:right w:val="none" w:sz="0" w:space="0" w:color="auto"/>
          </w:divBdr>
        </w:div>
        <w:div w:id="1713383957">
          <w:marLeft w:val="0"/>
          <w:marRight w:val="0"/>
          <w:marTop w:val="0"/>
          <w:marBottom w:val="0"/>
          <w:divBdr>
            <w:top w:val="none" w:sz="0" w:space="0" w:color="auto"/>
            <w:left w:val="none" w:sz="0" w:space="0" w:color="auto"/>
            <w:bottom w:val="none" w:sz="0" w:space="0" w:color="auto"/>
            <w:right w:val="none" w:sz="0" w:space="0" w:color="auto"/>
          </w:divBdr>
        </w:div>
        <w:div w:id="1947032985">
          <w:marLeft w:val="0"/>
          <w:marRight w:val="0"/>
          <w:marTop w:val="0"/>
          <w:marBottom w:val="0"/>
          <w:divBdr>
            <w:top w:val="none" w:sz="0" w:space="0" w:color="auto"/>
            <w:left w:val="none" w:sz="0" w:space="0" w:color="auto"/>
            <w:bottom w:val="none" w:sz="0" w:space="0" w:color="auto"/>
            <w:right w:val="none" w:sz="0" w:space="0" w:color="auto"/>
          </w:divBdr>
        </w:div>
        <w:div w:id="1991474907">
          <w:marLeft w:val="0"/>
          <w:marRight w:val="0"/>
          <w:marTop w:val="0"/>
          <w:marBottom w:val="0"/>
          <w:divBdr>
            <w:top w:val="none" w:sz="0" w:space="0" w:color="auto"/>
            <w:left w:val="none" w:sz="0" w:space="0" w:color="auto"/>
            <w:bottom w:val="none" w:sz="0" w:space="0" w:color="auto"/>
            <w:right w:val="none" w:sz="0" w:space="0" w:color="auto"/>
          </w:divBdr>
        </w:div>
      </w:divsChild>
    </w:div>
    <w:div w:id="1920484183">
      <w:bodyDiv w:val="1"/>
      <w:marLeft w:val="0"/>
      <w:marRight w:val="0"/>
      <w:marTop w:val="0"/>
      <w:marBottom w:val="0"/>
      <w:divBdr>
        <w:top w:val="none" w:sz="0" w:space="0" w:color="auto"/>
        <w:left w:val="none" w:sz="0" w:space="0" w:color="auto"/>
        <w:bottom w:val="none" w:sz="0" w:space="0" w:color="auto"/>
        <w:right w:val="none" w:sz="0" w:space="0" w:color="auto"/>
      </w:divBdr>
    </w:div>
    <w:div w:id="1924677319">
      <w:bodyDiv w:val="1"/>
      <w:marLeft w:val="0"/>
      <w:marRight w:val="0"/>
      <w:marTop w:val="0"/>
      <w:marBottom w:val="0"/>
      <w:divBdr>
        <w:top w:val="none" w:sz="0" w:space="0" w:color="auto"/>
        <w:left w:val="none" w:sz="0" w:space="0" w:color="auto"/>
        <w:bottom w:val="none" w:sz="0" w:space="0" w:color="auto"/>
        <w:right w:val="none" w:sz="0" w:space="0" w:color="auto"/>
      </w:divBdr>
    </w:div>
    <w:div w:id="1936353575">
      <w:bodyDiv w:val="1"/>
      <w:marLeft w:val="0"/>
      <w:marRight w:val="0"/>
      <w:marTop w:val="0"/>
      <w:marBottom w:val="0"/>
      <w:divBdr>
        <w:top w:val="none" w:sz="0" w:space="0" w:color="auto"/>
        <w:left w:val="none" w:sz="0" w:space="0" w:color="auto"/>
        <w:bottom w:val="none" w:sz="0" w:space="0" w:color="auto"/>
        <w:right w:val="none" w:sz="0" w:space="0" w:color="auto"/>
      </w:divBdr>
    </w:div>
    <w:div w:id="1942645136">
      <w:bodyDiv w:val="1"/>
      <w:marLeft w:val="0"/>
      <w:marRight w:val="0"/>
      <w:marTop w:val="0"/>
      <w:marBottom w:val="0"/>
      <w:divBdr>
        <w:top w:val="none" w:sz="0" w:space="0" w:color="auto"/>
        <w:left w:val="none" w:sz="0" w:space="0" w:color="auto"/>
        <w:bottom w:val="none" w:sz="0" w:space="0" w:color="auto"/>
        <w:right w:val="none" w:sz="0" w:space="0" w:color="auto"/>
      </w:divBdr>
    </w:div>
    <w:div w:id="1944456085">
      <w:bodyDiv w:val="1"/>
      <w:marLeft w:val="0"/>
      <w:marRight w:val="0"/>
      <w:marTop w:val="0"/>
      <w:marBottom w:val="0"/>
      <w:divBdr>
        <w:top w:val="none" w:sz="0" w:space="0" w:color="auto"/>
        <w:left w:val="none" w:sz="0" w:space="0" w:color="auto"/>
        <w:bottom w:val="none" w:sz="0" w:space="0" w:color="auto"/>
        <w:right w:val="none" w:sz="0" w:space="0" w:color="auto"/>
      </w:divBdr>
    </w:div>
    <w:div w:id="1947806949">
      <w:bodyDiv w:val="1"/>
      <w:marLeft w:val="0"/>
      <w:marRight w:val="0"/>
      <w:marTop w:val="0"/>
      <w:marBottom w:val="0"/>
      <w:divBdr>
        <w:top w:val="none" w:sz="0" w:space="0" w:color="auto"/>
        <w:left w:val="none" w:sz="0" w:space="0" w:color="auto"/>
        <w:bottom w:val="none" w:sz="0" w:space="0" w:color="auto"/>
        <w:right w:val="none" w:sz="0" w:space="0" w:color="auto"/>
      </w:divBdr>
    </w:div>
    <w:div w:id="1959295260">
      <w:bodyDiv w:val="1"/>
      <w:marLeft w:val="0"/>
      <w:marRight w:val="0"/>
      <w:marTop w:val="0"/>
      <w:marBottom w:val="0"/>
      <w:divBdr>
        <w:top w:val="none" w:sz="0" w:space="0" w:color="auto"/>
        <w:left w:val="none" w:sz="0" w:space="0" w:color="auto"/>
        <w:bottom w:val="none" w:sz="0" w:space="0" w:color="auto"/>
        <w:right w:val="none" w:sz="0" w:space="0" w:color="auto"/>
      </w:divBdr>
    </w:div>
    <w:div w:id="1959608202">
      <w:bodyDiv w:val="1"/>
      <w:marLeft w:val="0"/>
      <w:marRight w:val="0"/>
      <w:marTop w:val="0"/>
      <w:marBottom w:val="0"/>
      <w:divBdr>
        <w:top w:val="none" w:sz="0" w:space="0" w:color="auto"/>
        <w:left w:val="none" w:sz="0" w:space="0" w:color="auto"/>
        <w:bottom w:val="none" w:sz="0" w:space="0" w:color="auto"/>
        <w:right w:val="none" w:sz="0" w:space="0" w:color="auto"/>
      </w:divBdr>
    </w:div>
    <w:div w:id="1966497540">
      <w:bodyDiv w:val="1"/>
      <w:marLeft w:val="0"/>
      <w:marRight w:val="0"/>
      <w:marTop w:val="0"/>
      <w:marBottom w:val="0"/>
      <w:divBdr>
        <w:top w:val="none" w:sz="0" w:space="0" w:color="auto"/>
        <w:left w:val="none" w:sz="0" w:space="0" w:color="auto"/>
        <w:bottom w:val="none" w:sz="0" w:space="0" w:color="auto"/>
        <w:right w:val="none" w:sz="0" w:space="0" w:color="auto"/>
      </w:divBdr>
    </w:div>
    <w:div w:id="1998221356">
      <w:bodyDiv w:val="1"/>
      <w:marLeft w:val="0"/>
      <w:marRight w:val="0"/>
      <w:marTop w:val="0"/>
      <w:marBottom w:val="0"/>
      <w:divBdr>
        <w:top w:val="none" w:sz="0" w:space="0" w:color="auto"/>
        <w:left w:val="none" w:sz="0" w:space="0" w:color="auto"/>
        <w:bottom w:val="none" w:sz="0" w:space="0" w:color="auto"/>
        <w:right w:val="none" w:sz="0" w:space="0" w:color="auto"/>
      </w:divBdr>
    </w:div>
    <w:div w:id="1998609270">
      <w:bodyDiv w:val="1"/>
      <w:marLeft w:val="0"/>
      <w:marRight w:val="0"/>
      <w:marTop w:val="0"/>
      <w:marBottom w:val="0"/>
      <w:divBdr>
        <w:top w:val="none" w:sz="0" w:space="0" w:color="auto"/>
        <w:left w:val="none" w:sz="0" w:space="0" w:color="auto"/>
        <w:bottom w:val="none" w:sz="0" w:space="0" w:color="auto"/>
        <w:right w:val="none" w:sz="0" w:space="0" w:color="auto"/>
      </w:divBdr>
    </w:div>
    <w:div w:id="2001497083">
      <w:bodyDiv w:val="1"/>
      <w:marLeft w:val="0"/>
      <w:marRight w:val="0"/>
      <w:marTop w:val="0"/>
      <w:marBottom w:val="0"/>
      <w:divBdr>
        <w:top w:val="none" w:sz="0" w:space="0" w:color="auto"/>
        <w:left w:val="none" w:sz="0" w:space="0" w:color="auto"/>
        <w:bottom w:val="none" w:sz="0" w:space="0" w:color="auto"/>
        <w:right w:val="none" w:sz="0" w:space="0" w:color="auto"/>
      </w:divBdr>
    </w:div>
    <w:div w:id="2002587196">
      <w:bodyDiv w:val="1"/>
      <w:marLeft w:val="0"/>
      <w:marRight w:val="0"/>
      <w:marTop w:val="0"/>
      <w:marBottom w:val="0"/>
      <w:divBdr>
        <w:top w:val="none" w:sz="0" w:space="0" w:color="auto"/>
        <w:left w:val="none" w:sz="0" w:space="0" w:color="auto"/>
        <w:bottom w:val="none" w:sz="0" w:space="0" w:color="auto"/>
        <w:right w:val="none" w:sz="0" w:space="0" w:color="auto"/>
      </w:divBdr>
      <w:divsChild>
        <w:div w:id="639193434">
          <w:marLeft w:val="0"/>
          <w:marRight w:val="0"/>
          <w:marTop w:val="0"/>
          <w:marBottom w:val="0"/>
          <w:divBdr>
            <w:top w:val="none" w:sz="0" w:space="0" w:color="auto"/>
            <w:left w:val="none" w:sz="0" w:space="0" w:color="auto"/>
            <w:bottom w:val="none" w:sz="0" w:space="0" w:color="auto"/>
            <w:right w:val="none" w:sz="0" w:space="0" w:color="auto"/>
          </w:divBdr>
        </w:div>
      </w:divsChild>
    </w:div>
    <w:div w:id="2006593613">
      <w:bodyDiv w:val="1"/>
      <w:marLeft w:val="0"/>
      <w:marRight w:val="0"/>
      <w:marTop w:val="0"/>
      <w:marBottom w:val="0"/>
      <w:divBdr>
        <w:top w:val="none" w:sz="0" w:space="0" w:color="auto"/>
        <w:left w:val="none" w:sz="0" w:space="0" w:color="auto"/>
        <w:bottom w:val="none" w:sz="0" w:space="0" w:color="auto"/>
        <w:right w:val="none" w:sz="0" w:space="0" w:color="auto"/>
      </w:divBdr>
    </w:div>
    <w:div w:id="2009599881">
      <w:bodyDiv w:val="1"/>
      <w:marLeft w:val="0"/>
      <w:marRight w:val="0"/>
      <w:marTop w:val="0"/>
      <w:marBottom w:val="0"/>
      <w:divBdr>
        <w:top w:val="none" w:sz="0" w:space="0" w:color="auto"/>
        <w:left w:val="none" w:sz="0" w:space="0" w:color="auto"/>
        <w:bottom w:val="none" w:sz="0" w:space="0" w:color="auto"/>
        <w:right w:val="none" w:sz="0" w:space="0" w:color="auto"/>
      </w:divBdr>
    </w:div>
    <w:div w:id="2019427239">
      <w:bodyDiv w:val="1"/>
      <w:marLeft w:val="0"/>
      <w:marRight w:val="0"/>
      <w:marTop w:val="0"/>
      <w:marBottom w:val="0"/>
      <w:divBdr>
        <w:top w:val="none" w:sz="0" w:space="0" w:color="auto"/>
        <w:left w:val="none" w:sz="0" w:space="0" w:color="auto"/>
        <w:bottom w:val="none" w:sz="0" w:space="0" w:color="auto"/>
        <w:right w:val="none" w:sz="0" w:space="0" w:color="auto"/>
      </w:divBdr>
    </w:div>
    <w:div w:id="2046520937">
      <w:bodyDiv w:val="1"/>
      <w:marLeft w:val="0"/>
      <w:marRight w:val="0"/>
      <w:marTop w:val="0"/>
      <w:marBottom w:val="0"/>
      <w:divBdr>
        <w:top w:val="none" w:sz="0" w:space="0" w:color="auto"/>
        <w:left w:val="none" w:sz="0" w:space="0" w:color="auto"/>
        <w:bottom w:val="none" w:sz="0" w:space="0" w:color="auto"/>
        <w:right w:val="none" w:sz="0" w:space="0" w:color="auto"/>
      </w:divBdr>
    </w:div>
    <w:div w:id="2046635186">
      <w:bodyDiv w:val="1"/>
      <w:marLeft w:val="0"/>
      <w:marRight w:val="0"/>
      <w:marTop w:val="0"/>
      <w:marBottom w:val="0"/>
      <w:divBdr>
        <w:top w:val="none" w:sz="0" w:space="0" w:color="auto"/>
        <w:left w:val="none" w:sz="0" w:space="0" w:color="auto"/>
        <w:bottom w:val="none" w:sz="0" w:space="0" w:color="auto"/>
        <w:right w:val="none" w:sz="0" w:space="0" w:color="auto"/>
      </w:divBdr>
    </w:div>
    <w:div w:id="2053647707">
      <w:bodyDiv w:val="1"/>
      <w:marLeft w:val="0"/>
      <w:marRight w:val="0"/>
      <w:marTop w:val="0"/>
      <w:marBottom w:val="0"/>
      <w:divBdr>
        <w:top w:val="none" w:sz="0" w:space="0" w:color="auto"/>
        <w:left w:val="none" w:sz="0" w:space="0" w:color="auto"/>
        <w:bottom w:val="none" w:sz="0" w:space="0" w:color="auto"/>
        <w:right w:val="none" w:sz="0" w:space="0" w:color="auto"/>
      </w:divBdr>
      <w:divsChild>
        <w:div w:id="770710943">
          <w:marLeft w:val="0"/>
          <w:marRight w:val="0"/>
          <w:marTop w:val="0"/>
          <w:marBottom w:val="0"/>
          <w:divBdr>
            <w:top w:val="none" w:sz="0" w:space="0" w:color="auto"/>
            <w:left w:val="none" w:sz="0" w:space="0" w:color="auto"/>
            <w:bottom w:val="none" w:sz="0" w:space="0" w:color="auto"/>
            <w:right w:val="none" w:sz="0" w:space="0" w:color="auto"/>
          </w:divBdr>
        </w:div>
      </w:divsChild>
    </w:div>
    <w:div w:id="2061976149">
      <w:bodyDiv w:val="1"/>
      <w:marLeft w:val="0"/>
      <w:marRight w:val="0"/>
      <w:marTop w:val="0"/>
      <w:marBottom w:val="0"/>
      <w:divBdr>
        <w:top w:val="none" w:sz="0" w:space="0" w:color="auto"/>
        <w:left w:val="none" w:sz="0" w:space="0" w:color="auto"/>
        <w:bottom w:val="none" w:sz="0" w:space="0" w:color="auto"/>
        <w:right w:val="none" w:sz="0" w:space="0" w:color="auto"/>
      </w:divBdr>
    </w:div>
    <w:div w:id="2076010034">
      <w:bodyDiv w:val="1"/>
      <w:marLeft w:val="0"/>
      <w:marRight w:val="0"/>
      <w:marTop w:val="0"/>
      <w:marBottom w:val="0"/>
      <w:divBdr>
        <w:top w:val="none" w:sz="0" w:space="0" w:color="auto"/>
        <w:left w:val="none" w:sz="0" w:space="0" w:color="auto"/>
        <w:bottom w:val="none" w:sz="0" w:space="0" w:color="auto"/>
        <w:right w:val="none" w:sz="0" w:space="0" w:color="auto"/>
      </w:divBdr>
    </w:div>
    <w:div w:id="2076928305">
      <w:bodyDiv w:val="1"/>
      <w:marLeft w:val="0"/>
      <w:marRight w:val="0"/>
      <w:marTop w:val="0"/>
      <w:marBottom w:val="0"/>
      <w:divBdr>
        <w:top w:val="none" w:sz="0" w:space="0" w:color="auto"/>
        <w:left w:val="none" w:sz="0" w:space="0" w:color="auto"/>
        <w:bottom w:val="none" w:sz="0" w:space="0" w:color="auto"/>
        <w:right w:val="none" w:sz="0" w:space="0" w:color="auto"/>
      </w:divBdr>
    </w:div>
    <w:div w:id="2085367863">
      <w:bodyDiv w:val="1"/>
      <w:marLeft w:val="0"/>
      <w:marRight w:val="0"/>
      <w:marTop w:val="0"/>
      <w:marBottom w:val="0"/>
      <w:divBdr>
        <w:top w:val="none" w:sz="0" w:space="0" w:color="auto"/>
        <w:left w:val="none" w:sz="0" w:space="0" w:color="auto"/>
        <w:bottom w:val="none" w:sz="0" w:space="0" w:color="auto"/>
        <w:right w:val="none" w:sz="0" w:space="0" w:color="auto"/>
      </w:divBdr>
    </w:div>
    <w:div w:id="2107455907">
      <w:bodyDiv w:val="1"/>
      <w:marLeft w:val="0"/>
      <w:marRight w:val="0"/>
      <w:marTop w:val="0"/>
      <w:marBottom w:val="0"/>
      <w:divBdr>
        <w:top w:val="none" w:sz="0" w:space="0" w:color="auto"/>
        <w:left w:val="none" w:sz="0" w:space="0" w:color="auto"/>
        <w:bottom w:val="none" w:sz="0" w:space="0" w:color="auto"/>
        <w:right w:val="none" w:sz="0" w:space="0" w:color="auto"/>
      </w:divBdr>
    </w:div>
    <w:div w:id="2113426869">
      <w:bodyDiv w:val="1"/>
      <w:marLeft w:val="0"/>
      <w:marRight w:val="0"/>
      <w:marTop w:val="0"/>
      <w:marBottom w:val="0"/>
      <w:divBdr>
        <w:top w:val="none" w:sz="0" w:space="0" w:color="auto"/>
        <w:left w:val="none" w:sz="0" w:space="0" w:color="auto"/>
        <w:bottom w:val="none" w:sz="0" w:space="0" w:color="auto"/>
        <w:right w:val="none" w:sz="0" w:space="0" w:color="auto"/>
      </w:divBdr>
    </w:div>
    <w:div w:id="2114859573">
      <w:bodyDiv w:val="1"/>
      <w:marLeft w:val="0"/>
      <w:marRight w:val="0"/>
      <w:marTop w:val="0"/>
      <w:marBottom w:val="0"/>
      <w:divBdr>
        <w:top w:val="none" w:sz="0" w:space="0" w:color="auto"/>
        <w:left w:val="none" w:sz="0" w:space="0" w:color="auto"/>
        <w:bottom w:val="none" w:sz="0" w:space="0" w:color="auto"/>
        <w:right w:val="none" w:sz="0" w:space="0" w:color="auto"/>
      </w:divBdr>
    </w:div>
    <w:div w:id="2118209747">
      <w:bodyDiv w:val="1"/>
      <w:marLeft w:val="0"/>
      <w:marRight w:val="0"/>
      <w:marTop w:val="0"/>
      <w:marBottom w:val="0"/>
      <w:divBdr>
        <w:top w:val="none" w:sz="0" w:space="0" w:color="auto"/>
        <w:left w:val="none" w:sz="0" w:space="0" w:color="auto"/>
        <w:bottom w:val="none" w:sz="0" w:space="0" w:color="auto"/>
        <w:right w:val="none" w:sz="0" w:space="0" w:color="auto"/>
      </w:divBdr>
    </w:div>
    <w:div w:id="2126148809">
      <w:bodyDiv w:val="1"/>
      <w:marLeft w:val="0"/>
      <w:marRight w:val="0"/>
      <w:marTop w:val="0"/>
      <w:marBottom w:val="0"/>
      <w:divBdr>
        <w:top w:val="none" w:sz="0" w:space="0" w:color="auto"/>
        <w:left w:val="none" w:sz="0" w:space="0" w:color="auto"/>
        <w:bottom w:val="none" w:sz="0" w:space="0" w:color="auto"/>
        <w:right w:val="none" w:sz="0" w:space="0" w:color="auto"/>
      </w:divBdr>
    </w:div>
    <w:div w:id="2140537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DA9A06-A806-4F3D-A480-2E548E46F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9461</Words>
  <Characters>53931</Characters>
  <Application>Microsoft Office Word</Application>
  <DocSecurity>0</DocSecurity>
  <Lines>449</Lines>
  <Paragraphs>126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Preparation of Papers for Thesis in ICU</vt:lpstr>
      <vt:lpstr>Preparation of Papers for Thesis in ICU</vt:lpstr>
    </vt:vector>
  </TitlesOfParts>
  <Company>ICU</Company>
  <LinksUpToDate>false</LinksUpToDate>
  <CharactersWithSpaces>63266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for Thesis in ICU</dc:title>
  <dc:creator>Jung-Bo Lee</dc:creator>
  <cp:lastModifiedBy>user</cp:lastModifiedBy>
  <cp:revision>2</cp:revision>
  <cp:lastPrinted>2026-09-01T14:22:00Z</cp:lastPrinted>
  <dcterms:created xsi:type="dcterms:W3CDTF">2026-09-02T01:26:00Z</dcterms:created>
  <dcterms:modified xsi:type="dcterms:W3CDTF">2026-09-02T01:26:00Z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