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Functional UAT Checklist: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Newsletter Distribution Economics</w:t>
      </w:r>
    </w:p>
    <w:p>
      <w:pPr>
        <w:spacing w:after="40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POC #53  //  Rail: Distribution &amp; Demand  //  27 May 2026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Phase 1: The Input Package (Mandatory)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Before starting an audit, the Pilot must provide the AI with the </w:t>
      </w: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"Trinity of Context":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Requirement: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Copy/Paste the exact row for your PoC from the Master Excel (Title, Story, Features, Stack).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Source: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Synthetic subscriber data (referral flywheel, cohort retention, monetization time series).</w:t>
      </w:r>
    </w:p>
    <w:p>
      <w:pPr>
        <w:pStyle w:val="ListParagraph"/>
        <w:numPr>
          <w:ilvl w:val="0"/>
          <w:numId w:val="2"/>
        </w:numPr>
        <w:spacing w:after="24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Current State: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Screenshot of the current UI showing all 4 tabs: Overview &amp; Retention, Referral Flywheel, Monetization Yields, Subscriber Ledger.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Phase 2: Visual Audit Review (VAR)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Ensure the dashboard adheres to the intended design and Master Protocol.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Layout Verification: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Verify the layout splits into the intended grid structure (approximately a 70/30 split between the main data panel and the right Terminal Indicators sidebar on large screens).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 — PASS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Color Scheme &amp; Styling: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Confirm the application correctly applies the Obsidian dark theme (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`bg-slate-950` / `#030712`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slate-colored borders and text, with cyan/blue accent colors for metric cells and red for negative indicators).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 — PASS</w:t>
      </w:r>
    </w:p>
    <w:p>
      <w:pPr>
        <w:spacing w:after="24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Responsive Design: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Check on Desktop — sidebar correctly positioned to the right per CSS grid order logic. 4-tab navigation bar renders in full on wide viewports.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 — PASS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Phase 3: The Functional UAT Document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All test cases are executed against the live POC #53 build and organized by feature area.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3760"/>
        <w:gridCol w:w="9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Test Case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360"/>
            <w:gridSpan w:val="5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3.1 — Terminal Indicators Sidebar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TC_001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Terminal KPIs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Verify sidebar renders on page load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4 terminal indicator cards are visible: Total Audience Scale, Audience Open Rate, Growth Velocity, and ARPU (Revenue Efficiency) — no blank, NaN, or undefined values on initial render.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TC_002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Terminal KPIs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Audience Scale value check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displays 5,000 with descriptor text 'Scale velocity is in the top 10% of institutional newsletters, showcasing robust network reach.'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TC_003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Terminal KPIs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 Rate value and benchmark text check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displays 50.2% with supporting text noting 9.2% above segment benchmark (41%).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TC_004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Terminal KPIs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Growth Velocity renders as negative red indicator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−98.5% MoM renders in red/warning color with alert text: 'Requires immediate top-of-funnel intervention.'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TC_005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Terminal KPIs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ARPU value check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displays $10.24 with commentary noting room to upsell premium subscription tiers.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3.2 — Navigation Tabs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TC_006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4 tabs render on initial load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Overview &amp; Retention, Referral Flywheel, Monetization Yields, and Subscriber Ledger tabs are all visible and clickable in the top nav bar.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TC_007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Active tab highlight renders correctly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currently selected tab renders with a distinct visual highlight (e.g. blue underline or filled background) compared to inactive tabs.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TC_008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 switch loads correct content panel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Clicking each tab replaces the main content area with the corresponding data view without triggering a full page reload.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3.3 — Subscriber Cohort Retention Matrix (Overview &amp; Retention Tab)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TC_009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Matrix renders with all 12 cohort rows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Rows for 2025-01 through 2025-12 are all visible with COHORT, SIZE, and TOP SOURCE columns correctly populated.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M0–M12 column values render for all rows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Each cohort row displays percentage values across all month columns M0 through M12; no blank or missing cells.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Cell colour intensity gradient applied correctly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retention cells (&gt;60%) render in deep cyan; Mid-range cells (20–60%) render in lighter blue; zero/empty values show '0%' with no fill.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cohort rows show REFERRAL FLYWHEEL as Top Source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TOP SOURCE column displays 'REFERRAL FLYWHEEL' for every row in the matrix.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TC_013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Legend renders with High/Mid labels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legend showing High (&gt;60%) in cyan and Mid (20%–60%) in lighter blue appears above or adjacent to the matrix.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TC_014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Cohort SIZE values are non-zero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SIZE values for the 12 cohorts are numeric and fall within the 295–347 range; no zero, NaN, or undefined.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3.4 — Referral Flywheel &amp; Growth Intelligence Tab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TC_015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Referral Flywheel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Force-directed node graph renders on tab load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flywheel graph renders with a central Audience Core node surrounded by channel nodes including Referral Flywheel, X/Twitter, Organic Search, and Direct.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TC_016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Referral Flywheel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Virality K-Factor stat renders correctly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 = 0.115 is displayed above or adjacent to the node graph in the correct format.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TC_017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Referral Flywheel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Referrals stat renders correctly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Referrals = 1,100 is displayed alongside the K-Factor stat.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TC_018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Referral Flywheel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 sizes reflect relative subscriber contribution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Audience Core node is the largest; surrounding channel nodes are sized proportionally relative to their subscriber volume.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TC_019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Referral Flywheel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[Insight] callout renders below graph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blue [Insight] label is visible below the graph with advisory text recommending milestone rewards to improve the under-leveraged referral flywheel.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3.5 — Referral Funnel Metrics (Referral Flywheel Tab)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TC_020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Funnel Metrics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 Links Clicked metric renders correctly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Displays 453 Subscribers, 9.1% of Target, with a −81.7% drop badge and CTR descriptor ('Click-through rate of 18.3% on sponsored placements').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TC_021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Funnel Metrics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Paid Conversions metric renders correctly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Displays 331 Subscribers, 6.6% of Target, with a −26.9% drop badge and conversion rate descriptor.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TC_022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Funnel Metrics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Viral Referrers metric renders correctly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Displays 886 Subscribers, 17.7% of Target, with a −167.7% drop badge and flywheel descriptor ('886 subscribers actively referred new readers').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3.6 — Monetization Dynamics &amp; Sponsorship Yield (Monetization Yields Tab)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TC_023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Monetization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Stacked bar/line combo chart renders on tab load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Chart renders with monthly stacked bars for Sponsorship Revenue (cyan) and Premium Subscriptions (purple), plus a Monthly ARPU white line overlay, spanning 2025-01 to 2026-05.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TC_024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Monetization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Chart legend renders all 3 series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Legend items for Sponsorship Revenue, Premium Subscriptions, and Monthly ARPU are all visible with correct colour coding.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TC_025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Monetization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 trend is upward across the full period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Bar heights increase from the ~$1,000 range in 2025-01 toward the ~$6,000 range in 2026-05, consistent with the stated 14% MoM compounding.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TC_026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Monetization Chart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insight cards render below chart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Sponsorship Yield, Premium Baseline, and Overall Revenue panels each display with a headline metric and supporting copy.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3.7 — Sector Benchmark Scorecard (Monetization Yields Tab)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TC_027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Benchmarks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Audience Open Rate benchmark card renders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Displays 50.2% vs 41.2% target with an OUTPERFORMS badge and +9.0% variance indicator.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TC_028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Benchmarks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Audience Click-Through Rate benchmark card renders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Displays 9.1% vs 6.5% target with an OUTPERFORMS badge and +2.6% variance indicator.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360"/>
            <w:gridSpan w:val="5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3.8 — Export Datasets Panel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TC_029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CSV Data export button renders and is clickable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CSV DATA button is visible in the Export Datasets panel; clicking it triggers an instant download of the active filtered segment as a .csv file.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TC_030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JSON Data export button renders and is clickable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DATA button is visible alongside the CSV button; clicking it triggers an instant download in .json format.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TC_031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Export panel descriptor copy is visible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Helper text reading 'Clicking generates an instant raw query export containing the active filtered segment' is legible beneath the export buttons.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 w:before="4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Static Data Feeds Verification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 following static feed render checks verify all data layers are correctly populated and propagated through the dashboard.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Cohort Retention Feed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 Check: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Verify the Subscriber Cohort Retention Matrix panel is visible and displays all 12 monthly cohorts (2025-01 through 2025-12) with correct SIZE values (295–347 range), TOP SOURCE set to REFERRAL FLYWHEEL for all rows, and M0–M12 retention percentage data points fully populated with no blank cells.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Referral Flywheel Feed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 Check: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Verify the Referral Flywheel panel is visible and correctly renders K-factor (0.115), Total Referrals (1,100), and all channel nodes (Referral Flywheel, X/Twitter, Direct, Organic Search) with proportional node sizing relative to subscriber contribution volume.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Monetization Revenue Feed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 Check: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Verify the Monetization chart panel renders a complete 17-month revenue time series (January 2025 – May 2026) without data gaps. Sponsorship Revenue and Premium Subscription layers must be stacked correctly, and the Monthly ARPU line must track from approximately $0.3 to $2.1 across the period.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4.4 Terminal Indicators Feed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 Check: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Verify that all 4 terminal KPI values (5,000 audience scale, 50.2% open rate, −98.5% MoM growth velocity, $10.24 ARPU) persist correctly and remain consistent across tab switches and all user interactions with the dashboard.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27 May 2026  |  QA / Audit Team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 w:space="1"/>
      </w:pBdr>
    </w:pPr>
    <w:r>
      <w:rPr>
        <w:rFonts w:ascii="Arial" w:cs="Arial" w:eastAsia="Arial" w:hAnsi="Arial"/>
        <w:b/>
        <w:bCs/>
        <w:color w:val="1D4ED8"/>
        <w:sz w:val="20"/>
        <w:szCs w:val="20"/>
      </w:rPr>
      <w:t xml:space="preserve">Functional UAT Checklist: Newsletter Distribution Economics</w:t>
    </w:r>
    <w:r>
      <w:rPr>
        <w:rFonts w:ascii="Arial" w:cs="Arial" w:eastAsia="Arial" w:hAnsi="Arial"/>
        <w:color w:val="64748B"/>
        <w:sz w:val="18"/>
        <w:szCs w:val="18"/>
      </w:rPr>
      <w:t xml:space="preserve">   |   POC #53 — Rail: Distribution &amp; Demand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2026-05-27T05:29:54.896Z</dcterms:created>
  <dcterms:modified xsi:type="dcterms:W3CDTF">2026-05-27T05:29:54.908Z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