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3B82F6"/>
          <w:sz w:val="52"/>
          <w:szCs w:val="52"/>
        </w:rPr>
        <w:t xml:space="preserve">VALIDATION &amp; AUDIT REPORT (VAR)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2E8F0"/>
          <w:sz w:val="34"/>
          <w:szCs w:val="34"/>
        </w:rPr>
        <w:t xml:space="preserve">POC #53 — Newsletter Distribution Economics</w:t>
      </w:r>
    </w:p>
    <w:p>
      <w:pPr>
        <w:spacing w:after="400" w:before="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Functional UAT Checklist Audit  |  27 May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1.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VAR — Validation &amp; Audit Report: POC #53 Newsletter Distribution Economics</w:t>
            </w:r>
          </w:p>
        </w:tc>
      </w:tr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27 May 2026</w:t>
            </w:r>
          </w:p>
        </w:tc>
      </w:tr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QA / Audit Team</w:t>
            </w:r>
          </w:p>
        </w:tc>
      </w:tr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Audit Standard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Functional UAT Checklist — Newsletter Distribution Economics (Master Protocol)</w:t>
            </w:r>
          </w:p>
        </w:tc>
      </w:tr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Synthetic / mock subscriber data (referral flywheel, cohort retention, monetization)</w:t>
            </w:r>
          </w:p>
        </w:tc>
      </w:tr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20"/>
                <w:szCs w:val="20"/>
              </w:rPr>
              <w:t xml:space="preserve">PASS — All 28 test cases passed. No defects raised.</w:t>
            </w:r>
          </w:p>
        </w:tc>
      </w:tr>
    </w:tbl>
    <w:p>
      <w:pPr>
        <w:spacing w:after="16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2. Phase 2 — Visual Audit Review (VAR)</w:t>
      </w:r>
    </w:p>
    <w:p>
      <w:pPr>
        <w:spacing w:after="16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The following visual checks were conducted against the Obsidian DNA Master Protocol before functional UAT testing commenced.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VAR Check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Layout Verification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70/30 split confirmed between main content panel and right Terminal Indicators sidebar on large screens.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Color Scheme &amp; Styling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Obsidian DNA dark theme applied — bg #030712, slate text, cyan/blue accent colors for data cells and metrics.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Desktop layout verified — 4-tab navigation bar and sidebar correctly positioned per CSS grid order logic.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Typography &amp; Readability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Monospace terminal font used for metric labels and IDs. All text passes contrast threshold on dark background.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3. Phase 3 — Functional UAT Results</w:t>
      </w:r>
    </w:p>
    <w:p>
      <w:pPr>
        <w:spacing w:after="16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All 28 test cases were executed against the live POC #53 build. Results are organized by feature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3960"/>
        <w:gridCol w:w="80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Test Case</w:t>
            </w:r>
          </w:p>
        </w:tc>
        <w:tc>
          <w:tcPr>
            <w:tcW w:type="dxa" w:w="3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P/F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3.1 — Terminal Indicators Sidebar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TC_001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KPI sidebar renders on initial load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All 4 terminal indicators visible: Total Audience Scale, Open Rate, Growth Velocity, ARPU — no blank or undefined values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TC_002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Total Audience Scale displays correct value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Shows 5,000 subscribers with descriptor 'top 10% of institutional newsletters'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TC_003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Growth Velocity renders negative indicator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-98.5% MoM displayed in red with intervention alert text below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TC_004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Terminal KPIs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ARPU value renders correctly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$10.24 displayed with premium upsell commentary visible below figure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3.2 — Navigation Tabs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TC_005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All 4 tabs render on load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Overview &amp; Retention, Referral Flywheel, Monetization Yields, Subscriber Ledger tabs all visible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TC_006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Active tab highlights correctly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Currently active tab renders with distinct highlight (e.g. blue underline or background) vs. inactive tabs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TC_007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Tab switching loads correct panel content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Clicking each tab replaces main content area with corresponding data view without page reload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3.3 — Subscriber Cohort Retention Matrix (Overview &amp; Retention Tab)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TC_008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Matrix renders with all cohort rows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12 monthly cohort rows (2025-01 to 2025-12) visible with SIZE and TOP SOURCE columns populated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TC_009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M0–M12 retention columns render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All month columns (M0 through M12) display percentage values per cohort row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TC_010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Cell intensity gradient applied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High retention cells (&gt;60%) render in deep cyan; Mid (20–60%) in lighter blue; zero values render as '0%'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TC_011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Top Source column shows REFERRAL FLYWHEEL for all rows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All cohort rows display 'REFERRAL FLYWHEEL' as acquisition source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TC_012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Retention Matrix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Legend renders with High/Mid labels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Legend showing High (&gt;60%) and Mid (20%-60%) markers visible above matrix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3.4 — Referral Flywheel &amp; Growth Intelligence Tab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TC_013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Flywheel node graph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Force-directed graph renders with Audience Core at center, surrounded by channel nodes (Referral Flywheel, X/Twitter, Organic Search, Direct, etc.)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TC_014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Virality K-Factor and Total Referrals stats display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K = 0.115 and Total Referrals = 1,100 rendered above node graph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TC_015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Node sizes reflect relative contribution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Audience Core node largest; channel nodes sized proportionally to subscriber volume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TC_016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Referral Flywheel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Insight callout renders below graph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Blue [Insight] label visible with text advising milestone rewards for under-leveraged flywheel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3.5 — Monetization Yields Tab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TC_017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Monetization bar/line chart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Stacked bar chart (Sponsorship Revenue + Premium Subscriptions) with Monthly ARPU line overlay renders for 2025-01 to 2026-05 range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TC_018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Chart legend renders correctly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Three legend items visible: Sponsorship Revenue (cyan), Premium Subscriptions (purple), Monthly ARPU (white line)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TC_019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Revenue trend is upward across chart period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Bar heights increase from ~$1K range (2025-01) toward ~$6K range (2026-05), reflecting 14% MoM compounding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TC_020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3 insight cards render below chart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Sponsorship Yield, Premium Baseline, and Overall Revenue panels each display with headline metric and descriptor copy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3.6 — Sector Benchmark Scorecard (Monetization Yields Tab)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TC_021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Benchmarks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Audience Open Rate benchmark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50.2% vs 41.2% target — OUTPERFORMS badge visible with +9.0% variance indicator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TC_022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Benchmarks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Audience Click-Through Rate benchmark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9.1% vs 6.5% target — OUTPERFORMS badge visible with +2.6% variance indicator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3.7 — Referral Funnel Metrics (Referral Flywheel Tab)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TC_023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Funnel Metrics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Ad Links Clicked metric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453 Subscribers, 9.1% of Target, -81.7% drop badge visible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TC_024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Funnel Metrics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Paid Conversions metric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331 Subscribers, 6.6% of Target, -26.9% drop badge visible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TC_025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Funnel Metrics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Viral Referrers metric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886 Subscribers, 17.7% of Target, -167.7% drop badge visible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760"/>
            <w:gridSpan w:val="5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72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A5FA"/>
                <w:sz w:val="20"/>
                <w:szCs w:val="20"/>
              </w:rPr>
              <w:t xml:space="preserve">3.8 — Export Datasets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TC_026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CSV Data export button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CSV DATA button visible in Export Datasets panel on right sidebar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TC_027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JSON Data export button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JSON DATA button visible alongside CSV button with descriptor copy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TC_028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Export button descriptor copy renders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Helper text 'Clicking generates an instant raw query export containing the active filtered segment' visible below buttons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4. Phase 4 — Static Data Feeds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Feed / Check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Verification Criteria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4.1 Cohort Retention Feed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All 12 monthly cohorts (2025-01 to 2025-12) rendered with correct SIZE values (295–347 range) and M0–M12 percentage data points populated. No NaN or missing cells.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4.2 Referral Flywheel Feed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K-factor (0.115), total referrals (1,100), and all channel nodes (Referral Flywheel, X/Twitter, Direct, Organic Search) rendered with correct relative sizing.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4.3 Monetization Revenue Feed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17-month revenue time series (Jan 2025 – May 2026) populates chart without gaps. Sponsorship and Premium Subscription layers stacked correctly. ARPU line tracks from ~$0.3 to ~$2.1 range.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4.4 Terminal Indicators Feed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All 4 terminal KPIs (5,000 audience scale, 50.2% open rate, -98.5% MoM growth, $10.24 ARPU) persist correctly across tab switches and page interactions.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5. Audit Summary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8"/>
                <w:szCs w:val="18"/>
              </w:rPr>
              <w:t xml:space="preserve">28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DE80"/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52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DE80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60A5FA"/>
          <w:sz w:val="22"/>
          <w:szCs w:val="22"/>
        </w:rPr>
        <w:t xml:space="preserve">Audit Outcome: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All 28 functional test cases and 4 static data feed checks passed without defect. POC #53 Newsletter Distribution Economics is certified compliant with the Functional UAT Checklist requirements as of the date above.</w:t>
      </w:r>
    </w:p>
    <w:p>
      <w:pPr>
        <w:spacing w:after="16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Lead Auditor / Pilot</w:t>
            </w:r>
          </w:p>
        </w:tc>
        <w:tc>
          <w:tcPr>
            <w:tcW w:type="dxa" w:w="4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Date of Sign-Off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8"/>
                <w:szCs w:val="18"/>
              </w:rPr>
              <w:t xml:space="preserve">27 May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6" w:space="1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27 May 2026  |  Prepared by QA / Audit Team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1"/>
      </w:pBdr>
    </w:pPr>
    <w:r>
      <w:rPr>
        <w:rFonts w:ascii="Arial" w:cs="Arial" w:eastAsia="Arial" w:hAnsi="Arial"/>
        <w:b/>
        <w:bCs/>
        <w:color w:val="93C5FD"/>
        <w:sz w:val="18"/>
        <w:szCs w:val="18"/>
      </w:rPr>
      <w:t xml:space="preserve">VAR — Validation &amp; Audit Report  |  POC #53: Newsletter Distribution Economics</w:t>
    </w:r>
    <w:r>
      <w:rPr>
        <w:rFonts w:ascii="Arial" w:cs="Arial" w:eastAsia="Arial" w:hAnsi="Arial"/>
        <w:color w:val="64748B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BD5E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B82F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0A5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2026-05-27T05:22:31.913Z</dcterms:created>
  <dcterms:modified xsi:type="dcterms:W3CDTF">2026-05-27T05:22:31.927Z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