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Erwachsenen-Fragebogen Reflexprofil</w:t>
      </w:r>
    </w:p>
    <w:p>
      <w:pPr>
        <w:pStyle w:val="Subtitle"/>
      </w:pPr>
      <w:r>
        <w:t>Produkt-, Inhalts- und Auswertungskonzept für adult_v2 und spätere Fassungen</w:t>
      </w: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vAlign w:val="center"/>
          </w:tcPr>
          <w:p>
            <w:pPr>
              <w:spacing w:after="0"/>
            </w:pPr>
            <w:r>
              <w:rPr>
                <w:b/>
                <w:color w:val="1F4D78"/>
              </w:rPr>
              <w:t xml:space="preserve">Status  </w:t>
            </w:r>
            <w:r>
              <w:t>Arbeits- und Entscheidungsgrundlage. Dieses Dokument ergänzt den Fragenkatalog; es ist weder Validierungsbericht noch medizinische oder psychologische Fachfreigabe.</w:t>
            </w:r>
          </w:p>
        </w:tc>
      </w:tr>
    </w:tbl>
    <w:p>
      <w:pPr>
        <w:spacing w:after="20"/>
      </w:pPr>
    </w:p>
    <w:p>
      <w:pPr>
        <w:pStyle w:val="Heading1"/>
      </w:pPr>
      <w:r>
        <w:t>1. Verbindliche Zweckbestimmung</w:t>
      </w:r>
    </w:p>
    <w:p>
      <w:r>
        <w:t>Der Erwachsenen-Fragebogen ist ein nicht diagnostisches Selbstreflexions- und Orientierungsangebot für Jugendliche ab 16 Jahren und Erwachsene. Er erfasst subjektive Alltagserfahrungen, die nach dem zugrunde gelegten Reflexintegrationsmodell mit verschiedenen Reflexmustern in Verbindung gebracht werden. Die Ergebnisse sind unverbindliche Hinweise und können weder das Vorliegen eines Reflexes feststellen noch medizinische, psychologische oder therapeutische Diagnostik ersetzen. Eine tatsächliche Einschätzung eines Reflexes erfordert eine persönliche körperliche Überprüfung durch eine entsprechend qualifizierte Person.</w:t>
      </w: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FF4E5"/>
            <w:vAlign w:val="center"/>
          </w:tcPr>
          <w:p>
            <w:pPr>
              <w:spacing w:after="0"/>
            </w:pPr>
            <w:r>
              <w:rPr>
                <w:b/>
                <w:color w:val="7A5A00"/>
              </w:rPr>
              <w:t xml:space="preserve">Sprachregel  </w:t>
            </w:r>
            <w:r>
              <w:t>Ergebnisse beschreiben Antwortmuster, Hinweisstärken oder passende Angaben. Unzulässig sind Aussagen wie „Reflex aktiv“, „Reflex nicht integriert“, „Diagnose“, „Ursache“ oder „das Training wirkt nachweislich“.</w:t>
            </w:r>
          </w:p>
        </w:tc>
      </w:tr>
    </w:tbl>
    <w:p>
      <w:pPr>
        <w:spacing w:after="20"/>
      </w:pPr>
    </w:p>
    <w:p>
      <w:pPr>
        <w:pStyle w:val="Heading1"/>
      </w:pPr>
      <w:r>
        <w:t>2. Zielgruppe und Nutzungskontext</w:t>
      </w:r>
    </w:p>
    <w:p>
      <w:pPr>
        <w:pStyle w:val="ListBullet"/>
      </w:pPr>
      <w:r>
        <w:t>Mindestalter: 16 Jahre. Für jüngere Personen ist eine eigene sprachlich, sicherheitsbezogen und datenschutzrechtlich angepasste Fassung erforderlich.</w:t>
      </w:r>
    </w:p>
    <w:p>
      <w:pPr>
        <w:pStyle w:val="ListBullet"/>
      </w:pPr>
      <w:r>
        <w:t>Primärer Zweck: Selbstreflexion, verständliche Einführung in das Thema und Motivation, sich mit Reflexintegration und gegebenenfalls einem Training zu beschäftigen.</w:t>
      </w:r>
    </w:p>
    <w:p>
      <w:pPr>
        <w:pStyle w:val="ListBullet"/>
      </w:pPr>
      <w:r>
        <w:t>Das Profil kann eine persönliche Reflexprüfung vorbereiten, aber nicht ersetzen.</w:t>
      </w:r>
    </w:p>
    <w:p>
      <w:pPr>
        <w:pStyle w:val="ListBullet"/>
      </w:pPr>
      <w:r>
        <w:t>Reflexnamen werden im Ergebnis gezeigt und jeweils durch eine leicht verständliche Erklärung, typische Antwortmuster, Alternativerklärungen und Grenzen ergänzt.</w:t>
      </w:r>
    </w:p>
    <w:p>
      <w:pPr>
        <w:pStyle w:val="Heading1"/>
      </w:pPr>
      <w:r>
        <w:t>3. Evidenz- und Freigabemodell</w:t>
      </w:r>
    </w:p>
    <w:p>
      <w:r>
        <w:t>Die dünne wissenschaftliche Quellenlage wird nicht verdeckt. Erfahrungen aus Fachbüchern, von Ärzten und langjährig tätigen Trainern können verwendet werden, müssen aber intern von direkter Forschung und von theoretischen Ableitungen unterscheidbar bleiben.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200"/>
            <w:shd w:fill="E8EEF5"/>
            <w:tcMar>
              <w:top w:w="90" w:type="dxa"/>
              <w:start w:w="120" w:type="dxa"/>
              <w:bottom w:w="90" w:type="dxa"/>
              <w:end w:w="120" w:type="dxa"/>
            </w:tcMar>
            <w:vAlign w:val="center"/>
          </w:tcPr>
          <w:p>
            <w:pPr>
              <w:spacing w:after="0"/>
            </w:pPr>
            <w:r>
              <w:rPr>
                <w:b/>
                <w:color w:val="1F4D78"/>
              </w:rPr>
              <w:t>Status</w:t>
            </w:r>
          </w:p>
        </w:tc>
        <w:tc>
          <w:tcPr>
            <w:tcW w:type="dxa" w:w="3000"/>
            <w:shd w:fill="E8EEF5"/>
            <w:tcMar>
              <w:top w:w="90" w:type="dxa"/>
              <w:start w:w="120" w:type="dxa"/>
              <w:bottom w:w="90" w:type="dxa"/>
              <w:end w:w="120" w:type="dxa"/>
            </w:tcMar>
            <w:vAlign w:val="center"/>
          </w:tcPr>
          <w:p>
            <w:pPr>
              <w:spacing w:after="0"/>
            </w:pPr>
            <w:r>
              <w:rPr>
                <w:b/>
                <w:color w:val="1F4D78"/>
              </w:rPr>
              <w:t>Bedeutung</w:t>
            </w:r>
          </w:p>
        </w:tc>
        <w:tc>
          <w:tcPr>
            <w:tcW w:type="dxa" w:w="5160"/>
            <w:shd w:fill="E8EEF5"/>
            <w:tcMar>
              <w:top w:w="90" w:type="dxa"/>
              <w:start w:w="120" w:type="dxa"/>
              <w:bottom w:w="90" w:type="dxa"/>
              <w:end w:w="120" w:type="dxa"/>
            </w:tcMar>
            <w:vAlign w:val="center"/>
          </w:tcPr>
          <w:p>
            <w:pPr>
              <w:spacing w:after="0"/>
            </w:pPr>
            <w:r>
              <w:rPr>
                <w:b/>
                <w:color w:val="1F4D78"/>
              </w:rPr>
              <w:t>Freigaberegel</w:t>
            </w:r>
          </w:p>
        </w:tc>
      </w:tr>
      <w:tr>
        <w:tc>
          <w:tcPr>
            <w:tcW w:type="dxa" w:w="1200"/>
            <w:tcMar>
              <w:top w:w="90" w:type="dxa"/>
              <w:start w:w="120" w:type="dxa"/>
              <w:bottom w:w="90" w:type="dxa"/>
              <w:end w:w="120" w:type="dxa"/>
            </w:tcMar>
            <w:vAlign w:val="center"/>
          </w:tcPr>
          <w:p>
            <w:pPr>
              <w:spacing w:after="0"/>
            </w:pPr>
            <w:r>
              <w:t>A – direkter Beleg</w:t>
            </w:r>
          </w:p>
        </w:tc>
        <w:tc>
          <w:tcPr>
            <w:tcW w:type="dxa" w:w="3000"/>
            <w:tcMar>
              <w:top w:w="90" w:type="dxa"/>
              <w:start w:w="120" w:type="dxa"/>
              <w:bottom w:w="90" w:type="dxa"/>
              <w:end w:w="120" w:type="dxa"/>
            </w:tcMar>
            <w:vAlign w:val="center"/>
          </w:tcPr>
          <w:p>
            <w:pPr>
              <w:spacing w:after="0"/>
            </w:pPr>
            <w:r>
              <w:t>Publizierte Quelle stützt die konkrete Item-Reflex-Beziehung.</w:t>
            </w:r>
          </w:p>
        </w:tc>
        <w:tc>
          <w:tcPr>
            <w:tcW w:type="dxa" w:w="5160"/>
            <w:tcMar>
              <w:top w:w="90" w:type="dxa"/>
              <w:start w:w="120" w:type="dxa"/>
              <w:bottom w:w="90" w:type="dxa"/>
              <w:end w:w="120" w:type="dxa"/>
            </w:tcMar>
            <w:vAlign w:val="center"/>
          </w:tcPr>
          <w:p>
            <w:pPr>
              <w:spacing w:after="0"/>
            </w:pPr>
            <w:r>
              <w:t>Quelle und Population dokumentieren.</w:t>
            </w:r>
          </w:p>
        </w:tc>
      </w:tr>
      <w:tr>
        <w:tc>
          <w:tcPr>
            <w:tcW w:type="dxa" w:w="1200"/>
            <w:tcMar>
              <w:top w:w="90" w:type="dxa"/>
              <w:start w:w="120" w:type="dxa"/>
              <w:bottom w:w="90" w:type="dxa"/>
              <w:end w:w="120" w:type="dxa"/>
            </w:tcMar>
            <w:vAlign w:val="center"/>
          </w:tcPr>
          <w:p>
            <w:pPr>
              <w:spacing w:after="0"/>
            </w:pPr>
            <w:r>
              <w:t>B – indirekter Beleg</w:t>
            </w:r>
          </w:p>
        </w:tc>
        <w:tc>
          <w:tcPr>
            <w:tcW w:type="dxa" w:w="3000"/>
            <w:tcMar>
              <w:top w:w="90" w:type="dxa"/>
              <w:start w:w="120" w:type="dxa"/>
              <w:bottom w:w="90" w:type="dxa"/>
              <w:end w:w="120" w:type="dxa"/>
            </w:tcMar>
            <w:vAlign w:val="center"/>
          </w:tcPr>
          <w:p>
            <w:pPr>
              <w:spacing w:after="0"/>
            </w:pPr>
            <w:r>
              <w:t>Quelle stützt Mechanismus oder benachbartes Merkmal.</w:t>
            </w:r>
          </w:p>
        </w:tc>
        <w:tc>
          <w:tcPr>
            <w:tcW w:type="dxa" w:w="5160"/>
            <w:tcMar>
              <w:top w:w="90" w:type="dxa"/>
              <w:start w:w="120" w:type="dxa"/>
              <w:bottom w:w="90" w:type="dxa"/>
              <w:end w:w="120" w:type="dxa"/>
            </w:tcMar>
            <w:vAlign w:val="center"/>
          </w:tcPr>
          <w:p>
            <w:pPr>
              <w:spacing w:after="0"/>
            </w:pPr>
            <w:r>
              <w:t>Ableitungskette dokumentieren.</w:t>
            </w:r>
          </w:p>
        </w:tc>
      </w:tr>
      <w:tr>
        <w:tc>
          <w:tcPr>
            <w:tcW w:type="dxa" w:w="1200"/>
            <w:tcMar>
              <w:top w:w="90" w:type="dxa"/>
              <w:start w:w="120" w:type="dxa"/>
              <w:bottom w:w="90" w:type="dxa"/>
              <w:end w:w="120" w:type="dxa"/>
            </w:tcMar>
            <w:vAlign w:val="center"/>
          </w:tcPr>
          <w:p>
            <w:pPr>
              <w:spacing w:after="0"/>
            </w:pPr>
            <w:r>
              <w:t>C – Fach-/Erfahrungswissen</w:t>
            </w:r>
          </w:p>
        </w:tc>
        <w:tc>
          <w:tcPr>
            <w:tcW w:type="dxa" w:w="3000"/>
            <w:tcMar>
              <w:top w:w="90" w:type="dxa"/>
              <w:start w:w="120" w:type="dxa"/>
              <w:bottom w:w="90" w:type="dxa"/>
              <w:end w:w="120" w:type="dxa"/>
            </w:tcMar>
            <w:vAlign w:val="center"/>
          </w:tcPr>
          <w:p>
            <w:pPr>
              <w:spacing w:after="0"/>
            </w:pPr>
            <w:r>
              <w:t>Fachbuch oder wiederholte Beobachtung qualifizierter Praktiker.</w:t>
            </w:r>
          </w:p>
        </w:tc>
        <w:tc>
          <w:tcPr>
            <w:tcW w:type="dxa" w:w="5160"/>
            <w:tcMar>
              <w:top w:w="90" w:type="dxa"/>
              <w:start w:w="120" w:type="dxa"/>
              <w:bottom w:w="90" w:type="dxa"/>
              <w:end w:w="120" w:type="dxa"/>
            </w:tcMar>
            <w:vAlign w:val="center"/>
          </w:tcPr>
          <w:p>
            <w:pPr>
              <w:spacing w:after="0"/>
            </w:pPr>
            <w:r>
              <w:t>Urheber, Erfahrung und Alternativerklärungen dokumentieren.</w:t>
            </w:r>
          </w:p>
        </w:tc>
      </w:tr>
      <w:tr>
        <w:tc>
          <w:tcPr>
            <w:tcW w:type="dxa" w:w="1200"/>
            <w:tcMar>
              <w:top w:w="90" w:type="dxa"/>
              <w:start w:w="120" w:type="dxa"/>
              <w:bottom w:w="90" w:type="dxa"/>
              <w:end w:w="120" w:type="dxa"/>
            </w:tcMar>
            <w:vAlign w:val="center"/>
          </w:tcPr>
          <w:p>
            <w:pPr>
              <w:spacing w:after="0"/>
            </w:pPr>
            <w:r>
              <w:t>D – theoretisch abgeleitet</w:t>
            </w:r>
          </w:p>
        </w:tc>
        <w:tc>
          <w:tcPr>
            <w:tcW w:type="dxa" w:w="3000"/>
            <w:tcMar>
              <w:top w:w="90" w:type="dxa"/>
              <w:start w:w="120" w:type="dxa"/>
              <w:bottom w:w="90" w:type="dxa"/>
              <w:end w:w="120" w:type="dxa"/>
            </w:tcMar>
            <w:vAlign w:val="center"/>
          </w:tcPr>
          <w:p>
            <w:pPr>
              <w:spacing w:after="0"/>
            </w:pPr>
            <w:r>
              <w:t>Plausible, aber nicht extern bestätigte Herleitung.</w:t>
            </w:r>
          </w:p>
        </w:tc>
        <w:tc>
          <w:tcPr>
            <w:tcW w:type="dxa" w:w="5160"/>
            <w:tcMar>
              <w:top w:w="90" w:type="dxa"/>
              <w:start w:w="120" w:type="dxa"/>
              <w:bottom w:w="90" w:type="dxa"/>
              <w:end w:w="120" w:type="dxa"/>
            </w:tcMar>
            <w:vAlign w:val="center"/>
          </w:tcPr>
          <w:p>
            <w:pPr>
              <w:spacing w:after="0"/>
            </w:pPr>
            <w:r>
              <w:t>Nur nach interner Freigabe; als unsicher markieren.</w:t>
            </w:r>
          </w:p>
        </w:tc>
      </w:tr>
      <w:tr>
        <w:tc>
          <w:tcPr>
            <w:tcW w:type="dxa" w:w="1200"/>
            <w:tcMar>
              <w:top w:w="90" w:type="dxa"/>
              <w:start w:w="120" w:type="dxa"/>
              <w:bottom w:w="90" w:type="dxa"/>
              <w:end w:w="120" w:type="dxa"/>
            </w:tcMar>
            <w:vAlign w:val="center"/>
          </w:tcPr>
          <w:p>
            <w:pPr>
              <w:spacing w:after="0"/>
            </w:pPr>
            <w:r>
              <w:t>E – ungeklärt</w:t>
            </w:r>
          </w:p>
        </w:tc>
        <w:tc>
          <w:tcPr>
            <w:tcW w:type="dxa" w:w="3000"/>
            <w:tcMar>
              <w:top w:w="90" w:type="dxa"/>
              <w:start w:w="120" w:type="dxa"/>
              <w:bottom w:w="90" w:type="dxa"/>
              <w:end w:w="120" w:type="dxa"/>
            </w:tcMar>
            <w:vAlign w:val="center"/>
          </w:tcPr>
          <w:p>
            <w:pPr>
              <w:spacing w:after="0"/>
            </w:pPr>
            <w:r>
              <w:t>Keine nachvollziehbare Herleitung oder widersprüchliche Zuordnung.</w:t>
            </w:r>
          </w:p>
        </w:tc>
        <w:tc>
          <w:tcPr>
            <w:tcW w:type="dxa" w:w="5160"/>
            <w:tcMar>
              <w:top w:w="90" w:type="dxa"/>
              <w:start w:w="120" w:type="dxa"/>
              <w:bottom w:w="90" w:type="dxa"/>
              <w:end w:w="120" w:type="dxa"/>
            </w:tcMar>
            <w:vAlign w:val="center"/>
          </w:tcPr>
          <w:p>
            <w:pPr>
              <w:spacing w:after="0"/>
            </w:pPr>
            <w:r>
              <w:t>Nicht in die veröffentlichte Scorelogik übernehmen.</w:t>
            </w:r>
          </w:p>
        </w:tc>
      </w:tr>
    </w:tbl>
    <w:p>
      <w:pPr>
        <w:spacing w:after="20"/>
      </w:pPr>
    </w:p>
    <w:p>
      <w:r>
        <w:t>Eine ungeklärte A/B-Formulierungswahl darf nicht durch die Vereinigungsmenge beider Reflexzuordnungen in eine produktive Version gelangen. Sehr allgemeine Items mit Zuordnung zu vielen Reflexen sind vorzugsweise Kontextitems oder müssen fachlich reduziert werden.</w:t>
      </w:r>
    </w:p>
    <w:p>
      <w:pPr>
        <w:pStyle w:val="Heading1"/>
      </w:pPr>
      <w:r>
        <w:t>4. Antwortmodell</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E8EEF5"/>
            <w:tcMar>
              <w:top w:w="90" w:type="dxa"/>
              <w:start w:w="120" w:type="dxa"/>
              <w:bottom w:w="90" w:type="dxa"/>
              <w:end w:w="120" w:type="dxa"/>
            </w:tcMar>
            <w:vAlign w:val="center"/>
          </w:tcPr>
          <w:p>
            <w:pPr>
              <w:spacing w:after="0"/>
            </w:pPr>
            <w:r>
              <w:rPr>
                <w:b/>
                <w:color w:val="1F4D78"/>
              </w:rPr>
              <w:t>Antwort</w:t>
            </w:r>
          </w:p>
        </w:tc>
        <w:tc>
          <w:tcPr>
            <w:tcW w:type="dxa" w:w="2760"/>
            <w:shd w:fill="E8EEF5"/>
            <w:tcMar>
              <w:top w:w="90" w:type="dxa"/>
              <w:start w:w="120" w:type="dxa"/>
              <w:bottom w:w="90" w:type="dxa"/>
              <w:end w:w="120" w:type="dxa"/>
            </w:tcMar>
            <w:vAlign w:val="center"/>
          </w:tcPr>
          <w:p>
            <w:pPr>
              <w:spacing w:after="0"/>
            </w:pPr>
            <w:r>
              <w:rPr>
                <w:b/>
                <w:color w:val="1F4D78"/>
              </w:rPr>
              <w:t>Auswertung</w:t>
            </w:r>
          </w:p>
        </w:tc>
        <w:tc>
          <w:tcPr>
            <w:tcW w:type="dxa" w:w="4800"/>
            <w:shd w:fill="E8EEF5"/>
            <w:tcMar>
              <w:top w:w="90" w:type="dxa"/>
              <w:start w:w="120" w:type="dxa"/>
              <w:bottom w:w="90" w:type="dxa"/>
              <w:end w:w="120" w:type="dxa"/>
            </w:tcMar>
            <w:vAlign w:val="center"/>
          </w:tcPr>
          <w:p>
            <w:pPr>
              <w:spacing w:after="0"/>
            </w:pPr>
            <w:r>
              <w:rPr>
                <w:b/>
                <w:color w:val="1F4D78"/>
              </w:rPr>
              <w:t>Analysebedeutung</w:t>
            </w:r>
          </w:p>
        </w:tc>
      </w:tr>
      <w:tr>
        <w:tc>
          <w:tcPr>
            <w:tcW w:type="dxa" w:w="1800"/>
            <w:tcMar>
              <w:top w:w="90" w:type="dxa"/>
              <w:start w:w="120" w:type="dxa"/>
              <w:bottom w:w="90" w:type="dxa"/>
              <w:end w:w="120" w:type="dxa"/>
            </w:tcMar>
            <w:vAlign w:val="center"/>
          </w:tcPr>
          <w:p>
            <w:pPr>
              <w:spacing w:after="0"/>
            </w:pPr>
            <w:r>
              <w:t>Ja / trifft zu</w:t>
            </w:r>
          </w:p>
        </w:tc>
        <w:tc>
          <w:tcPr>
            <w:tcW w:type="dxa" w:w="2760"/>
            <w:tcMar>
              <w:top w:w="90" w:type="dxa"/>
              <w:start w:w="120" w:type="dxa"/>
              <w:bottom w:w="90" w:type="dxa"/>
              <w:end w:w="120" w:type="dxa"/>
            </w:tcMar>
            <w:vAlign w:val="center"/>
          </w:tcPr>
          <w:p>
            <w:pPr>
              <w:spacing w:after="0"/>
            </w:pPr>
            <w:r>
              <w:t>Je nach Polung Hinweiswert 1 oder 0.</w:t>
            </w:r>
          </w:p>
        </w:tc>
        <w:tc>
          <w:tcPr>
            <w:tcW w:type="dxa" w:w="4800"/>
            <w:tcMar>
              <w:top w:w="90" w:type="dxa"/>
              <w:start w:w="120" w:type="dxa"/>
              <w:bottom w:w="90" w:type="dxa"/>
              <w:end w:w="120" w:type="dxa"/>
            </w:tcMar>
            <w:vAlign w:val="center"/>
          </w:tcPr>
          <w:p>
            <w:pPr>
              <w:spacing w:after="0"/>
            </w:pPr>
            <w:r>
              <w:t>Reguläre Antwort.</w:t>
            </w:r>
          </w:p>
        </w:tc>
      </w:tr>
      <w:tr>
        <w:tc>
          <w:tcPr>
            <w:tcW w:type="dxa" w:w="1800"/>
            <w:tcMar>
              <w:top w:w="90" w:type="dxa"/>
              <w:start w:w="120" w:type="dxa"/>
              <w:bottom w:w="90" w:type="dxa"/>
              <w:end w:w="120" w:type="dxa"/>
            </w:tcMar>
            <w:vAlign w:val="center"/>
          </w:tcPr>
          <w:p>
            <w:pPr>
              <w:spacing w:after="0"/>
            </w:pPr>
            <w:r>
              <w:t>Nein / trifft nicht zu</w:t>
            </w:r>
          </w:p>
        </w:tc>
        <w:tc>
          <w:tcPr>
            <w:tcW w:type="dxa" w:w="2760"/>
            <w:tcMar>
              <w:top w:w="90" w:type="dxa"/>
              <w:start w:w="120" w:type="dxa"/>
              <w:bottom w:w="90" w:type="dxa"/>
              <w:end w:w="120" w:type="dxa"/>
            </w:tcMar>
            <w:vAlign w:val="center"/>
          </w:tcPr>
          <w:p>
            <w:pPr>
              <w:spacing w:after="0"/>
            </w:pPr>
            <w:r>
              <w:t>Je nach Polung Hinweiswert 0 oder 1.</w:t>
            </w:r>
          </w:p>
        </w:tc>
        <w:tc>
          <w:tcPr>
            <w:tcW w:type="dxa" w:w="4800"/>
            <w:tcMar>
              <w:top w:w="90" w:type="dxa"/>
              <w:start w:w="120" w:type="dxa"/>
              <w:bottom w:w="90" w:type="dxa"/>
              <w:end w:w="120" w:type="dxa"/>
            </w:tcMar>
            <w:vAlign w:val="center"/>
          </w:tcPr>
          <w:p>
            <w:pPr>
              <w:spacing w:after="0"/>
            </w:pPr>
            <w:r>
              <w:t>Reguläre Antwort.</w:t>
            </w:r>
          </w:p>
        </w:tc>
      </w:tr>
      <w:tr>
        <w:tc>
          <w:tcPr>
            <w:tcW w:type="dxa" w:w="1800"/>
            <w:tcMar>
              <w:top w:w="90" w:type="dxa"/>
              <w:start w:w="120" w:type="dxa"/>
              <w:bottom w:w="90" w:type="dxa"/>
              <w:end w:w="120" w:type="dxa"/>
            </w:tcMar>
            <w:vAlign w:val="center"/>
          </w:tcPr>
          <w:p>
            <w:pPr>
              <w:spacing w:after="0"/>
            </w:pPr>
            <w:r>
              <w:t>Weiß ich nicht</w:t>
            </w:r>
          </w:p>
        </w:tc>
        <w:tc>
          <w:tcPr>
            <w:tcW w:type="dxa" w:w="2760"/>
            <w:tcMar>
              <w:top w:w="90" w:type="dxa"/>
              <w:start w:w="120" w:type="dxa"/>
              <w:bottom w:w="90" w:type="dxa"/>
              <w:end w:w="120" w:type="dxa"/>
            </w:tcMar>
            <w:vAlign w:val="center"/>
          </w:tcPr>
          <w:p>
            <w:pPr>
              <w:spacing w:after="0"/>
            </w:pPr>
            <w:r>
              <w:t>Aus Zähler und Nenner.</w:t>
            </w:r>
          </w:p>
        </w:tc>
        <w:tc>
          <w:tcPr>
            <w:tcW w:type="dxa" w:w="4800"/>
            <w:tcMar>
              <w:top w:w="90" w:type="dxa"/>
              <w:start w:w="120" w:type="dxa"/>
              <w:bottom w:w="90" w:type="dxa"/>
              <w:end w:w="120" w:type="dxa"/>
            </w:tcMar>
            <w:vAlign w:val="center"/>
          </w:tcPr>
          <w:p>
            <w:pPr>
              <w:spacing w:after="0"/>
            </w:pPr>
            <w:r>
              <w:t>Fehlendes Wissen; getrennt speichern.</w:t>
            </w:r>
          </w:p>
        </w:tc>
      </w:tr>
      <w:tr>
        <w:tc>
          <w:tcPr>
            <w:tcW w:type="dxa" w:w="1800"/>
            <w:tcMar>
              <w:top w:w="90" w:type="dxa"/>
              <w:start w:w="120" w:type="dxa"/>
              <w:bottom w:w="90" w:type="dxa"/>
              <w:end w:w="120" w:type="dxa"/>
            </w:tcMar>
            <w:vAlign w:val="center"/>
          </w:tcPr>
          <w:p>
            <w:pPr>
              <w:spacing w:after="0"/>
            </w:pPr>
            <w:r>
              <w:t>Trifft auf mich nicht zu</w:t>
            </w:r>
          </w:p>
        </w:tc>
        <w:tc>
          <w:tcPr>
            <w:tcW w:type="dxa" w:w="2760"/>
            <w:tcMar>
              <w:top w:w="90" w:type="dxa"/>
              <w:start w:w="120" w:type="dxa"/>
              <w:bottom w:w="90" w:type="dxa"/>
              <w:end w:w="120" w:type="dxa"/>
            </w:tcMar>
            <w:vAlign w:val="center"/>
          </w:tcPr>
          <w:p>
            <w:pPr>
              <w:spacing w:after="0"/>
            </w:pPr>
            <w:r>
              <w:t>Aus Zähler und Nenner; möglichst per Filter verhindern.</w:t>
            </w:r>
          </w:p>
        </w:tc>
        <w:tc>
          <w:tcPr>
            <w:tcW w:type="dxa" w:w="4800"/>
            <w:tcMar>
              <w:top w:w="90" w:type="dxa"/>
              <w:start w:w="120" w:type="dxa"/>
              <w:bottom w:w="90" w:type="dxa"/>
              <w:end w:w="120" w:type="dxa"/>
            </w:tcMar>
            <w:vAlign w:val="center"/>
          </w:tcPr>
          <w:p>
            <w:pPr>
              <w:spacing w:after="0"/>
            </w:pPr>
            <w:r>
              <w:t>Lebenssituation nicht gegeben; getrennt speichern.</w:t>
            </w:r>
          </w:p>
        </w:tc>
      </w:tr>
    </w:tbl>
    <w:p>
      <w:pPr>
        <w:spacing w:after="20"/>
      </w:pPr>
    </w:p>
    <w:p>
      <w:r>
        <w:t>Bei bedingten Fragen wird die Lebensvoraussetzung vorab abgefragt. Nicht anwendbare Fragen werden ausgeblendet. Inverse Items werden natürlich formuliert und technisch über die Polung verrechnet.</w:t>
      </w:r>
    </w:p>
    <w:p>
      <w:pPr>
        <w:pStyle w:val="Heading1"/>
      </w:pPr>
      <w:r>
        <w:t>5. Reflexwerte und Ergebnisdarstellung</w:t>
      </w:r>
    </w:p>
    <w:p>
      <w:r>
        <w:t>Vorläufige Grundformel: Hinweiswert = positive beziehungsweise invers gewertete Angaben geteilt durch alle beantworteten und anwendbaren Items des Reflexes, multipliziert mit 100. Alle Items bleiben zunächst gleich gewichtet. Eine spätere Gewichtung ist nur anhand dokumentierter Fachentscheidung und Nutzungsdaten einzuführen.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800"/>
            <w:shd w:fill="E8EEF5"/>
            <w:tcMar>
              <w:top w:w="90" w:type="dxa"/>
              <w:start w:w="120" w:type="dxa"/>
              <w:bottom w:w="90" w:type="dxa"/>
              <w:end w:w="120" w:type="dxa"/>
            </w:tcMar>
            <w:vAlign w:val="center"/>
          </w:tcPr>
          <w:p>
            <w:pPr>
              <w:spacing w:after="0"/>
            </w:pPr>
            <w:r>
              <w:rPr>
                <w:b/>
                <w:color w:val="1F4D78"/>
              </w:rPr>
              <w:t>Bereich</w:t>
            </w:r>
          </w:p>
        </w:tc>
        <w:tc>
          <w:tcPr>
            <w:tcW w:type="dxa" w:w="7560"/>
            <w:shd w:fill="E8EEF5"/>
            <w:tcMar>
              <w:top w:w="90" w:type="dxa"/>
              <w:start w:w="120" w:type="dxa"/>
              <w:bottom w:w="90" w:type="dxa"/>
              <w:end w:w="120" w:type="dxa"/>
            </w:tcMar>
            <w:vAlign w:val="center"/>
          </w:tcPr>
          <w:p>
            <w:pPr>
              <w:spacing w:after="0"/>
            </w:pPr>
            <w:r>
              <w:rPr>
                <w:b/>
                <w:color w:val="1F4D78"/>
              </w:rPr>
              <w:t>Vorläufige Nutzerformulierung</w:t>
            </w:r>
          </w:p>
        </w:tc>
      </w:tr>
      <w:tr>
        <w:tc>
          <w:tcPr>
            <w:tcW w:type="dxa" w:w="1800"/>
            <w:tcMar>
              <w:top w:w="90" w:type="dxa"/>
              <w:start w:w="120" w:type="dxa"/>
              <w:bottom w:w="90" w:type="dxa"/>
              <w:end w:w="120" w:type="dxa"/>
            </w:tcMar>
            <w:vAlign w:val="center"/>
          </w:tcPr>
          <w:p>
            <w:pPr>
              <w:spacing w:after="0"/>
            </w:pPr>
            <w:r>
              <w:t>0–29 %</w:t>
            </w:r>
          </w:p>
        </w:tc>
        <w:tc>
          <w:tcPr>
            <w:tcW w:type="dxa" w:w="7560"/>
            <w:tcMar>
              <w:top w:w="90" w:type="dxa"/>
              <w:start w:w="120" w:type="dxa"/>
              <w:bottom w:w="90" w:type="dxa"/>
              <w:end w:w="120" w:type="dxa"/>
            </w:tcMar>
            <w:vAlign w:val="center"/>
          </w:tcPr>
          <w:p>
            <w:pPr>
              <w:spacing w:after="0"/>
            </w:pPr>
            <w:r>
              <w:t>Wenige passende Angaben</w:t>
            </w:r>
          </w:p>
        </w:tc>
      </w:tr>
      <w:tr>
        <w:tc>
          <w:tcPr>
            <w:tcW w:type="dxa" w:w="1800"/>
            <w:tcMar>
              <w:top w:w="90" w:type="dxa"/>
              <w:start w:w="120" w:type="dxa"/>
              <w:bottom w:w="90" w:type="dxa"/>
              <w:end w:w="120" w:type="dxa"/>
            </w:tcMar>
            <w:vAlign w:val="center"/>
          </w:tcPr>
          <w:p>
            <w:pPr>
              <w:spacing w:after="0"/>
            </w:pPr>
            <w:r>
              <w:t>30–59 %</w:t>
            </w:r>
          </w:p>
        </w:tc>
        <w:tc>
          <w:tcPr>
            <w:tcW w:type="dxa" w:w="7560"/>
            <w:tcMar>
              <w:top w:w="90" w:type="dxa"/>
              <w:start w:w="120" w:type="dxa"/>
              <w:bottom w:w="90" w:type="dxa"/>
              <w:end w:w="120" w:type="dxa"/>
            </w:tcMar>
            <w:vAlign w:val="center"/>
          </w:tcPr>
          <w:p>
            <w:pPr>
              <w:spacing w:after="0"/>
            </w:pPr>
            <w:r>
              <w:t>Einzelne passende Angaben</w:t>
            </w:r>
          </w:p>
        </w:tc>
      </w:tr>
      <w:tr>
        <w:tc>
          <w:tcPr>
            <w:tcW w:type="dxa" w:w="1800"/>
            <w:tcMar>
              <w:top w:w="90" w:type="dxa"/>
              <w:start w:w="120" w:type="dxa"/>
              <w:bottom w:w="90" w:type="dxa"/>
              <w:end w:w="120" w:type="dxa"/>
            </w:tcMar>
            <w:vAlign w:val="center"/>
          </w:tcPr>
          <w:p>
            <w:pPr>
              <w:spacing w:after="0"/>
            </w:pPr>
            <w:r>
              <w:t>60–79 %</w:t>
            </w:r>
          </w:p>
        </w:tc>
        <w:tc>
          <w:tcPr>
            <w:tcW w:type="dxa" w:w="7560"/>
            <w:tcMar>
              <w:top w:w="90" w:type="dxa"/>
              <w:start w:w="120" w:type="dxa"/>
              <w:bottom w:w="90" w:type="dxa"/>
              <w:end w:w="120" w:type="dxa"/>
            </w:tcMar>
            <w:vAlign w:val="center"/>
          </w:tcPr>
          <w:p>
            <w:pPr>
              <w:spacing w:after="0"/>
            </w:pPr>
            <w:r>
              <w:t>Gehäuftes Antwortmuster</w:t>
            </w:r>
          </w:p>
        </w:tc>
      </w:tr>
      <w:tr>
        <w:tc>
          <w:tcPr>
            <w:tcW w:type="dxa" w:w="1800"/>
            <w:tcMar>
              <w:top w:w="90" w:type="dxa"/>
              <w:start w:w="120" w:type="dxa"/>
              <w:bottom w:w="90" w:type="dxa"/>
              <w:end w:w="120" w:type="dxa"/>
            </w:tcMar>
            <w:vAlign w:val="center"/>
          </w:tcPr>
          <w:p>
            <w:pPr>
              <w:spacing w:after="0"/>
            </w:pPr>
            <w:r>
              <w:t>80–100 %</w:t>
            </w:r>
          </w:p>
        </w:tc>
        <w:tc>
          <w:tcPr>
            <w:tcW w:type="dxa" w:w="7560"/>
            <w:tcMar>
              <w:top w:w="90" w:type="dxa"/>
              <w:start w:w="120" w:type="dxa"/>
              <w:bottom w:w="90" w:type="dxa"/>
              <w:end w:w="120" w:type="dxa"/>
            </w:tcMar>
            <w:vAlign w:val="center"/>
          </w:tcPr>
          <w:p>
            <w:pPr>
              <w:spacing w:after="0"/>
            </w:pPr>
            <w:r>
              <w:t>Stark gehäuftes Antwortmuster</w:t>
            </w:r>
          </w:p>
        </w:tc>
      </w:tr>
    </w:tbl>
    <w:p>
      <w:pPr>
        <w:spacing w:after="20"/>
      </w:pP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vAlign w:val="center"/>
          </w:tcPr>
          <w:p>
            <w:pPr>
              <w:spacing w:after="0"/>
            </w:pPr>
            <w:r>
              <w:rPr>
                <w:b/>
                <w:color w:val="1F4D78"/>
              </w:rPr>
              <w:t xml:space="preserve">Wichtig  </w:t>
            </w:r>
            <w:r>
              <w:t>Die Prozentbereiche sind Produktregeln zur Orientierung, keine wissenschaftlich ermittelten Grenzwerte. Am Ergebnis werden stets Anzahl der beantworteten Items und ein Unsicherheitshinweis gezeigt.</w:t>
            </w:r>
          </w:p>
        </w:tc>
      </w:tr>
    </w:tbl>
    <w:p>
      <w:pPr>
        <w:spacing w:after="20"/>
      </w:pPr>
    </w:p>
    <w:p>
      <w:pPr>
        <w:pStyle w:val="Heading1"/>
      </w:pPr>
      <w:r>
        <w:t>6. Reflexe mit sehr wenigen Items</w:t>
      </w:r>
    </w:p>
    <w:p>
      <w:r>
        <w:t>Es gilt keine starre Mindestanzahl von Fragen. Bei wenigen, aber fachlich als charakteristisch eingeschätzten Faktoren wird die kleine Datengrundlage sichtbar gemacht und eine eigene Darstellungsart verwendet.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00"/>
            <w:shd w:fill="E8EEF5"/>
            <w:tcMar>
              <w:top w:w="90" w:type="dxa"/>
              <w:start w:w="120" w:type="dxa"/>
              <w:bottom w:w="90" w:type="dxa"/>
              <w:end w:w="120" w:type="dxa"/>
            </w:tcMar>
            <w:vAlign w:val="center"/>
          </w:tcPr>
          <w:p>
            <w:pPr>
              <w:spacing w:after="0"/>
            </w:pPr>
            <w:r>
              <w:rPr>
                <w:b/>
                <w:color w:val="1F4D78"/>
              </w:rPr>
              <w:t>Amphibienreflex</w:t>
            </w:r>
          </w:p>
        </w:tc>
        <w:tc>
          <w:tcPr>
            <w:tcW w:type="dxa" w:w="6960"/>
            <w:shd w:fill="E8EEF5"/>
            <w:tcMar>
              <w:top w:w="90" w:type="dxa"/>
              <w:start w:w="120" w:type="dxa"/>
              <w:bottom w:w="90" w:type="dxa"/>
              <w:end w:w="120" w:type="dxa"/>
            </w:tcMar>
            <w:vAlign w:val="center"/>
          </w:tcPr>
          <w:p>
            <w:pPr>
              <w:spacing w:after="0"/>
            </w:pPr>
            <w:r>
              <w:rPr>
                <w:b/>
                <w:color w:val="1F4D78"/>
              </w:rPr>
              <w:t>Anzeige</w:t>
            </w:r>
          </w:p>
        </w:tc>
      </w:tr>
      <w:tr>
        <w:tc>
          <w:tcPr>
            <w:tcW w:type="dxa" w:w="2400"/>
            <w:tcMar>
              <w:top w:w="90" w:type="dxa"/>
              <w:start w:w="120" w:type="dxa"/>
              <w:bottom w:w="90" w:type="dxa"/>
              <w:end w:w="120" w:type="dxa"/>
            </w:tcMar>
            <w:vAlign w:val="center"/>
          </w:tcPr>
          <w:p>
            <w:pPr>
              <w:spacing w:after="0"/>
            </w:pPr>
            <w:r>
              <w:t>0 von 2</w:t>
            </w:r>
          </w:p>
        </w:tc>
        <w:tc>
          <w:tcPr>
            <w:tcW w:type="dxa" w:w="6960"/>
            <w:tcMar>
              <w:top w:w="90" w:type="dxa"/>
              <w:start w:w="120" w:type="dxa"/>
              <w:bottom w:w="90" w:type="dxa"/>
              <w:end w:w="120" w:type="dxa"/>
            </w:tcMar>
            <w:vAlign w:val="center"/>
          </w:tcPr>
          <w:p>
            <w:pPr>
              <w:spacing w:after="0"/>
            </w:pPr>
            <w:r>
              <w:t>Kein passender Einzelhinweis</w:t>
            </w:r>
          </w:p>
        </w:tc>
      </w:tr>
      <w:tr>
        <w:tc>
          <w:tcPr>
            <w:tcW w:type="dxa" w:w="2400"/>
            <w:tcMar>
              <w:top w:w="90" w:type="dxa"/>
              <w:start w:w="120" w:type="dxa"/>
              <w:bottom w:w="90" w:type="dxa"/>
              <w:end w:w="120" w:type="dxa"/>
            </w:tcMar>
            <w:vAlign w:val="center"/>
          </w:tcPr>
          <w:p>
            <w:pPr>
              <w:spacing w:after="0"/>
            </w:pPr>
            <w:r>
              <w:t>1 von 2</w:t>
            </w:r>
          </w:p>
        </w:tc>
        <w:tc>
          <w:tcPr>
            <w:tcW w:type="dxa" w:w="6960"/>
            <w:tcMar>
              <w:top w:w="90" w:type="dxa"/>
              <w:start w:w="120" w:type="dxa"/>
              <w:bottom w:w="90" w:type="dxa"/>
              <w:end w:w="120" w:type="dxa"/>
            </w:tcMar>
            <w:vAlign w:val="center"/>
          </w:tcPr>
          <w:p>
            <w:pPr>
              <w:spacing w:after="0"/>
            </w:pPr>
            <w:r>
              <w:t>Einzelner Hinweis</w:t>
            </w:r>
          </w:p>
        </w:tc>
      </w:tr>
      <w:tr>
        <w:tc>
          <w:tcPr>
            <w:tcW w:type="dxa" w:w="2400"/>
            <w:tcMar>
              <w:top w:w="90" w:type="dxa"/>
              <w:start w:w="120" w:type="dxa"/>
              <w:bottom w:w="90" w:type="dxa"/>
              <w:end w:w="120" w:type="dxa"/>
            </w:tcMar>
            <w:vAlign w:val="center"/>
          </w:tcPr>
          <w:p>
            <w:pPr>
              <w:spacing w:after="0"/>
            </w:pPr>
            <w:r>
              <w:t>2 von 2</w:t>
            </w:r>
          </w:p>
        </w:tc>
        <w:tc>
          <w:tcPr>
            <w:tcW w:type="dxa" w:w="6960"/>
            <w:tcMar>
              <w:top w:w="90" w:type="dxa"/>
              <w:start w:w="120" w:type="dxa"/>
              <w:bottom w:w="90" w:type="dxa"/>
              <w:end w:w="120" w:type="dxa"/>
            </w:tcMar>
            <w:vAlign w:val="center"/>
          </w:tcPr>
          <w:p>
            <w:pPr>
              <w:spacing w:after="0"/>
            </w:pPr>
            <w:r>
              <w:t>Deutlicher Einzelhinweis</w:t>
            </w:r>
          </w:p>
        </w:tc>
      </w:tr>
    </w:tbl>
    <w:p>
      <w:pPr>
        <w:spacing w:after="20"/>
      </w:pPr>
    </w:p>
    <w:p>
      <w:r>
        <w:t>Zusatztext: „Aufgrund der wenigen verfügbaren Merkmale wird dieses Ergebnis als Einzelhinweis und nicht als stabiler Profilwert dargestellt. Es ist kein Reflexnachweis.“ Besonders charakteristische Einzelitems können zusätzlich als „relevantes Einzelmerkmal“ erscheinen, ohne allein den gesamten Reflex als auffällig einzustufen.</w:t>
      </w:r>
    </w:p>
    <w:p>
      <w:pPr>
        <w:pStyle w:val="Heading1"/>
      </w:pPr>
      <w:r>
        <w:t>7. Kontrollpaare und Antwortkonsistenz</w:t>
      </w:r>
    </w:p>
    <w:p>
      <w:pPr>
        <w:pStyle w:val="ListBullet"/>
      </w:pPr>
      <w:r>
        <w:t>Pro Kontrollpaar ist ein Item das reguläre Score-Item; das zweite ist ein ungewertetes Konsistenzitem.</w:t>
      </w:r>
    </w:p>
    <w:p>
      <w:pPr>
        <w:pStyle w:val="ListBullet"/>
      </w:pPr>
      <w:r>
        <w:t>Ein Widerspruch verändert weder Zähler noch Nenner des Reflexwerts.</w:t>
      </w:r>
    </w:p>
    <w:p>
      <w:pPr>
        <w:pStyle w:val="ListBullet"/>
      </w:pPr>
      <w:r>
        <w:t>Widersprüche werden intern gespeichert. Bei mehreren Widersprüchen erscheint ein neutraler Hinweis auf unterschiedliche Antworten oder Situationen.</w:t>
      </w:r>
    </w:p>
    <w:p>
      <w:pPr>
        <w:pStyle w:val="ListBullet"/>
      </w:pPr>
      <w:r>
        <w:t>Kontrollpaare dienen der Produktanalyse und sind kein Ersatz für psychometrische Zuverlässigkeitsprüfung. Zwei bis drei sorgfältig gewählte Paare genügen.</w:t>
      </w:r>
    </w:p>
    <w:p>
      <w:pPr>
        <w:pStyle w:val="Heading1"/>
      </w:pPr>
      <w:r>
        <w:t>8. Gesamtscore und Bereichswerte</w:t>
      </w:r>
    </w:p>
    <w:p>
      <w:r>
        <w:t>Ein öffentlicher Gesamtscore wird vorerst weggelassen. Unterschiedliche Itemzahlen, geteilte Items und unterschiedlich belastbare Reflexbereiche würden einen scheinbar präzisen Gesamtwert erzeugen. Optional kann intern ein explorativer Kennwert aus einmalig gezählten Score-Items berechnet werden, ohne Nutzeranzeige.</w:t>
      </w:r>
    </w:p>
    <w:p>
      <w:r>
        <w:t>Verständliche Bereichswerte können später erprobt werden: Stress und Reizverarbeitung; Gleichgewicht und Orientierung; Haltung und Bewegung; Konzentration und Koordination; Hand-, Mund- und Feinmotorik. Sie benötigen vor Veröffentlichung eine eigene Zuordnungs- und Darstellungsentscheidung.</w:t>
      </w:r>
    </w:p>
    <w:p>
      <w:pPr>
        <w:pStyle w:val="Heading1"/>
      </w:pPr>
      <w:r>
        <w:t>9. Vollfassung, Kurzfassung und Demo</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00"/>
            <w:shd w:fill="E8EEF5"/>
            <w:tcMar>
              <w:top w:w="90" w:type="dxa"/>
              <w:start w:w="120" w:type="dxa"/>
              <w:bottom w:w="90" w:type="dxa"/>
              <w:end w:w="120" w:type="dxa"/>
            </w:tcMar>
            <w:vAlign w:val="center"/>
          </w:tcPr>
          <w:p>
            <w:pPr>
              <w:spacing w:after="0"/>
            </w:pPr>
            <w:r>
              <w:rPr>
                <w:b/>
                <w:color w:val="1F4D78"/>
              </w:rPr>
              <w:t>Angebot</w:t>
            </w:r>
          </w:p>
        </w:tc>
        <w:tc>
          <w:tcPr>
            <w:tcW w:type="dxa" w:w="2500"/>
            <w:shd w:fill="E8EEF5"/>
            <w:tcMar>
              <w:top w:w="90" w:type="dxa"/>
              <w:start w:w="120" w:type="dxa"/>
              <w:bottom w:w="90" w:type="dxa"/>
              <w:end w:w="120" w:type="dxa"/>
            </w:tcMar>
            <w:vAlign w:val="center"/>
          </w:tcPr>
          <w:p>
            <w:pPr>
              <w:spacing w:after="0"/>
            </w:pPr>
            <w:r>
              <w:rPr>
                <w:b/>
                <w:color w:val="1F4D78"/>
              </w:rPr>
              <w:t>Ziel</w:t>
            </w:r>
          </w:p>
        </w:tc>
        <w:tc>
          <w:tcPr>
            <w:tcW w:type="dxa" w:w="5360"/>
            <w:shd w:fill="E8EEF5"/>
            <w:tcMar>
              <w:top w:w="90" w:type="dxa"/>
              <w:start w:w="120" w:type="dxa"/>
              <w:bottom w:w="90" w:type="dxa"/>
              <w:end w:w="120" w:type="dxa"/>
            </w:tcMar>
            <w:vAlign w:val="center"/>
          </w:tcPr>
          <w:p>
            <w:pPr>
              <w:spacing w:after="0"/>
            </w:pPr>
            <w:r>
              <w:rPr>
                <w:b/>
                <w:color w:val="1F4D78"/>
              </w:rPr>
              <w:t>Empfehlung</w:t>
            </w:r>
          </w:p>
        </w:tc>
      </w:tr>
      <w:tr>
        <w:tc>
          <w:tcPr>
            <w:tcW w:type="dxa" w:w="1500"/>
            <w:tcMar>
              <w:top w:w="90" w:type="dxa"/>
              <w:start w:w="120" w:type="dxa"/>
              <w:bottom w:w="90" w:type="dxa"/>
              <w:end w:w="120" w:type="dxa"/>
            </w:tcMar>
            <w:vAlign w:val="center"/>
          </w:tcPr>
          <w:p>
            <w:pPr>
              <w:spacing w:after="0"/>
            </w:pPr>
            <w:r>
              <w:t>Vollprofil</w:t>
            </w:r>
          </w:p>
        </w:tc>
        <w:tc>
          <w:tcPr>
            <w:tcW w:type="dxa" w:w="2500"/>
            <w:tcMar>
              <w:top w:w="90" w:type="dxa"/>
              <w:start w:w="120" w:type="dxa"/>
              <w:bottom w:w="90" w:type="dxa"/>
              <w:end w:w="120" w:type="dxa"/>
            </w:tcMar>
            <w:vAlign w:val="center"/>
          </w:tcPr>
          <w:p>
            <w:pPr>
              <w:spacing w:after="0"/>
            </w:pPr>
            <w:r>
              <w:t>Breites Reflexprofil</w:t>
            </w:r>
          </w:p>
        </w:tc>
        <w:tc>
          <w:tcPr>
            <w:tcW w:type="dxa" w:w="5360"/>
            <w:tcMar>
              <w:top w:w="90" w:type="dxa"/>
              <w:start w:w="120" w:type="dxa"/>
              <w:bottom w:w="90" w:type="dxa"/>
              <w:end w:w="120" w:type="dxa"/>
            </w:tcMar>
            <w:vAlign w:val="center"/>
          </w:tcPr>
          <w:p>
            <w:pPr>
              <w:spacing w:after="0"/>
            </w:pPr>
            <w:r>
              <w:t>Zielzeit 12–15 Minuten; Obergrenze ca. 18 Minuten; adaptive Filter.</w:t>
            </w:r>
          </w:p>
        </w:tc>
      </w:tr>
      <w:tr>
        <w:tc>
          <w:tcPr>
            <w:tcW w:type="dxa" w:w="1500"/>
            <w:tcMar>
              <w:top w:w="90" w:type="dxa"/>
              <w:start w:w="120" w:type="dxa"/>
              <w:bottom w:w="90" w:type="dxa"/>
              <w:end w:w="120" w:type="dxa"/>
            </w:tcMar>
            <w:vAlign w:val="center"/>
          </w:tcPr>
          <w:p>
            <w:pPr>
              <w:spacing w:after="0"/>
            </w:pPr>
            <w:r>
              <w:t>Freiwillige Bewegungsprüfung</w:t>
            </w:r>
          </w:p>
        </w:tc>
        <w:tc>
          <w:tcPr>
            <w:tcW w:type="dxa" w:w="2500"/>
            <w:tcMar>
              <w:top w:w="90" w:type="dxa"/>
              <w:start w:w="120" w:type="dxa"/>
              <w:bottom w:w="90" w:type="dxa"/>
              <w:end w:w="120" w:type="dxa"/>
            </w:tcMar>
            <w:vAlign w:val="center"/>
          </w:tcPr>
          <w:p>
            <w:pPr>
              <w:spacing w:after="0"/>
            </w:pPr>
            <w:r>
              <w:t>Zusätzliche praktische Beobachtung</w:t>
            </w:r>
          </w:p>
        </w:tc>
        <w:tc>
          <w:tcPr>
            <w:tcW w:type="dxa" w:w="5360"/>
            <w:tcMar>
              <w:top w:w="90" w:type="dxa"/>
              <w:start w:w="120" w:type="dxa"/>
              <w:bottom w:w="90" w:type="dxa"/>
              <w:end w:w="120" w:type="dxa"/>
            </w:tcMar>
            <w:vAlign w:val="center"/>
          </w:tcPr>
          <w:p>
            <w:pPr>
              <w:spacing w:after="0"/>
            </w:pPr>
            <w:r>
              <w:t>Separater zweiter Schritt nach Sicherheitsprüfung; jederzeit überspringbar.</w:t>
            </w:r>
          </w:p>
        </w:tc>
      </w:tr>
      <w:tr>
        <w:tc>
          <w:tcPr>
            <w:tcW w:type="dxa" w:w="1500"/>
            <w:tcMar>
              <w:top w:w="90" w:type="dxa"/>
              <w:start w:w="120" w:type="dxa"/>
              <w:bottom w:w="90" w:type="dxa"/>
              <w:end w:w="120" w:type="dxa"/>
            </w:tcMar>
            <w:vAlign w:val="center"/>
          </w:tcPr>
          <w:p>
            <w:pPr>
              <w:spacing w:after="0"/>
            </w:pPr>
            <w:r>
              <w:t>Moro-Demo</w:t>
            </w:r>
          </w:p>
        </w:tc>
        <w:tc>
          <w:tcPr>
            <w:tcW w:type="dxa" w:w="2500"/>
            <w:tcMar>
              <w:top w:w="90" w:type="dxa"/>
              <w:start w:w="120" w:type="dxa"/>
              <w:bottom w:w="90" w:type="dxa"/>
              <w:end w:w="120" w:type="dxa"/>
            </w:tcMar>
            <w:vAlign w:val="center"/>
          </w:tcPr>
          <w:p>
            <w:pPr>
              <w:spacing w:after="0"/>
            </w:pPr>
            <w:r>
              <w:t>Niedrige Einstiegshürde</w:t>
            </w:r>
          </w:p>
        </w:tc>
        <w:tc>
          <w:tcPr>
            <w:tcW w:type="dxa" w:w="5360"/>
            <w:tcMar>
              <w:top w:w="90" w:type="dxa"/>
              <w:start w:w="120" w:type="dxa"/>
              <w:bottom w:w="90" w:type="dxa"/>
              <w:end w:w="120" w:type="dxa"/>
            </w:tcMar>
            <w:vAlign w:val="center"/>
          </w:tcPr>
          <w:p>
            <w:pPr>
              <w:spacing w:after="0"/>
            </w:pPr>
            <w:r>
              <w:t>8–10 konkrete Items, ca. 2–3 Minuten; Einladung zum Vollprofil.</w:t>
            </w:r>
          </w:p>
        </w:tc>
      </w:tr>
      <w:tr>
        <w:tc>
          <w:tcPr>
            <w:tcW w:type="dxa" w:w="1500"/>
            <w:tcMar>
              <w:top w:w="90" w:type="dxa"/>
              <w:start w:w="120" w:type="dxa"/>
              <w:bottom w:w="90" w:type="dxa"/>
              <w:end w:w="120" w:type="dxa"/>
            </w:tcMar>
            <w:vAlign w:val="center"/>
          </w:tcPr>
          <w:p>
            <w:pPr>
              <w:spacing w:after="0"/>
            </w:pPr>
            <w:r>
              <w:t>Bereichscheck</w:t>
            </w:r>
          </w:p>
        </w:tc>
        <w:tc>
          <w:tcPr>
            <w:tcW w:type="dxa" w:w="2500"/>
            <w:tcMar>
              <w:top w:w="90" w:type="dxa"/>
              <w:start w:w="120" w:type="dxa"/>
              <w:bottom w:w="90" w:type="dxa"/>
              <w:end w:w="120" w:type="dxa"/>
            </w:tcMar>
            <w:vAlign w:val="center"/>
          </w:tcPr>
          <w:p>
            <w:pPr>
              <w:spacing w:after="0"/>
            </w:pPr>
            <w:r>
              <w:t>Alltagsnaher Einstieg</w:t>
            </w:r>
          </w:p>
        </w:tc>
        <w:tc>
          <w:tcPr>
            <w:tcW w:type="dxa" w:w="5360"/>
            <w:tcMar>
              <w:top w:w="90" w:type="dxa"/>
              <w:start w:w="120" w:type="dxa"/>
              <w:bottom w:w="90" w:type="dxa"/>
              <w:end w:w="120" w:type="dxa"/>
            </w:tcMar>
            <w:vAlign w:val="center"/>
          </w:tcPr>
          <w:p>
            <w:pPr>
              <w:spacing w:after="0"/>
            </w:pPr>
            <w:r>
              <w:t>Kurze Checks zu Stress, Gleichgewicht, Haltung oder Feinmotorik später testen.</w:t>
            </w:r>
          </w:p>
        </w:tc>
      </w:tr>
    </w:tbl>
    <w:p>
      <w:pPr>
        <w:spacing w:after="20"/>
      </w:pPr>
    </w:p>
    <w:p>
      <w:r>
        <w:t>Die Kürzung richtet sich primär nach gemessener Bearbeitungszeit, Abbruchstellen, Redundanz und zusätzlichem Informationsgewinn – nicht nach einer festen Zahl von Items pro Reflex.</w:t>
      </w:r>
    </w:p>
    <w:p>
      <w:r>
        <w:br w:type="page"/>
      </w:r>
    </w:p>
    <w:p>
      <w:pPr>
        <w:pStyle w:val="Heading1"/>
      </w:pPr>
      <w:r>
        <w:t>10. Verlauf und Wiederholung</w:t>
      </w: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vAlign w:val="center"/>
          </w:tcPr>
          <w:p>
            <w:pPr>
              <w:spacing w:after="0"/>
            </w:pPr>
            <w:r>
              <w:rPr>
                <w:b/>
                <w:color w:val="1F4D78"/>
              </w:rPr>
              <w:t xml:space="preserve">Entscheidung  </w:t>
            </w:r>
            <w:r>
              <w:t>Verlaufsgrafiken sind zulässig, wenn sie ausdrücklich als Veränderung subjektiver Antwortmuster bezeichnet werden. Sie dürfen nicht als Nachweis einer Reflexintegration oder Trainingswirksamkeit dargestellt werden.</w:t>
            </w:r>
          </w:p>
        </w:tc>
      </w:tr>
    </w:tbl>
    <w:p>
      <w:pPr>
        <w:spacing w:after="20"/>
      </w:pPr>
    </w:p>
    <w:p>
      <w:pPr>
        <w:pStyle w:val="ListBullet"/>
      </w:pPr>
      <w:r>
        <w:t>Vergleiche nur dieselbe Person, dieselbe Fragebogenversion und möglichst dieselben anwendbaren Items.</w:t>
      </w:r>
    </w:p>
    <w:p>
      <w:pPr>
        <w:pStyle w:val="ListBullet"/>
      </w:pPr>
      <w:r>
        <w:t>Zeige neben dem Wert Datum, beantwortete Itemzahl und Versionshinweis.</w:t>
      </w:r>
    </w:p>
    <w:p>
      <w:pPr>
        <w:pStyle w:val="ListBullet"/>
      </w:pPr>
      <w:r>
        <w:t>Empfohlene Formulierung: „Seit der letzten Befragung haben sich deine Angaben verändert.“</w:t>
      </w:r>
    </w:p>
    <w:p>
      <w:pPr>
        <w:pStyle w:val="ListBullet"/>
      </w:pPr>
      <w:r>
        <w:t>Bei größerer Änderung der Items oder Scoreformel beginnt eine neue Verlaufslinie oder die App kennzeichnet den Methodenwechsel deutlich.</w:t>
      </w:r>
    </w:p>
    <w:p>
      <w:pPr>
        <w:pStyle w:val="Heading1"/>
      </w:pPr>
      <w:r>
        <w:t>11. Digitale Datenerhebung und Produktlernen</w:t>
      </w:r>
    </w:p>
    <w:p>
      <w:pPr>
        <w:pStyle w:val="ListBullet"/>
      </w:pPr>
      <w:r>
        <w:t>Fragebogen-, Item- und Scoringversion</w:t>
      </w:r>
    </w:p>
    <w:p>
      <w:pPr>
        <w:pStyle w:val="ListBullet"/>
      </w:pPr>
      <w:r>
        <w:t>Bearbeitungszeit insgesamt, pro Modul und optional pro Item</w:t>
      </w:r>
    </w:p>
    <w:p>
      <w:pPr>
        <w:pStyle w:val="ListBullet"/>
      </w:pPr>
      <w:r>
        <w:t>Abbruchstelle und spätere Fortsetzung</w:t>
      </w:r>
    </w:p>
    <w:p>
      <w:pPr>
        <w:pStyle w:val="ListBullet"/>
      </w:pPr>
      <w:r>
        <w:t>Antworten; „weiß ich nicht“ und „trifft nicht zu“ getrennt</w:t>
      </w:r>
    </w:p>
    <w:p>
      <w:pPr>
        <w:pStyle w:val="ListBullet"/>
      </w:pPr>
      <w:r>
        <w:t>ausgeblendete Items und Filtergrund</w:t>
      </w:r>
    </w:p>
    <w:p>
      <w:pPr>
        <w:pStyle w:val="ListBullet"/>
      </w:pPr>
      <w:r>
        <w:t>geänderte Antworten</w:t>
      </w:r>
    </w:p>
    <w:p>
      <w:pPr>
        <w:pStyle w:val="ListBullet"/>
      </w:pPr>
      <w:r>
        <w:t>Sicherheits-Pop-up ausgelöst und bestätigt</w:t>
      </w:r>
    </w:p>
    <w:p>
      <w:pPr>
        <w:pStyle w:val="ListBullet"/>
      </w:pPr>
      <w:r>
        <w:t>Bewegungsprüfung begonnen, übersprungen oder abgebrochen</w:t>
      </w:r>
    </w:p>
    <w:p>
      <w:pPr>
        <w:pStyle w:val="ListBullet"/>
      </w:pPr>
      <w:r>
        <w:t>optionale Verständlichkeits- und Nützlichkeitsfrage</w:t>
      </w:r>
    </w:p>
    <w:p>
      <w:pPr>
        <w:pStyle w:val="ListBullet"/>
      </w:pPr>
      <w:r>
        <w:t>optionale Wiederholung nach 7–14 Tagen vor Trainingsbeginn zur Stabilitätsprüfung</w:t>
      </w:r>
    </w:p>
    <w:p>
      <w:r>
        <w:t>Datenerhebung erfolgt zweckgebunden und datensparsam. Nutzer können Profile selbst speichern, exportieren und freigeben. Bei Kontolöschung werden gespeicherte Inhalte entsprechend dem festgelegten Löschkonzept entfernt. Einwilligung, Analysedaten, Aufbewahrungsfristen, Minderjährige und Gesundheitsdaten sind gesondert datenschutzrechtlich zu prüfen.</w:t>
      </w:r>
    </w:p>
    <w:p>
      <w:pPr>
        <w:pStyle w:val="Heading1"/>
      </w:pPr>
      <w:r>
        <w:t>12. Pilotierung ohne Vollvalidierung</w:t>
      </w:r>
    </w:p>
    <w:p>
      <w:pPr>
        <w:pStyle w:val="ListNumber"/>
      </w:pPr>
      <w:r>
        <w:t>Verständlichkeitstest mit 5–8 Personen ab 16 Jahren; Lautdenken, Rückfragen, missverstandene Begriffe und Zeit erfassen.</w:t>
      </w:r>
    </w:p>
    <w:p>
      <w:pPr>
        <w:pStyle w:val="ListNumber"/>
      </w:pPr>
      <w:r>
        <w:t>Technischer Pilot mit Zeitmessung, Filtern, Pop-ups und freiwilliger Bewegungsprüfung.</w:t>
      </w:r>
    </w:p>
    <w:p>
      <w:pPr>
        <w:pStyle w:val="ListNumber"/>
      </w:pPr>
      <w:r>
        <w:t>Grundraten-Realitätscheck mit 10–15 Personen ohne bekannten Reflexverdacht; hohe Profile als Hinweis auf Unspezifität untersuchen.</w:t>
      </w:r>
    </w:p>
    <w:p>
      <w:pPr>
        <w:pStyle w:val="ListNumber"/>
      </w:pPr>
      <w:r>
        <w:t>Digitaler Retest nach 7–14 Tagen vor Trainingsbeginn, sofern freiwillig möglich.</w:t>
      </w:r>
    </w:p>
    <w:p>
      <w:pPr>
        <w:pStyle w:val="ListNumber"/>
      </w:pPr>
      <w:r>
        <w:t>Nach ausreichenden Nutzungsdaten Items anhand von Häufigkeit, Auslassungen, Redundanz und Stabilität überarbeiten.</w:t>
      </w:r>
    </w:p>
    <w:p>
      <w:pPr>
        <w:pStyle w:val="ListNumber"/>
      </w:pPr>
      <w:r>
        <w:t>Jede gekürzte oder neu gewichtete Fassung als neue Version dokumentieren und erneut prüfen.</w:t>
      </w:r>
    </w:p>
    <w:p>
      <w:pPr>
        <w:pStyle w:val="Heading1"/>
      </w:pPr>
      <w:r>
        <w:t>13. Anforderungen an Ergebnis-Seiten</w:t>
      </w:r>
    </w:p>
    <w:p>
      <w:pPr>
        <w:pStyle w:val="ListBullet"/>
      </w:pPr>
      <w:r>
        <w:t>Reflexname plus verständliche Kurzbeschreibung</w:t>
      </w:r>
    </w:p>
    <w:p>
      <w:pPr>
        <w:pStyle w:val="ListBullet"/>
      </w:pPr>
      <w:r>
        <w:t>Prozentwert oder Sonderanzeige, beantwortete Itemzahl und Unsicherheit</w:t>
      </w:r>
    </w:p>
    <w:p>
      <w:pPr>
        <w:pStyle w:val="ListBullet"/>
      </w:pPr>
      <w:r>
        <w:t>passende Einzelangaben und mögliche Alternativerklärungen</w:t>
      </w:r>
    </w:p>
    <w:p>
      <w:pPr>
        <w:pStyle w:val="ListBullet"/>
      </w:pPr>
      <w:r>
        <w:t>keine Diagnose- oder Ursachenaussage</w:t>
      </w:r>
    </w:p>
    <w:p>
      <w:pPr>
        <w:pStyle w:val="ListBullet"/>
      </w:pPr>
      <w:r>
        <w:t>Hinweis auf mögliche persönliche körperliche Überprüfung</w:t>
      </w:r>
    </w:p>
    <w:p>
      <w:pPr>
        <w:pStyle w:val="ListBullet"/>
      </w:pPr>
      <w:r>
        <w:t>Training als freiwilliges Angebot, nicht als zwingende medizinische Folge</w:t>
      </w:r>
    </w:p>
    <w:p>
      <w:pPr>
        <w:pStyle w:val="ListBullet"/>
      </w:pPr>
      <w:r>
        <w:t>klarer Sicherheitshinweis vor jeder Bewegungsprüfung oder Trainingsempfehlung</w:t>
      </w:r>
    </w:p>
    <w:p>
      <w:pPr>
        <w:pStyle w:val="Heading1"/>
      </w:pPr>
      <w:r>
        <w:t>14. Offene fachliche Aufgaben vor Veröffentlichung</w:t>
      </w:r>
    </w:p>
    <w:p>
      <w:pPr>
        <w:pStyle w:val="ListBullet"/>
      </w:pPr>
      <w:r>
        <w:t>Item-Reflex-Zuordnungen der Stufen D und E prüfen.</w:t>
      </w:r>
    </w:p>
    <w:p>
      <w:pPr>
        <w:pStyle w:val="ListBullet"/>
      </w:pPr>
      <w:r>
        <w:t>Items mit zehn oder mehr Reflexzuordnungen reduzieren oder als Kontext führen.</w:t>
      </w:r>
    </w:p>
    <w:p>
      <w:pPr>
        <w:pStyle w:val="ListBullet"/>
      </w:pPr>
      <w:r>
        <w:t>Amphibienreflex fachlich als Sonderanzeige freigeben.</w:t>
      </w:r>
    </w:p>
    <w:p>
      <w:pPr>
        <w:pStyle w:val="ListBullet"/>
      </w:pPr>
      <w:r>
        <w:t>Sicherheitsmatrix und Warntexte anhand des separaten Prüfauftrags prüfen.</w:t>
      </w:r>
    </w:p>
    <w:p>
      <w:pPr>
        <w:pStyle w:val="ListBullet"/>
      </w:pPr>
      <w:r>
        <w:t>Werbeaussagen und Zweckbestimmung rechtlich auf eine mögliche Medizinprodukte-Einordnung prüfen.</w:t>
      </w:r>
    </w:p>
    <w:p>
      <w:pPr>
        <w:pStyle w:val="ListBullet"/>
      </w:pPr>
      <w:r>
        <w:t>Jugendnutzung ab 16, Einwilligung und Datenschutz juristisch prüfen.</w:t>
      </w:r>
    </w:p>
    <w:p>
      <w:pPr>
        <w:pStyle w:val="Heading1"/>
      </w:pPr>
      <w:r>
        <w:t>Quellen und Bezugsdokumente</w:t>
      </w:r>
    </w:p>
    <w:p>
      <w:pPr>
        <w:pStyle w:val="ListBullet"/>
      </w:pPr>
      <w:r>
        <w:t>Reflexprofil – Erwachsenen-Fragebogen adult_v2, Stand 05.08.2026.</w:t>
      </w:r>
    </w:p>
    <w:p>
      <w:pPr>
        <w:pStyle w:val="ListBullet"/>
      </w:pPr>
      <w:r>
        <w:t>Erwachsenen-Fragebogen – Quellen, Herleitung und Bedenken, adult_v1, Stand 01.08.2026.</w:t>
      </w:r>
    </w:p>
    <w:p>
      <w:pPr>
        <w:pStyle w:val="ListBullet"/>
      </w:pPr>
      <w:r>
        <w:t>COSMIN: Methodology for assessing the content validity of patient-reported outcome measures.</w:t>
      </w:r>
    </w:p>
    <w:p>
      <w:pPr>
        <w:pStyle w:val="ListBullet"/>
      </w:pPr>
      <w:r>
        <w:t>FDA: Patient-Reported Outcome Measures – Use in Medical Product Development.</w:t>
      </w:r>
    </w:p>
    <w:p>
      <w:pPr>
        <w:pStyle w:val="ListBullet"/>
      </w:pPr>
      <w:r>
        <w:t>BfArM/BMBF: Medtec Online-Leitfaden; die konkrete Produktabgrenzung hängt von Zweckbestimmung, Kennzeichnung und Werbung ab.</w:t>
      </w:r>
    </w:p>
    <w:p>
      <w:pPr>
        <w:pStyle w:val="ListBullet"/>
      </w:pPr>
      <w:r>
        <w:t>BGB § 309 Nr. 7: Grenzen von Haftungsausschlüssen bei Verletzung von Leben, Körper oder Gesundheit.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Stand 21.08.2026  |  Seite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Reflexprofil | Konzept und Anforderungen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