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t>NORTH SOUND HEALTH NETWORK</w:t>
      </w:r>
    </w:p>
    <w:p>
      <w:pPr>
        <w:spacing w:after="80"/>
        <w:jc w:val="center"/>
      </w:pPr>
      <w:r>
        <w:t>Supply Operations | Sterile Clinical Materials</w:t>
      </w:r>
    </w:p>
    <w:p>
      <w:pPr>
        <w:pBdr>
          <w:bottom w:val="single" w:sz="6" w:space="1" w:color="4472C4"/>
        </w:pBdr>
        <w:spacing w:after="120"/>
      </w:pPr>
      <w:r>
        <w:t>Standard Operating Procedure: Current Sterile Supply Replenishment Process</w:t>
      </w:r>
    </w:p>
    <w:p>
      <w:pPr>
        <w:spacing w:before="160" w:after="80"/>
        <w:jc w:val="center"/>
      </w:pPr>
      <w:r>
        <w:t>1. Purpose &amp; Scope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2F2F2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b/>
                <w:color w:val="1F3864"/>
                <w:sz w:val="18"/>
              </w:rPr>
              <w:t>Document No:</w:t>
            </w:r>
          </w:p>
        </w:tc>
        <w:tc>
          <w:tcPr>
            <w:tcW w:type="dxa" w:w="2351"/>
            <w:shd w:val="clear" w:color="auto" w:fill="F2F2F2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color w:val="333333"/>
                <w:sz w:val="18"/>
              </w:rPr>
              <w:t>SOP-WH-2024-003</w:t>
            </w:r>
          </w:p>
        </w:tc>
        <w:tc>
          <w:tcPr>
            <w:tcW w:type="dxa" w:w="2351"/>
            <w:shd w:val="clear" w:color="auto" w:fill="F2F2F2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b/>
                <w:color w:val="1F3864"/>
                <w:sz w:val="18"/>
              </w:rPr>
              <w:t>Effective Date:</w:t>
            </w:r>
          </w:p>
        </w:tc>
        <w:tc>
          <w:tcPr>
            <w:tcW w:type="dxa" w:w="2351"/>
            <w:shd w:val="clear" w:color="auto" w:fill="F2F2F2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color w:val="333333"/>
                <w:sz w:val="18"/>
              </w:rPr>
              <w:t>August 12, 2024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b/>
                <w:color w:val="1F3864"/>
                <w:sz w:val="18"/>
              </w:rPr>
              <w:t>Department:</w:t>
            </w:r>
          </w:p>
        </w:tc>
        <w:tc>
          <w:tcPr>
            <w:tcW w:type="dxa" w:w="2351"/>
            <w:shd w:val="clear" w:color="auto" w:fill="FFFFFF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color w:val="333333"/>
                <w:sz w:val="18"/>
              </w:rPr>
              <w:t>Warehouse Operations</w:t>
            </w:r>
          </w:p>
        </w:tc>
        <w:tc>
          <w:tcPr>
            <w:tcW w:type="dxa" w:w="2351"/>
            <w:shd w:val="clear" w:color="auto" w:fill="FFFFFF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b/>
                <w:color w:val="1F3864"/>
                <w:sz w:val="18"/>
              </w:rPr>
              <w:t>Review Date:</w:t>
            </w:r>
          </w:p>
        </w:tc>
        <w:tc>
          <w:tcPr>
            <w:tcW w:type="dxa" w:w="2351"/>
            <w:shd w:val="clear" w:color="auto" w:fill="FFFFFF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color w:val="333333"/>
                <w:sz w:val="18"/>
              </w:rPr>
              <w:t>August 12, 2025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b/>
                <w:color w:val="1F3864"/>
                <w:sz w:val="18"/>
              </w:rPr>
              <w:t>Owner:</w:t>
            </w:r>
          </w:p>
        </w:tc>
        <w:tc>
          <w:tcPr>
            <w:tcW w:type="dxa" w:w="2351"/>
            <w:shd w:val="clear" w:color="auto" w:fill="F2F2F2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color w:val="333333"/>
                <w:sz w:val="18"/>
              </w:rPr>
              <w:t>James Whitfield, Warehouse Mgr.</w:t>
            </w:r>
          </w:p>
        </w:tc>
        <w:tc>
          <w:tcPr>
            <w:tcW w:type="dxa" w:w="2351"/>
            <w:shd w:val="clear" w:color="auto" w:fill="F2F2F2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b/>
                <w:color w:val="1F3864"/>
                <w:sz w:val="18"/>
              </w:rPr>
              <w:t>Classification:</w:t>
            </w:r>
          </w:p>
        </w:tc>
        <w:tc>
          <w:tcPr>
            <w:tcW w:type="dxa" w:w="2351"/>
            <w:shd w:val="clear" w:color="auto" w:fill="F2F2F2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color w:val="333333"/>
                <w:sz w:val="18"/>
              </w:rPr>
              <w:t>Internal Use Only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b/>
                <w:color w:val="1F3864"/>
                <w:sz w:val="18"/>
              </w:rPr>
              <w:t>Version:</w:t>
            </w:r>
          </w:p>
        </w:tc>
        <w:tc>
          <w:tcPr>
            <w:tcW w:type="dxa" w:w="2351"/>
            <w:shd w:val="clear" w:color="auto" w:fill="FFFFFF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color w:val="333333"/>
                <w:sz w:val="18"/>
              </w:rPr>
              <w:t>2.1</w:t>
            </w:r>
          </w:p>
        </w:tc>
        <w:tc>
          <w:tcPr>
            <w:tcW w:type="dxa" w:w="2351"/>
            <w:shd w:val="clear" w:color="auto" w:fill="FFFFFF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b/>
                <w:color w:val="1F3864"/>
                <w:sz w:val="18"/>
              </w:rPr>
              <w:t>Pages:</w:t>
            </w:r>
          </w:p>
        </w:tc>
        <w:tc>
          <w:tcPr>
            <w:tcW w:type="dxa" w:w="2351"/>
            <w:shd w:val="clear" w:color="auto" w:fill="FFFFFF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color w:val="333333"/>
                <w:sz w:val="18"/>
              </w:rPr>
              <w:t>3</w:t>
            </w:r>
          </w:p>
        </w:tc>
      </w:tr>
    </w:tbl>
    <w:p>
      <w:r>
        <w:t>This procedure covers sterile supply review, purchase authorization, receipt, lot/expiry inspection, quarantine, recall response, site transfer, and put-away across four hospitals.</w:t>
      </w:r>
    </w:p>
    <w:p>
      <w:pPr>
        <w:pStyle w:val="Heading1"/>
      </w:pPr>
      <w:r>
        <w:t>2. Current Process Overview</w:t>
      </w:r>
    </w:p>
    <w:p>
      <w:r>
        <w:t>The current process uses one weekly review cycle and static reorder points for all items. Site staff export inventory on Monday; a central buyer reconciles counts Tuesday and emails orders Wednesday. Demand variability, supplier performance, recall state, expiry horizon, substitution, and shared cold-chain capacity are not systematically included.</w:t>
      </w:r>
    </w:p>
    <w:p>
      <w:pPr>
        <w:pStyle w:val="ListBullet"/>
        <w:spacing w:after="40"/>
        <w:ind w:left="850"/>
      </w:pPr>
      <w:r>
        <w:t>3. Process Steps</w:t>
      </w:r>
    </w:p>
    <w:p>
      <w:pPr>
        <w:pStyle w:val="ListBullet"/>
        <w:spacing w:after="40"/>
        <w:ind w:left="850"/>
      </w:pPr>
      <w:r>
        <w:t>Step 1 — Site inventory and lot count: Supply technicians count SKU, lot, expiry, quarantine and storage zone.</w:t>
      </w:r>
    </w:p>
    <w:p>
      <w:pPr>
        <w:pStyle w:val="ListBullet"/>
        <w:spacing w:after="40"/>
        <w:ind w:left="850"/>
      </w:pPr>
      <w:r>
        <w:t>Step 2 — Reconciliation: Central Supply Operations reconciles physical, system, transfer and pending receipt records.</w:t>
      </w:r>
    </w:p>
    <w:p>
      <w:pPr>
        <w:pStyle w:val="ListBullet"/>
        <w:spacing w:after="40"/>
        <w:ind w:left="850"/>
      </w:pPr>
      <w:r>
        <w:t>Step 3 — Exception review: Infection Prevention reviews recalls, sterility deviations, damaged packs and substitute eligibility.</w:t>
      </w:r>
    </w:p>
    <w:p>
      <w:r>
        <w:t>Step 4 — Reorder calculation: The buyer compares usable stock with the current static reorder point and proposed order-up-to amount.</w:t>
      </w:r>
    </w:p>
    <w:p>
      <w:pPr>
        <w:pStyle w:val="Heading1"/>
      </w:pPr>
      <w:r>
        <w:t>Step 5 — Approval: Orders over USD 5,000, substitutes, and emergency transfers require the stated clinical and financial approvals.</w:t>
      </w:r>
    </w:p>
    <w:p>
      <w:r>
        <w:t>Step 6 — Supplier transmission: Approved POs are transmitted and confirmations retained by supplier and item.</w:t>
      </w:r>
    </w:p>
    <w:p>
      <w:r>
        <w:t>Step 7 — Receipt and inspection: Receiving records quantity, lot, expiry, temperature/cold-chain evidence, damage and quality holds.</w:t>
      </w:r>
    </w:p>
    <w:p>
      <w:r>
        <w:t>Step 8 — Allocation and transfer: Accepted stock is allocated by site access floor and approved transfers.</w:t>
      </w:r>
    </w:p>
    <w:p>
      <w:r>
        <w:t>Step 9 — Close and monitor: Fill, shortage, expiry, recall, supplier and reorder exceptions are reviewed monthly.</w:t>
      </w:r>
    </w:p>
    <w:p>
      <w:r>
        <w:t>4. Roles and Controls</w:t>
      </w:r>
    </w:p>
    <w:p>
      <w:pPr>
        <w:pStyle w:val="Heading1"/>
      </w:pPr>
      <w:r>
        <w:t>Supply Operations owns inventory and PO controls; Infection Prevention owns recall and substitution clearance; clinical site leaders own access floors; Finance owns commercial approval.</w:t>
      </w:r>
    </w:p>
    <w:p>
      <w:pPr>
        <w:spacing w:before="200" w:after="40"/>
      </w:pPr>
      <w:r>
        <w:t>5. Known Inefficiencies</w:t>
      </w:r>
    </w:p>
    <w:p>
      <w:pPr>
        <w:spacing w:after="40"/>
      </w:pPr>
      <w:r>
        <w:t>Static annual reorder points, one review cadence, email-only confirmations, delayed lot capture, and uncoordinated site capacity create simultaneous shortages and expiry exposure.</w:t>
      </w:r>
    </w:p>
    <w:p>
      <w:pPr>
        <w:spacing w:after="120"/>
        <w:ind w:left="283"/>
      </w:pPr>
      <w:r>
        <w:t>6. Records and Approval</w:t>
      </w:r>
    </w:p>
    <w:p>
      <w:pPr>
        <w:spacing w:before="200" w:after="40"/>
      </w:pPr>
      <w:r>
        <w:t>Retain source extracts, calculation versions, PO/receipt records, recall evidence, substitutions and approvals so every recommendation is reproducible.</w:t>
      </w:r>
    </w:p>
    <w:p>
      <w:pPr>
        <w:spacing w:after="40"/>
      </w:pPr>
      <w:r/>
    </w:p>
    <w:p>
      <w:pPr>
        <w:spacing w:after="120"/>
        <w:ind w:left="283"/>
      </w:pPr>
      <w:r/>
    </w:p>
    <w:p>
      <w:pPr>
        <w:spacing w:before="200" w:after="40"/>
      </w:pPr>
      <w:r/>
    </w:p>
    <w:p>
      <w:pPr>
        <w:spacing w:after="40"/>
      </w:pPr>
      <w:r/>
    </w:p>
    <w:p>
      <w:pPr>
        <w:spacing w:after="120"/>
        <w:ind w:left="283"/>
      </w:pPr>
      <w:r/>
    </w:p>
    <w:p>
      <w:pPr>
        <w:spacing w:before="200" w:after="40"/>
      </w:pPr>
      <w:r/>
    </w:p>
    <w:p>
      <w:pPr>
        <w:spacing w:after="40"/>
      </w:pPr>
      <w:r/>
    </w:p>
    <w:p>
      <w:pPr>
        <w:spacing w:after="120"/>
        <w:ind w:left="283"/>
      </w:pPr>
      <w:r/>
    </w:p>
    <w:p>
      <w:pPr>
        <w:spacing w:before="200" w:after="40"/>
      </w:pPr>
      <w:r/>
    </w:p>
    <w:p>
      <w:pPr>
        <w:spacing w:after="40"/>
      </w:pPr>
      <w:r/>
    </w:p>
    <w:p>
      <w:pPr>
        <w:spacing w:after="120"/>
        <w:ind w:left="283"/>
      </w:pPr>
      <w:r/>
    </w:p>
    <w:p>
      <w:pPr>
        <w:spacing w:before="200" w:after="40"/>
      </w:pPr>
      <w:r/>
    </w:p>
    <w:p>
      <w:pPr>
        <w:spacing w:after="40"/>
      </w:pPr>
      <w:r/>
    </w:p>
    <w:p>
      <w:pPr>
        <w:spacing w:after="120"/>
        <w:ind w:left="283"/>
      </w:pPr>
      <w:r/>
    </w:p>
    <w:p>
      <w:pPr>
        <w:spacing w:before="200" w:after="40"/>
      </w:pPr>
      <w:r/>
    </w:p>
    <w:p>
      <w:pPr>
        <w:spacing w:after="40"/>
      </w:pPr>
      <w:r/>
    </w:p>
    <w:p>
      <w:pPr>
        <w:spacing w:after="120"/>
        <w:ind w:left="283"/>
      </w:pPr>
      <w:r/>
    </w:p>
    <w:p>
      <w:pPr>
        <w:spacing w:before="200" w:after="40"/>
      </w:pPr>
      <w:r/>
    </w:p>
    <w:p>
      <w:pPr>
        <w:spacing w:after="40"/>
      </w:pPr>
      <w:r/>
    </w:p>
    <w:p>
      <w:pPr>
        <w:spacing w:after="120"/>
        <w:ind w:left="283"/>
      </w:pPr>
      <w:r/>
    </w:p>
    <w:p>
      <w:pPr>
        <w:spacing w:before="200" w:after="40"/>
      </w:pPr>
      <w:r/>
    </w:p>
    <w:p>
      <w:pPr>
        <w:spacing w:after="40"/>
      </w:pPr>
      <w:r/>
    </w:p>
    <w:p>
      <w:pPr>
        <w:spacing w:after="120"/>
        <w:ind w:left="283"/>
      </w:pPr>
      <w:r/>
    </w:p>
    <w:p>
      <w:pPr>
        <w:pStyle w:val="Heading1"/>
      </w:pPr>
      <w:r/>
    </w:p>
    <w:p>
      <w:r/>
    </w:p>
    <w:p>
      <w:pPr>
        <w:pStyle w:val="ListBullet"/>
        <w:spacing w:after="80"/>
        <w:ind w:left="680"/>
      </w:pPr>
      <w:r/>
    </w:p>
    <w:p>
      <w:pPr>
        <w:pStyle w:val="ListBullet"/>
        <w:spacing w:after="80"/>
        <w:ind w:left="680"/>
      </w:pPr>
      <w:r/>
    </w:p>
    <w:p>
      <w:pPr>
        <w:pStyle w:val="ListBullet"/>
        <w:spacing w:after="80"/>
        <w:ind w:left="680"/>
      </w:pPr>
      <w:r/>
    </w:p>
    <w:p>
      <w:pPr>
        <w:pStyle w:val="ListBullet"/>
        <w:spacing w:after="80"/>
        <w:ind w:left="680"/>
      </w:pPr>
      <w:r/>
    </w:p>
    <w:p>
      <w:pPr>
        <w:pStyle w:val="ListBullet"/>
        <w:spacing w:after="80"/>
        <w:ind w:left="680"/>
      </w:pPr>
      <w:r/>
    </w:p>
    <w:p>
      <w:pPr>
        <w:pStyle w:val="ListBullet"/>
        <w:spacing w:after="80"/>
        <w:ind w:left="680"/>
      </w:pPr>
      <w:r/>
    </w:p>
    <w:p>
      <w:pPr>
        <w:pStyle w:val="ListBullet"/>
        <w:spacing w:after="80"/>
        <w:ind w:left="680"/>
      </w:pPr>
      <w:r/>
    </w:p>
    <w:p>
      <w:pPr>
        <w:pStyle w:val="ListBullet"/>
        <w:spacing w:after="80"/>
        <w:ind w:left="680"/>
      </w:pPr>
      <w:r/>
    </w:p>
    <w:p>
      <w:pPr>
        <w:pStyle w:val="ListBullet"/>
        <w:spacing w:after="80"/>
        <w:ind w:left="680"/>
      </w:pPr>
      <w:r/>
    </w:p>
    <w:p>
      <w:pPr>
        <w:pStyle w:val="ListBullet"/>
        <w:spacing w:after="80"/>
        <w:ind w:left="680"/>
      </w:pPr>
      <w:r/>
    </w:p>
    <w:p>
      <w:pPr>
        <w:pStyle w:val="Heading1"/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386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5669"/>
            <w:shd w:val="clear" w:color="auto" w:fill="1F386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Primary Responsibilities</w:t>
            </w:r>
          </w:p>
        </w:tc>
        <w:tc>
          <w:tcPr>
            <w:tcW w:type="dxa" w:w="2268"/>
            <w:shd w:val="clear" w:color="auto" w:fill="1F386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Reports To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Warehouse Manager</w:t>
            </w:r>
          </w:p>
        </w:tc>
        <w:tc>
          <w:tcPr>
            <w:tcW w:type="dxa" w:w="5669"/>
            <w:shd w:val="clear" w:color="auto" w:fill="FFFFFF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Overall facility operations; PO approval (&gt;$5,000); variance write-off approval; staffing</w:t>
            </w:r>
          </w:p>
        </w:tc>
        <w:tc>
          <w:tcPr>
            <w:tcW w:type="dxa" w:w="2268"/>
            <w:shd w:val="clear" w:color="auto" w:fill="FFFFFF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Director of Distribution</w:t>
            </w:r>
          </w:p>
        </w:tc>
      </w:tr>
      <w:tr>
        <w:tc>
          <w:tcPr>
            <w:tcW w:type="dxa" w:w="2551"/>
            <w:shd w:val="clear" w:color="auto" w:fill="E8EDF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Inventory Coordinator</w:t>
            </w:r>
          </w:p>
        </w:tc>
        <w:tc>
          <w:tcPr>
            <w:tcW w:type="dxa" w:w="5669"/>
            <w:shd w:val="clear" w:color="auto" w:fill="E8EDF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Count reconciliation; PO generation &amp; transmission; system updates; variance investigation; receiving log entry</w:t>
            </w:r>
          </w:p>
        </w:tc>
        <w:tc>
          <w:tcPr>
            <w:tcW w:type="dxa" w:w="2268"/>
            <w:shd w:val="clear" w:color="auto" w:fill="E8EDF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Warehouse Manager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Receiving Clerk</w:t>
            </w:r>
          </w:p>
        </w:tc>
        <w:tc>
          <w:tcPr>
            <w:tcW w:type="dxa" w:w="5669"/>
            <w:shd w:val="clear" w:color="auto" w:fill="FFFFFF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Inbound shipment verification; inspection &amp; condition checks; paper receiving log completion</w:t>
            </w:r>
          </w:p>
        </w:tc>
        <w:tc>
          <w:tcPr>
            <w:tcW w:type="dxa" w:w="2268"/>
            <w:shd w:val="clear" w:color="auto" w:fill="FFFFFF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Warehouse Manager</w:t>
            </w:r>
          </w:p>
        </w:tc>
      </w:tr>
      <w:tr>
        <w:tc>
          <w:tcPr>
            <w:tcW w:type="dxa" w:w="2551"/>
            <w:shd w:val="clear" w:color="auto" w:fill="E8EDF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Warehouse Associates (4)</w:t>
            </w:r>
          </w:p>
        </w:tc>
        <w:tc>
          <w:tcPr>
            <w:tcW w:type="dxa" w:w="5669"/>
            <w:shd w:val="clear" w:color="auto" w:fill="E8EDF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Physical inventory counts; product put-away; staging area management; picking &amp; packing</w:t>
            </w:r>
          </w:p>
        </w:tc>
        <w:tc>
          <w:tcPr>
            <w:tcW w:type="dxa" w:w="2268"/>
            <w:shd w:val="clear" w:color="auto" w:fill="E8EDF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Warehouse Manager</w:t>
            </w:r>
          </w:p>
        </w:tc>
      </w:tr>
    </w:tbl>
    <w:p>
      <w:r/>
    </w:p>
    <w:p>
      <w:pPr>
        <w:pStyle w:val="Heading1"/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F386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984"/>
            <w:shd w:val="clear" w:color="auto" w:fill="1F386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268"/>
            <w:shd w:val="clear" w:color="auto" w:fill="1F386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5102"/>
            <w:shd w:val="clear" w:color="auto" w:fill="1F386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 of Changes</w:t>
            </w:r>
          </w:p>
        </w:tc>
      </w:tr>
      <w:tr>
        <w:tc>
          <w:tcPr>
            <w:tcW w:type="dxa" w:w="113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1.0</w:t>
            </w:r>
          </w:p>
        </w:tc>
        <w:tc>
          <w:tcPr>
            <w:tcW w:type="dxa" w:w="198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March 15, 2022</w:t>
            </w:r>
          </w:p>
        </w:tc>
        <w:tc>
          <w:tcPr>
            <w:tcW w:type="dxa" w:w="2268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Sandra Mitchell</w:t>
            </w:r>
          </w:p>
        </w:tc>
        <w:tc>
          <w:tcPr>
            <w:tcW w:type="dxa" w:w="5102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Initial SOP creation</w:t>
            </w:r>
          </w:p>
        </w:tc>
      </w:tr>
      <w:tr>
        <w:tc>
          <w:tcPr>
            <w:tcW w:type="dxa" w:w="1134"/>
            <w:shd w:val="clear" w:color="auto" w:fill="E8EDF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1.5</w:t>
            </w:r>
          </w:p>
        </w:tc>
        <w:tc>
          <w:tcPr>
            <w:tcW w:type="dxa" w:w="1984"/>
            <w:shd w:val="clear" w:color="auto" w:fill="E8EDF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January 8, 2023</w:t>
            </w:r>
          </w:p>
        </w:tc>
        <w:tc>
          <w:tcPr>
            <w:tcW w:type="dxa" w:w="2268"/>
            <w:shd w:val="clear" w:color="auto" w:fill="E8EDF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James Whitfield</w:t>
            </w:r>
          </w:p>
        </w:tc>
        <w:tc>
          <w:tcPr>
            <w:tcW w:type="dxa" w:w="5102"/>
            <w:shd w:val="clear" w:color="auto" w:fill="E8EDF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Updated reorder point thresholds; revised PO approval limits from $3,000 to $5,000</w:t>
            </w:r>
          </w:p>
        </w:tc>
      </w:tr>
      <w:tr>
        <w:tc>
          <w:tcPr>
            <w:tcW w:type="dxa" w:w="113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2.0</w:t>
            </w:r>
          </w:p>
        </w:tc>
        <w:tc>
          <w:tcPr>
            <w:tcW w:type="dxa" w:w="198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June 22, 2023</w:t>
            </w:r>
          </w:p>
        </w:tc>
        <w:tc>
          <w:tcPr>
            <w:tcW w:type="dxa" w:w="2268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James Whitfield</w:t>
            </w:r>
          </w:p>
        </w:tc>
        <w:tc>
          <w:tcPr>
            <w:tcW w:type="dxa" w:w="5102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Added receiving &amp; inspection procedures; expanded variance investigation section</w:t>
            </w:r>
          </w:p>
        </w:tc>
      </w:tr>
      <w:tr>
        <w:tc>
          <w:tcPr>
            <w:tcW w:type="dxa" w:w="1134"/>
            <w:shd w:val="clear" w:color="auto" w:fill="E8EDF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2.1</w:t>
            </w:r>
          </w:p>
        </w:tc>
        <w:tc>
          <w:tcPr>
            <w:tcW w:type="dxa" w:w="1984"/>
            <w:shd w:val="clear" w:color="auto" w:fill="E8EDF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August 12, 2024</w:t>
            </w:r>
          </w:p>
        </w:tc>
        <w:tc>
          <w:tcPr>
            <w:tcW w:type="dxa" w:w="2268"/>
            <w:shd w:val="clear" w:color="auto" w:fill="E8EDF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James Whitfield</w:t>
            </w:r>
          </w:p>
        </w:tc>
        <w:tc>
          <w:tcPr>
            <w:tcW w:type="dxa" w:w="5102"/>
            <w:shd w:val="clear" w:color="auto" w:fill="E8EDF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Minor formatting updates; corrected role titles; added known issues section</w:t>
            </w:r>
          </w:p>
        </w:tc>
      </w:tr>
    </w:tbl>
    <w:p>
      <w:r/>
    </w:p>
    <w:p>
      <w:pPr>
        <w:pBdr>
          <w:bottom w:val="single" w:sz="6" w:space="1" w:color="4472C4"/>
        </w:pBdr>
        <w:spacing w:after="120"/>
      </w:pPr>
      <w:r/>
    </w:p>
    <w:p>
      <w:pPr>
        <w:jc w:val="center"/>
      </w:pPr>
      <w:r/>
    </w:p>
    <w:p>
      <w:pPr>
        <w:jc w:val="center"/>
      </w:pPr>
      <w:r/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