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32"/>
        </w:rPr>
        <w:t>Newtech Limited Capital Investment Decision Analysis Report</w:t>
      </w:r>
    </w:p>
    <w:p>
      <w:pPr>
        <w:spacing w:before="240" w:after="120"/>
        <w:jc w:val="left"/>
      </w:pPr>
      <w:r>
        <w:rPr>
          <w:b/>
          <w:sz w:val="28"/>
        </w:rPr>
        <w:t>1. Project Overview and Investment Conclusion</w:t>
      </w:r>
    </w:p>
    <w:p>
      <w:pPr>
        <w:spacing w:line="360" w:lineRule="auto"/>
        <w:ind w:firstLine="480"/>
      </w:pPr>
      <w:r>
        <w:rPr>
          <w:rFonts w:ascii="FangSong" w:hAnsi="FangSong" w:eastAsia="FangSong"/>
          <w:sz w:val="24"/>
        </w:rPr>
        <w:t>Newtech Limited is a Canadian technology company whose core business includes software product sales and technical contract services. This report provides a valuation analysis of the company using the Discounted Cash Flow (DCF) method, to support the board's investment decision-making.</w:t>
      </w:r>
    </w:p>
    <w:p>
      <w:pPr>
        <w:spacing w:line="360" w:lineRule="auto"/>
        <w:ind w:firstLine="480"/>
      </w:pPr>
      <w:r>
        <w:rPr>
          <w:rFonts w:ascii="FangSong" w:hAnsi="FangSong" w:eastAsia="FangSong"/>
          <w:sz w:val="24"/>
        </w:rPr>
        <w:t>Based on the DCF model, the enterprise value (Value of Firm) is 16,642.50 thousand CAD, of which market value of equity is 13,314.00 thousand CAD, and debt value is 3,328.50 thousand CAD. The Weighted Average Cost of Capital (WACC) is 20.8%.</w:t>
      </w:r>
    </w:p>
    <w:p>
      <w:pPr>
        <w:spacing w:before="240" w:after="120"/>
        <w:jc w:val="left"/>
      </w:pPr>
      <w:r>
        <w:rPr>
          <w:b/>
          <w:sz w:val="28"/>
        </w:rPr>
        <w:t>2. Weighted Average Cost of Capital (WACC) Analysis</w:t>
      </w:r>
    </w:p>
    <w:p>
      <w:pPr>
        <w:spacing w:line="360" w:lineRule="auto"/>
        <w:ind w:firstLine="480"/>
      </w:pPr>
      <w:r>
        <w:rPr>
          <w:rFonts w:ascii="FangSong" w:hAnsi="FangSong" w:eastAsia="FangSong"/>
          <w:sz w:val="24"/>
        </w:rPr>
        <w:t>WACC represents the company's blended cost of financing and is the key discount rate used in the DCF model to discount future cash flows. The detailed calculation is as follows: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2"/>
        <w:gridCol w:w="4252"/>
      </w:tblGrid>
      <w:tr>
        <w:tc>
          <w:tcPr>
            <w:tcW w:type="dxa" w:w="4252"/>
          </w:tcPr>
          <w:p>
            <w:r>
              <w:rPr>
                <w:b/>
              </w:rPr>
              <w:t>Item</w:t>
            </w:r>
          </w:p>
        </w:tc>
        <w:tc>
          <w:tcPr>
            <w:tcW w:type="dxa" w:w="4252"/>
          </w:tcPr>
          <w:p>
            <w:r>
              <w:rPr>
                <w:b/>
              </w:rPr>
              <w:t>Value</w:t>
            </w:r>
          </w:p>
        </w:tc>
      </w:tr>
      <w:tr>
        <w:tc>
          <w:tcPr>
            <w:tcW w:type="dxa" w:w="4252"/>
          </w:tcPr>
          <w:p>
            <w:r>
              <w:t>Required Return on Equity</w:t>
            </w:r>
          </w:p>
        </w:tc>
        <w:tc>
          <w:tcPr>
            <w:tcW w:type="dxa" w:w="4252"/>
          </w:tcPr>
          <w:p>
            <w:r>
              <w:t>15.0%</w:t>
            </w:r>
          </w:p>
        </w:tc>
      </w:tr>
      <w:tr>
        <w:tc>
          <w:tcPr>
            <w:tcW w:type="dxa" w:w="4252"/>
          </w:tcPr>
          <w:p>
            <w:r>
              <w:t>Company Risk Premium</w:t>
            </w:r>
          </w:p>
        </w:tc>
        <w:tc>
          <w:tcPr>
            <w:tcW w:type="dxa" w:w="4252"/>
          </w:tcPr>
          <w:p>
            <w:r>
              <w:t>10.0%</w:t>
            </w:r>
          </w:p>
        </w:tc>
      </w:tr>
      <w:tr>
        <w:tc>
          <w:tcPr>
            <w:tcW w:type="dxa" w:w="4252"/>
          </w:tcPr>
          <w:p>
            <w:r>
              <w:t>Cost of Equity</w:t>
            </w:r>
          </w:p>
        </w:tc>
        <w:tc>
          <w:tcPr>
            <w:tcW w:type="dxa" w:w="4252"/>
          </w:tcPr>
          <w:p>
            <w:r>
              <w:t>25.0%</w:t>
            </w:r>
          </w:p>
        </w:tc>
      </w:tr>
      <w:tr>
        <w:tc>
          <w:tcPr>
            <w:tcW w:type="dxa" w:w="4252"/>
          </w:tcPr>
          <w:p>
            <w:r>
              <w:t>Cost of Debt</w:t>
            </w:r>
          </w:p>
        </w:tc>
        <w:tc>
          <w:tcPr>
            <w:tcW w:type="dxa" w:w="4252"/>
          </w:tcPr>
          <w:p>
            <w:r>
              <w:t>6.0%</w:t>
            </w:r>
          </w:p>
        </w:tc>
      </w:tr>
      <w:tr>
        <w:tc>
          <w:tcPr>
            <w:tcW w:type="dxa" w:w="4252"/>
          </w:tcPr>
          <w:p>
            <w:r>
              <w:t>After-Tax Cost of Debt</w:t>
            </w:r>
          </w:p>
        </w:tc>
        <w:tc>
          <w:tcPr>
            <w:tcW w:type="dxa" w:w="4252"/>
          </w:tcPr>
          <w:p>
            <w:r>
              <w:t>4.0%</w:t>
            </w:r>
          </w:p>
        </w:tc>
      </w:tr>
      <w:tr>
        <w:tc>
          <w:tcPr>
            <w:tcW w:type="dxa" w:w="4252"/>
          </w:tcPr>
          <w:p>
            <w:r>
              <w:t>Equity Weight</w:t>
            </w:r>
          </w:p>
        </w:tc>
        <w:tc>
          <w:tcPr>
            <w:tcW w:type="dxa" w:w="4252"/>
          </w:tcPr>
          <w:p>
            <w:r>
              <w:t>80.0%</w:t>
            </w:r>
          </w:p>
        </w:tc>
      </w:tr>
      <w:tr>
        <w:tc>
          <w:tcPr>
            <w:tcW w:type="dxa" w:w="4252"/>
          </w:tcPr>
          <w:p>
            <w:r>
              <w:t>Debt Weight</w:t>
            </w:r>
          </w:p>
        </w:tc>
        <w:tc>
          <w:tcPr>
            <w:tcW w:type="dxa" w:w="4252"/>
          </w:tcPr>
          <w:p>
            <w:r>
              <w:t>20.0%</w:t>
            </w:r>
          </w:p>
        </w:tc>
      </w:tr>
      <w:tr>
        <w:tc>
          <w:tcPr>
            <w:tcW w:type="dxa" w:w="4252"/>
          </w:tcPr>
          <w:p>
            <w:r>
              <w:t>WACC</w:t>
            </w:r>
          </w:p>
        </w:tc>
        <w:tc>
          <w:tcPr>
            <w:tcW w:type="dxa" w:w="4252"/>
          </w:tcPr>
          <w:p>
            <w:r>
              <w:t>20.8%</w:t>
            </w:r>
          </w:p>
        </w:tc>
      </w:tr>
    </w:tbl>
    <w:p>
      <w:pPr>
        <w:spacing w:before="240" w:after="120"/>
        <w:jc w:val="left"/>
      </w:pPr>
      <w:r>
        <w:rPr>
          <w:b/>
          <w:sz w:val="28"/>
        </w:rPr>
        <w:t>3. Projected Income Statement Summary</w:t>
      </w:r>
    </w:p>
    <w:p>
      <w:pPr>
        <w:spacing w:line="360" w:lineRule="auto"/>
        <w:ind w:firstLine="480"/>
      </w:pPr>
      <w:r>
        <w:rPr>
          <w:rFonts w:ascii="FangSong" w:hAnsi="FangSong" w:eastAsia="FangSong"/>
          <w:sz w:val="24"/>
        </w:rPr>
        <w:t>The following table presents key metrics from Newtech Limited's projected income statement for 2009-2013 (in thousands of CAD):</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c>
          <w:tcPr>
            <w:tcW w:type="dxa" w:w="1417"/>
          </w:tcPr>
          <w:p>
            <w:r>
              <w:rPr>
                <w:b/>
              </w:rPr>
              <w:t>Item</w:t>
            </w:r>
          </w:p>
        </w:tc>
        <w:tc>
          <w:tcPr>
            <w:tcW w:type="dxa" w:w="1417"/>
          </w:tcPr>
          <w:p>
            <w:r>
              <w:rPr>
                <w:b/>
              </w:rPr>
              <w:t>2009</w:t>
            </w:r>
          </w:p>
        </w:tc>
        <w:tc>
          <w:tcPr>
            <w:tcW w:type="dxa" w:w="1417"/>
          </w:tcPr>
          <w:p>
            <w:r>
              <w:rPr>
                <w:b/>
              </w:rPr>
              <w:t>2010</w:t>
            </w:r>
          </w:p>
        </w:tc>
        <w:tc>
          <w:tcPr>
            <w:tcW w:type="dxa" w:w="1417"/>
          </w:tcPr>
          <w:p>
            <w:r>
              <w:rPr>
                <w:b/>
              </w:rPr>
              <w:t>2011</w:t>
            </w:r>
          </w:p>
        </w:tc>
        <w:tc>
          <w:tcPr>
            <w:tcW w:type="dxa" w:w="1417"/>
          </w:tcPr>
          <w:p>
            <w:r>
              <w:rPr>
                <w:b/>
              </w:rPr>
              <w:t>2012</w:t>
            </w:r>
          </w:p>
        </w:tc>
        <w:tc>
          <w:tcPr>
            <w:tcW w:type="dxa" w:w="1417"/>
          </w:tcPr>
          <w:p>
            <w:r>
              <w:rPr>
                <w:b/>
              </w:rPr>
              <w:t>2013</w:t>
            </w:r>
          </w:p>
        </w:tc>
      </w:tr>
      <w:tr>
        <w:tc>
          <w:tcPr>
            <w:tcW w:type="dxa" w:w="1417"/>
          </w:tcPr>
          <w:p>
            <w:r>
              <w:t>Revenue</w:t>
            </w:r>
          </w:p>
        </w:tc>
        <w:tc>
          <w:tcPr>
            <w:tcW w:type="dxa" w:w="1417"/>
          </w:tcPr>
          <w:p>
            <w:r>
              <w:t>14,201.35</w:t>
            </w:r>
          </w:p>
        </w:tc>
        <w:tc>
          <w:tcPr>
            <w:tcW w:type="dxa" w:w="1417"/>
          </w:tcPr>
          <w:p>
            <w:r>
              <w:t>16,331.55</w:t>
            </w:r>
          </w:p>
        </w:tc>
        <w:tc>
          <w:tcPr>
            <w:tcW w:type="dxa" w:w="1417"/>
          </w:tcPr>
          <w:p>
            <w:r>
              <w:t>17,148.13</w:t>
            </w:r>
          </w:p>
        </w:tc>
        <w:tc>
          <w:tcPr>
            <w:tcW w:type="dxa" w:w="1417"/>
          </w:tcPr>
          <w:p>
            <w:r>
              <w:t>18,005.54</w:t>
            </w:r>
          </w:p>
        </w:tc>
        <w:tc>
          <w:tcPr>
            <w:tcW w:type="dxa" w:w="1417"/>
          </w:tcPr>
          <w:p>
            <w:r>
              <w:t>18,905.81</w:t>
            </w:r>
          </w:p>
        </w:tc>
      </w:tr>
      <w:tr>
        <w:tc>
          <w:tcPr>
            <w:tcW w:type="dxa" w:w="1417"/>
          </w:tcPr>
          <w:p>
            <w:r>
              <w:t>Cost of Sales</w:t>
            </w:r>
          </w:p>
        </w:tc>
        <w:tc>
          <w:tcPr>
            <w:tcW w:type="dxa" w:w="1417"/>
          </w:tcPr>
          <w:p>
            <w:r>
              <w:t>6,800.68</w:t>
            </w:r>
          </w:p>
        </w:tc>
        <w:tc>
          <w:tcPr>
            <w:tcW w:type="dxa" w:w="1417"/>
          </w:tcPr>
          <w:p>
            <w:r>
              <w:t>7,565.78</w:t>
            </w:r>
          </w:p>
        </w:tc>
        <w:tc>
          <w:tcPr>
            <w:tcW w:type="dxa" w:w="1417"/>
          </w:tcPr>
          <w:p>
            <w:r>
              <w:t>8,274.07</w:t>
            </w:r>
          </w:p>
        </w:tc>
        <w:tc>
          <w:tcPr>
            <w:tcW w:type="dxa" w:w="1417"/>
          </w:tcPr>
          <w:p>
            <w:r>
              <w:t>8,702.77</w:t>
            </w:r>
          </w:p>
        </w:tc>
        <w:tc>
          <w:tcPr>
            <w:tcW w:type="dxa" w:w="1417"/>
          </w:tcPr>
          <w:p>
            <w:r>
              <w:t>9,152.91</w:t>
            </w:r>
          </w:p>
        </w:tc>
      </w:tr>
      <w:tr>
        <w:tc>
          <w:tcPr>
            <w:tcW w:type="dxa" w:w="1417"/>
          </w:tcPr>
          <w:p>
            <w:r>
              <w:t>Gross Profit</w:t>
            </w:r>
          </w:p>
        </w:tc>
        <w:tc>
          <w:tcPr>
            <w:tcW w:type="dxa" w:w="1417"/>
          </w:tcPr>
          <w:p>
            <w:r>
              <w:t>7,400.68</w:t>
            </w:r>
          </w:p>
        </w:tc>
        <w:tc>
          <w:tcPr>
            <w:tcW w:type="dxa" w:w="1417"/>
          </w:tcPr>
          <w:p>
            <w:r>
              <w:t>8,765.78</w:t>
            </w:r>
          </w:p>
        </w:tc>
        <w:tc>
          <w:tcPr>
            <w:tcW w:type="dxa" w:w="1417"/>
          </w:tcPr>
          <w:p>
            <w:r>
              <w:t>8,874.07</w:t>
            </w:r>
          </w:p>
        </w:tc>
        <w:tc>
          <w:tcPr>
            <w:tcW w:type="dxa" w:w="1417"/>
          </w:tcPr>
          <w:p>
            <w:r>
              <w:t>9,302.77</w:t>
            </w:r>
          </w:p>
        </w:tc>
        <w:tc>
          <w:tcPr>
            <w:tcW w:type="dxa" w:w="1417"/>
          </w:tcPr>
          <w:p>
            <w:r>
              <w:t>9,752.91</w:t>
            </w:r>
          </w:p>
        </w:tc>
      </w:tr>
      <w:tr>
        <w:tc>
          <w:tcPr>
            <w:tcW w:type="dxa" w:w="1417"/>
          </w:tcPr>
          <w:p>
            <w:r>
              <w:t>Net Income</w:t>
            </w:r>
          </w:p>
        </w:tc>
        <w:tc>
          <w:tcPr>
            <w:tcW w:type="dxa" w:w="1417"/>
          </w:tcPr>
          <w:p>
            <w:r>
              <w:t>-380.11</w:t>
            </w:r>
          </w:p>
        </w:tc>
        <w:tc>
          <w:tcPr>
            <w:tcW w:type="dxa" w:w="1417"/>
          </w:tcPr>
          <w:p>
            <w:r>
              <w:t>459.75</w:t>
            </w:r>
          </w:p>
        </w:tc>
        <w:tc>
          <w:tcPr>
            <w:tcW w:type="dxa" w:w="1417"/>
          </w:tcPr>
          <w:p>
            <w:r>
              <w:t>484.13</w:t>
            </w:r>
          </w:p>
        </w:tc>
        <w:tc>
          <w:tcPr>
            <w:tcW w:type="dxa" w:w="1417"/>
          </w:tcPr>
          <w:p>
            <w:r>
              <w:t>530.57</w:t>
            </w:r>
          </w:p>
        </w:tc>
        <w:tc>
          <w:tcPr>
            <w:tcW w:type="dxa" w:w="1417"/>
          </w:tcPr>
          <w:p>
            <w:r>
              <w:t>578.33</w:t>
            </w:r>
          </w:p>
        </w:tc>
      </w:tr>
    </w:tbl>
    <w:p>
      <w:pPr>
        <w:spacing w:before="240" w:after="120"/>
        <w:jc w:val="left"/>
      </w:pPr>
      <w:r>
        <w:rPr>
          <w:b/>
          <w:sz w:val="28"/>
        </w:rPr>
        <w:t>4. Free Cash Flow and Valuation</w:t>
      </w:r>
    </w:p>
    <w:p>
      <w:pPr>
        <w:spacing w:line="360" w:lineRule="auto"/>
        <w:ind w:firstLine="480"/>
      </w:pPr>
      <w:r>
        <w:rPr>
          <w:rFonts w:ascii="FangSong" w:hAnsi="FangSong" w:eastAsia="FangSong"/>
          <w:sz w:val="24"/>
        </w:rPr>
        <w:t>Free Cash Flow (FCF) is the core of DCF valuation, calculated as: FCF = Net Income - Working Capital Changes + Depreciation - Capital Expenditure. The following table shows annual FCF and present values: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tblGrid>
      <w:tr>
        <w:tc>
          <w:tcPr>
            <w:tcW w:type="dxa" w:w="1215"/>
          </w:tcPr>
          <w:p>
            <w:r>
              <w:rPr>
                <w:b/>
              </w:rPr>
              <w:t>Item</w:t>
            </w:r>
          </w:p>
        </w:tc>
        <w:tc>
          <w:tcPr>
            <w:tcW w:type="dxa" w:w="1215"/>
          </w:tcPr>
          <w:p>
            <w:r>
              <w:rPr>
                <w:b/>
              </w:rPr>
              <w:t>2009</w:t>
            </w:r>
          </w:p>
        </w:tc>
        <w:tc>
          <w:tcPr>
            <w:tcW w:type="dxa" w:w="1215"/>
          </w:tcPr>
          <w:p>
            <w:r>
              <w:rPr>
                <w:b/>
              </w:rPr>
              <w:t>2010</w:t>
            </w:r>
          </w:p>
        </w:tc>
        <w:tc>
          <w:tcPr>
            <w:tcW w:type="dxa" w:w="1215"/>
          </w:tcPr>
          <w:p>
            <w:r>
              <w:rPr>
                <w:b/>
              </w:rPr>
              <w:t>2011</w:t>
            </w:r>
          </w:p>
        </w:tc>
        <w:tc>
          <w:tcPr>
            <w:tcW w:type="dxa" w:w="1215"/>
          </w:tcPr>
          <w:p>
            <w:r>
              <w:rPr>
                <w:b/>
              </w:rPr>
              <w:t>2012</w:t>
            </w:r>
          </w:p>
        </w:tc>
        <w:tc>
          <w:tcPr>
            <w:tcW w:type="dxa" w:w="1215"/>
          </w:tcPr>
          <w:p>
            <w:r>
              <w:rPr>
                <w:b/>
              </w:rPr>
              <w:t>2013</w:t>
            </w:r>
          </w:p>
        </w:tc>
        <w:tc>
          <w:tcPr>
            <w:tcW w:type="dxa" w:w="1215"/>
          </w:tcPr>
          <w:p>
            <w:r>
              <w:rPr>
                <w:b/>
              </w:rPr>
              <w:t>TV</w:t>
            </w:r>
          </w:p>
        </w:tc>
      </w:tr>
      <w:tr>
        <w:tc>
          <w:tcPr>
            <w:tcW w:type="dxa" w:w="1215"/>
          </w:tcPr>
          <w:p>
            <w:r>
              <w:t>Net Income</w:t>
            </w:r>
          </w:p>
        </w:tc>
        <w:tc>
          <w:tcPr>
            <w:tcW w:type="dxa" w:w="1215"/>
          </w:tcPr>
          <w:p>
            <w:r>
              <w:t>-380.11</w:t>
            </w:r>
          </w:p>
        </w:tc>
        <w:tc>
          <w:tcPr>
            <w:tcW w:type="dxa" w:w="1215"/>
          </w:tcPr>
          <w:p>
            <w:r>
              <w:t>459.75</w:t>
            </w:r>
          </w:p>
        </w:tc>
        <w:tc>
          <w:tcPr>
            <w:tcW w:type="dxa" w:w="1215"/>
          </w:tcPr>
          <w:p>
            <w:r>
              <w:t>484.13</w:t>
            </w:r>
          </w:p>
        </w:tc>
        <w:tc>
          <w:tcPr>
            <w:tcW w:type="dxa" w:w="1215"/>
          </w:tcPr>
          <w:p>
            <w:r>
              <w:t>530.57</w:t>
            </w:r>
          </w:p>
        </w:tc>
        <w:tc>
          <w:tcPr>
            <w:tcW w:type="dxa" w:w="1215"/>
          </w:tcPr>
          <w:p>
            <w:r>
              <w:t>578.33</w:t>
            </w:r>
          </w:p>
        </w:tc>
        <w:tc>
          <w:tcPr>
            <w:tcW w:type="dxa" w:w="1215"/>
          </w:tcPr>
          <w:p>
            <w:r>
              <w:t>595.68</w:t>
            </w:r>
          </w:p>
        </w:tc>
      </w:tr>
      <w:tr>
        <w:tc>
          <w:tcPr>
            <w:tcW w:type="dxa" w:w="1215"/>
          </w:tcPr>
          <w:p>
            <w:r>
              <w:t>Working Capital Changes</w:t>
            </w:r>
          </w:p>
        </w:tc>
        <w:tc>
          <w:tcPr>
            <w:tcW w:type="dxa" w:w="1215"/>
          </w:tcPr>
          <w:p>
            <w:r>
              <w:t>370.47</w:t>
            </w:r>
          </w:p>
        </w:tc>
        <w:tc>
          <w:tcPr>
            <w:tcW w:type="dxa" w:w="1215"/>
          </w:tcPr>
          <w:p>
            <w:r>
              <w:t>426.04</w:t>
            </w:r>
          </w:p>
        </w:tc>
        <w:tc>
          <w:tcPr>
            <w:tcW w:type="dxa" w:w="1215"/>
          </w:tcPr>
          <w:p>
            <w:r>
              <w:t>163.32</w:t>
            </w:r>
          </w:p>
        </w:tc>
        <w:tc>
          <w:tcPr>
            <w:tcW w:type="dxa" w:w="1215"/>
          </w:tcPr>
          <w:p>
            <w:r>
              <w:t>171.48</w:t>
            </w:r>
          </w:p>
        </w:tc>
        <w:tc>
          <w:tcPr>
            <w:tcW w:type="dxa" w:w="1215"/>
          </w:tcPr>
          <w:p>
            <w:r>
              <w:t>180.06</w:t>
            </w:r>
          </w:p>
        </w:tc>
        <w:tc>
          <w:tcPr>
            <w:tcW w:type="dxa" w:w="1215"/>
          </w:tcPr>
          <w:p>
            <w:r>
              <w:t>185.46</w:t>
            </w:r>
          </w:p>
        </w:tc>
      </w:tr>
      <w:tr>
        <w:tc>
          <w:tcPr>
            <w:tcW w:type="dxa" w:w="1215"/>
          </w:tcPr>
          <w:p>
            <w:r>
              <w:t>Depreciation</w:t>
            </w:r>
          </w:p>
        </w:tc>
        <w:tc>
          <w:tcPr>
            <w:tcW w:type="dxa" w:w="1215"/>
          </w:tcPr>
          <w:p>
            <w:r>
              <w:t>2,200.00</w:t>
            </w:r>
          </w:p>
        </w:tc>
        <w:tc>
          <w:tcPr>
            <w:tcW w:type="dxa" w:w="1215"/>
          </w:tcPr>
          <w:p>
            <w:r>
              <w:t>2,200.00</w:t>
            </w:r>
          </w:p>
        </w:tc>
        <w:tc>
          <w:tcPr>
            <w:tcW w:type="dxa" w:w="1215"/>
          </w:tcPr>
          <w:p>
            <w:r>
              <w:t>2,200.00</w:t>
            </w:r>
          </w:p>
        </w:tc>
        <w:tc>
          <w:tcPr>
            <w:tcW w:type="dxa" w:w="1215"/>
          </w:tcPr>
          <w:p>
            <w:r>
              <w:t>2,200.00</w:t>
            </w:r>
          </w:p>
        </w:tc>
        <w:tc>
          <w:tcPr>
            <w:tcW w:type="dxa" w:w="1215"/>
          </w:tcPr>
          <w:p>
            <w:r>
              <w:t>2,200.00</w:t>
            </w:r>
          </w:p>
        </w:tc>
        <w:tc>
          <w:tcPr>
            <w:tcW w:type="dxa" w:w="1215"/>
          </w:tcPr>
          <w:p>
            <w:r>
              <w:t>2,266.00</w:t>
            </w:r>
          </w:p>
        </w:tc>
      </w:tr>
      <w:tr>
        <w:tc>
          <w:tcPr>
            <w:tcW w:type="dxa" w:w="1215"/>
          </w:tcPr>
          <w:p>
            <w:r>
              <w:t>Capital Expenditure</w:t>
            </w:r>
          </w:p>
        </w:tc>
        <w:tc>
          <w:tcPr>
            <w:tcW w:type="dxa" w:w="1215"/>
          </w:tcPr>
          <w:p>
            <w:r>
              <w:t>245.00</w:t>
            </w:r>
          </w:p>
        </w:tc>
        <w:tc>
          <w:tcPr>
            <w:tcW w:type="dxa" w:w="1215"/>
          </w:tcPr>
          <w:p>
            <w:r>
              <w:t>245.00</w:t>
            </w:r>
          </w:p>
        </w:tc>
        <w:tc>
          <w:tcPr>
            <w:tcW w:type="dxa" w:w="1215"/>
          </w:tcPr>
          <w:p>
            <w:r>
              <w:t>245.00</w:t>
            </w:r>
          </w:p>
        </w:tc>
        <w:tc>
          <w:tcPr>
            <w:tcW w:type="dxa" w:w="1215"/>
          </w:tcPr>
          <w:p>
            <w:r>
              <w:t>245.00</w:t>
            </w:r>
          </w:p>
        </w:tc>
        <w:tc>
          <w:tcPr>
            <w:tcW w:type="dxa" w:w="1215"/>
          </w:tcPr>
          <w:p>
            <w:r>
              <w:t>245.00</w:t>
            </w:r>
          </w:p>
        </w:tc>
        <w:tc>
          <w:tcPr>
            <w:tcW w:type="dxa" w:w="1215"/>
          </w:tcPr>
          <w:p>
            <w:r>
              <w:t>252.35</w:t>
            </w:r>
          </w:p>
        </w:tc>
      </w:tr>
      <w:tr>
        <w:tc>
          <w:tcPr>
            <w:tcW w:type="dxa" w:w="1215"/>
          </w:tcPr>
          <w:p>
            <w:r>
              <w:t>Free Cash Flow</w:t>
            </w:r>
          </w:p>
        </w:tc>
        <w:tc>
          <w:tcPr>
            <w:tcW w:type="dxa" w:w="1215"/>
          </w:tcPr>
          <w:p>
            <w:r>
              <w:t>1,204.42</w:t>
            </w:r>
          </w:p>
        </w:tc>
        <w:tc>
          <w:tcPr>
            <w:tcW w:type="dxa" w:w="1215"/>
          </w:tcPr>
          <w:p>
            <w:r>
              <w:t>1,988.71</w:t>
            </w:r>
          </w:p>
        </w:tc>
        <w:tc>
          <w:tcPr>
            <w:tcW w:type="dxa" w:w="1215"/>
          </w:tcPr>
          <w:p>
            <w:r>
              <w:t>2,275.81</w:t>
            </w:r>
          </w:p>
        </w:tc>
        <w:tc>
          <w:tcPr>
            <w:tcW w:type="dxa" w:w="1215"/>
          </w:tcPr>
          <w:p>
            <w:r>
              <w:t>2,314.09</w:t>
            </w:r>
          </w:p>
        </w:tc>
        <w:tc>
          <w:tcPr>
            <w:tcW w:type="dxa" w:w="1215"/>
          </w:tcPr>
          <w:p>
            <w:r>
              <w:t>2,353.28</w:t>
            </w:r>
          </w:p>
        </w:tc>
        <w:tc>
          <w:tcPr>
            <w:tcW w:type="dxa" w:w="1215"/>
          </w:tcPr>
          <w:p>
            <w:r>
              <w:t>2,423.88</w:t>
            </w:r>
          </w:p>
        </w:tc>
      </w:tr>
      <w:tr>
        <w:tc>
          <w:tcPr>
            <w:tcW w:type="dxa" w:w="1215"/>
          </w:tcPr>
          <w:p>
            <w:r>
              <w:t>Present Value (PV)</w:t>
            </w:r>
          </w:p>
        </w:tc>
        <w:tc>
          <w:tcPr>
            <w:tcW w:type="dxa" w:w="1215"/>
          </w:tcPr>
          <w:p>
            <w:r>
              <w:t>997.04</w:t>
            </w:r>
          </w:p>
        </w:tc>
        <w:tc>
          <w:tcPr>
            <w:tcW w:type="dxa" w:w="1215"/>
          </w:tcPr>
          <w:p>
            <w:r>
              <w:t>1,362.82</w:t>
            </w:r>
          </w:p>
        </w:tc>
        <w:tc>
          <w:tcPr>
            <w:tcW w:type="dxa" w:w="1215"/>
          </w:tcPr>
          <w:p>
            <w:r>
              <w:t>1,291.03</w:t>
            </w:r>
          </w:p>
        </w:tc>
        <w:tc>
          <w:tcPr>
            <w:tcW w:type="dxa" w:w="1215"/>
          </w:tcPr>
          <w:p>
            <w:r>
              <w:t>1,086.71</w:t>
            </w:r>
          </w:p>
        </w:tc>
        <w:tc>
          <w:tcPr>
            <w:tcW w:type="dxa" w:w="1215"/>
          </w:tcPr>
          <w:p>
            <w:r>
              <w:t>914.83</w:t>
            </w:r>
          </w:p>
        </w:tc>
        <w:tc>
          <w:tcPr>
            <w:tcW w:type="dxa" w:w="1215"/>
          </w:tcPr>
          <w:p>
            <w:r>
              <w:t>5,293.66</w:t>
            </w:r>
          </w:p>
        </w:tc>
      </w:tr>
    </w:tbl>
    <w:p>
      <w:pPr>
        <w:spacing w:line="360" w:lineRule="auto"/>
        <w:ind w:firstLine="480"/>
      </w:pPr>
      <w:r>
        <w:rPr>
          <w:rFonts w:ascii="FangSong" w:hAnsi="FangSong" w:eastAsia="FangSong"/>
          <w:sz w:val="24"/>
        </w:rPr>
        <w:t>The Terminal Value is calculated using the perpetuity approach, yielding a terminal value of 13,617.28 thousand CAD. This assumes the company will continue operating at a stable growth rate beyond the forecast period.</w:t>
      </w:r>
    </w:p>
    <w:p>
      <w:pPr>
        <w:spacing w:before="240" w:after="120"/>
        <w:jc w:val="left"/>
      </w:pPr>
      <w:r>
        <w:rPr>
          <w:b/>
          <w:sz w:val="28"/>
        </w:rPr>
        <w:t>5. Investment Value and Risk Factors</w:t>
      </w:r>
    </w:p>
    <w:p>
      <w:pPr>
        <w:spacing w:line="360" w:lineRule="auto"/>
        <w:ind w:firstLine="480"/>
      </w:pPr>
      <w:r>
        <w:rPr>
          <w:rFonts w:ascii="FangSong" w:hAnsi="FangSong" w:eastAsia="FangSong"/>
          <w:sz w:val="24"/>
        </w:rPr>
        <w:t>Based on the DCF analysis, Newtech Limited's enterprise value is 16,642.50 thousand CAD. Given that the company is in a growth phase with expected continued revenue growth from its software business, the investment offers reasonable return expectations.</w:t>
      </w:r>
    </w:p>
    <w:p>
      <w:pPr>
        <w:spacing w:line="360" w:lineRule="auto"/>
        <w:ind w:firstLine="480"/>
      </w:pPr>
      <w:r>
        <w:rPr>
          <w:rFonts w:ascii="FangSong" w:hAnsi="FangSong" w:eastAsia="FangSong"/>
          <w:sz w:val="24"/>
        </w:rPr>
        <w:t>Key assumptions and risk factors include:</w:t>
      </w:r>
    </w:p>
    <w:p>
      <w:pPr>
        <w:pStyle w:val="ListBullet"/>
      </w:pPr>
      <w:r>
        <w:rPr>
          <w:rFonts w:ascii="FangSong" w:hAnsi="FangSong" w:eastAsia="FangSong"/>
          <w:sz w:val="24"/>
        </w:rPr>
        <w:t>Revenue growth assumptions depend on sustained software market demand; deteriorating market conditions may result in actual revenue falling below projections</w:t>
      </w:r>
    </w:p>
    <w:p>
      <w:pPr>
        <w:pStyle w:val="ListBullet"/>
      </w:pPr>
      <w:r>
        <w:rPr>
          <w:rFonts w:ascii="FangSong" w:hAnsi="FangSong" w:eastAsia="FangSong"/>
          <w:sz w:val="24"/>
        </w:rPr>
        <w:t>WACC is sensitive to cost of equity and company risk premium; rising market interest rates would reduce the valuation</w:t>
      </w:r>
    </w:p>
    <w:p>
      <w:pPr>
        <w:pStyle w:val="ListBullet"/>
      </w:pPr>
      <w:r>
        <w:rPr>
          <w:rFonts w:ascii="FangSong" w:hAnsi="FangSong" w:eastAsia="FangSong"/>
          <w:sz w:val="24"/>
        </w:rPr>
        <w:t>Terminal value accounts for a high proportion of total valuation and is sensitive to the perpetuity growth rate assumption</w:t>
      </w:r>
    </w:p>
    <w:p>
      <w:pPr>
        <w:pStyle w:val="ListBullet"/>
      </w:pPr>
      <w:r>
        <w:rPr>
          <w:rFonts w:ascii="FangSong" w:hAnsi="FangSong" w:eastAsia="FangSong"/>
          <w:sz w:val="24"/>
        </w:rPr>
        <w:t>Working capital change assumptions are based on historical ratio extrapolation; actual fluctuations may be larger</w:t>
      </w:r>
    </w:p>
    <w:p>
      <w:r>
        <w:drawing>
          <wp:inline xmlns:a="http://schemas.openxmlformats.org/drawingml/2006/main" xmlns:pic="http://schemas.openxmlformats.org/drawingml/2006/picture">
            <wp:extent cx="4572000" cy="2667000"/>
            <wp:docPr id="1" name="Picture 1"/>
            <wp:cNvGraphicFramePr>
              <a:graphicFrameLocks noChangeAspect="1"/>
            </wp:cNvGraphicFramePr>
            <a:graphic>
              <a:graphicData uri="http://schemas.openxmlformats.org/drawingml/2006/picture">
                <pic:pic>
                  <pic:nvPicPr>
                    <pic:cNvPr id="0" name="fcf_chart.png"/>
                    <pic:cNvPicPr/>
                  </pic:nvPicPr>
                  <pic:blipFill>
                    <a:blip r:embed="rId10"/>
                    <a:stretch>
                      <a:fillRect/>
                    </a:stretch>
                  </pic:blipFill>
                  <pic:spPr>
                    <a:xfrm>
                      <a:off x="0" y="0"/>
                      <a:ext cx="4572000" cy="2667000"/>
                    </a:xfrm>
                    <a:prstGeom prst="rect"/>
                  </pic:spPr>
                </pic:pic>
              </a:graphicData>
            </a:graphic>
          </wp:inline>
        </w:drawing>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FangSong"/>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