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  <w:sz w:val="32"/>
        </w:rPr>
        <w:t>Interest Rate Swap Pricing Analysis Report</w:t>
      </w:r>
    </w:p>
    <w:p>
      <w:pPr>
        <w:spacing w:before="240" w:after="120"/>
        <w:jc w:val="left"/>
      </w:pPr>
      <w:r>
        <w:rPr>
          <w:b/>
          <w:sz w:val="28"/>
        </w:rPr>
        <w:t>1. Model Overview and Pricing Conclusion</w:t>
      </w:r>
    </w:p>
    <w:p>
      <w:pPr>
        <w:spacing w:line="360" w:lineRule="auto"/>
        <w:ind w:firstLine="480"/>
      </w:pPr>
      <w:r>
        <w:rPr>
          <w:rFonts w:ascii="FangSong" w:hAnsi="FangSong" w:eastAsia="FangSong"/>
          <w:sz w:val="24"/>
        </w:rPr>
        <w:t>This report presents a pricing analysis of a Constant Maturity Swap based on the Ho-Lee no-arbitrage interest rate model. The model constructs an interest rate lattice using a binomial tree approach, determining rate levels at each node through no-arbitrage conditions to calculate the fair value of the swap contract.</w:t>
      </w:r>
    </w:p>
    <w:p>
      <w:pPr>
        <w:spacing w:line="360" w:lineRule="auto"/>
        <w:ind w:firstLine="480"/>
      </w:pPr>
      <w:r>
        <w:rPr>
          <w:rFonts w:ascii="FangSong" w:hAnsi="FangSong" w:eastAsia="FangSong"/>
          <w:sz w:val="24"/>
        </w:rPr>
        <w:t>Core assumptions include: a flat initial yield curve (all tenors at 10%), lognormal spot volatility of 12%, number of partitions m=1, and notional principal of 100. Under these parameters, the model computes swap lattice values at each node.</w:t>
      </w:r>
    </w:p>
    <w:p>
      <w:pPr>
        <w:spacing w:before="240" w:after="120"/>
        <w:jc w:val="left"/>
      </w:pPr>
      <w:r>
        <w:rPr>
          <w:b/>
          <w:sz w:val="28"/>
        </w:rPr>
        <w:t>2. Model Input Parameters</w:t>
      </w:r>
    </w:p>
    <w:p>
      <w:pPr>
        <w:spacing w:line="360" w:lineRule="auto"/>
        <w:ind w:firstLine="480"/>
      </w:pPr>
      <w:r>
        <w:rPr>
          <w:rFonts w:ascii="FangSong" w:hAnsi="FangSong" w:eastAsia="FangSong"/>
          <w:sz w:val="24"/>
        </w:rPr>
        <w:t>The following table summarizes the core input parameters of the model: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25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252"/>
          </w:tcPr>
          <w:p>
            <w:r>
              <w:t>Initial Yield Curve</w:t>
            </w:r>
          </w:p>
        </w:tc>
        <w:tc>
          <w:tcPr>
            <w:tcW w:type="dxa" w:w="4252"/>
          </w:tcPr>
          <w:p>
            <w:r>
              <w:t>Flat at 10% (all tenors)</w:t>
            </w:r>
          </w:p>
        </w:tc>
      </w:tr>
      <w:tr>
        <w:tc>
          <w:tcPr>
            <w:tcW w:type="dxa" w:w="4252"/>
          </w:tcPr>
          <w:p>
            <w:r>
              <w:t>Lognormal Spot Volatility (σS)</w:t>
            </w:r>
          </w:p>
        </w:tc>
        <w:tc>
          <w:tcPr>
            <w:tcW w:type="dxa" w:w="4252"/>
          </w:tcPr>
          <w:p>
            <w:r>
              <w:t>12%</w:t>
            </w:r>
          </w:p>
        </w:tc>
      </w:tr>
      <w:tr>
        <w:tc>
          <w:tcPr>
            <w:tcW w:type="dxa" w:w="4252"/>
          </w:tcPr>
          <w:p>
            <w:r>
              <w:t>Number of Partitions (m)</w:t>
            </w:r>
          </w:p>
        </w:tc>
        <w:tc>
          <w:tcPr>
            <w:tcW w:type="dxa" w:w="4252"/>
          </w:tcPr>
          <w:p>
            <w:r>
              <w:t>1</w:t>
            </w:r>
          </w:p>
        </w:tc>
      </w:tr>
      <w:tr>
        <w:tc>
          <w:tcPr>
            <w:tcW w:type="dxa" w:w="4252"/>
          </w:tcPr>
          <w:p>
            <w:r>
              <w:t>Notional Principal</w:t>
            </w:r>
          </w:p>
        </w:tc>
        <w:tc>
          <w:tcPr>
            <w:tcW w:type="dxa" w:w="4252"/>
          </w:tcPr>
          <w:p>
            <w:r>
              <w:t>100</w:t>
            </w:r>
          </w:p>
        </w:tc>
      </w:tr>
      <w:tr>
        <w:tc>
          <w:tcPr>
            <w:tcW w:type="dxa" w:w="4252"/>
          </w:tcPr>
          <w:p>
            <w:r>
              <w:t>Model Type</w:t>
            </w:r>
          </w:p>
        </w:tc>
        <w:tc>
          <w:tcPr>
            <w:tcW w:type="dxa" w:w="4252"/>
          </w:tcPr>
          <w:p>
            <w:r>
              <w:t>Constant Maturity Swap (Ho-Lee Framework)</w:t>
            </w:r>
          </w:p>
        </w:tc>
      </w:tr>
      <w:tr>
        <w:tc>
          <w:tcPr>
            <w:tcW w:type="dxa" w:w="4252"/>
          </w:tcPr>
          <w:p>
            <w:r>
              <w:t>Compounding Method</w:t>
            </w:r>
          </w:p>
        </w:tc>
        <w:tc>
          <w:tcPr>
            <w:tcW w:type="dxa" w:w="4252"/>
          </w:tcPr>
          <w:p>
            <w:r>
              <w:t>Continuous compounding</w:t>
            </w:r>
          </w:p>
        </w:tc>
      </w:tr>
      <w:tr>
        <w:tc>
          <w:tcPr>
            <w:tcW w:type="dxa" w:w="4252"/>
          </w:tcPr>
          <w:p>
            <w:r>
              <w:t>Term Structure</w:t>
            </w:r>
          </w:p>
        </w:tc>
        <w:tc>
          <w:tcPr>
            <w:tcW w:type="dxa" w:w="4252"/>
          </w:tcPr>
          <w:p>
            <w:r>
              <w:t>0-12 years</w:t>
            </w:r>
          </w:p>
        </w:tc>
      </w:tr>
    </w:tbl>
    <w:p>
      <w:pPr>
        <w:spacing w:before="240" w:after="120"/>
        <w:jc w:val="left"/>
      </w:pPr>
      <w:r>
        <w:rPr>
          <w:b/>
          <w:sz w:val="28"/>
        </w:rPr>
        <w:t>3. Term Structure Analysis</w:t>
      </w:r>
    </w:p>
    <w:p>
      <w:pPr>
        <w:spacing w:line="360" w:lineRule="auto"/>
        <w:ind w:firstLine="480"/>
      </w:pPr>
      <w:r>
        <w:rPr>
          <w:rFonts w:ascii="FangSong" w:hAnsi="FangSong" w:eastAsia="FangSong"/>
          <w:sz w:val="24"/>
        </w:rPr>
        <w:t>The initial yield curve is the foundational input of the model, determining the term structure of risk-free rates. This model assumes a flat yield curve, meaning the spot rate at all tenors is 10%.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</w:tblGrid>
      <w:tr>
        <w:tc>
          <w:tcPr>
            <w:tcW w:type="dxa" w:w="607"/>
          </w:tcPr>
          <w:p>
            <w:r>
              <w:rPr>
                <w:b/>
              </w:rPr>
              <w:t>Year</w:t>
            </w:r>
          </w:p>
        </w:tc>
        <w:tc>
          <w:tcPr>
            <w:tcW w:type="dxa" w:w="607"/>
          </w:tcPr>
          <w:p>
            <w:r>
              <w:rPr>
                <w:b/>
              </w:rPr>
              <w:t>0</w:t>
            </w:r>
          </w:p>
        </w:tc>
        <w:tc>
          <w:tcPr>
            <w:tcW w:type="dxa" w:w="607"/>
          </w:tcPr>
          <w:p>
            <w:r>
              <w:rPr>
                <w:b/>
              </w:rPr>
              <w:t>1</w:t>
            </w:r>
          </w:p>
        </w:tc>
        <w:tc>
          <w:tcPr>
            <w:tcW w:type="dxa" w:w="607"/>
          </w:tcPr>
          <w:p>
            <w:r>
              <w:rPr>
                <w:b/>
              </w:rPr>
              <w:t>2</w:t>
            </w:r>
          </w:p>
        </w:tc>
        <w:tc>
          <w:tcPr>
            <w:tcW w:type="dxa" w:w="607"/>
          </w:tcPr>
          <w:p>
            <w:r>
              <w:rPr>
                <w:b/>
              </w:rPr>
              <w:t>3</w:t>
            </w:r>
          </w:p>
        </w:tc>
        <w:tc>
          <w:tcPr>
            <w:tcW w:type="dxa" w:w="607"/>
          </w:tcPr>
          <w:p>
            <w:r>
              <w:rPr>
                <w:b/>
              </w:rPr>
              <w:t>4</w:t>
            </w:r>
          </w:p>
        </w:tc>
        <w:tc>
          <w:tcPr>
            <w:tcW w:type="dxa" w:w="607"/>
          </w:tcPr>
          <w:p>
            <w:r>
              <w:rPr>
                <w:b/>
              </w:rPr>
              <w:t>5</w:t>
            </w:r>
          </w:p>
        </w:tc>
        <w:tc>
          <w:tcPr>
            <w:tcW w:type="dxa" w:w="607"/>
          </w:tcPr>
          <w:p>
            <w:r>
              <w:rPr>
                <w:b/>
              </w:rPr>
              <w:t>6</w:t>
            </w:r>
          </w:p>
        </w:tc>
        <w:tc>
          <w:tcPr>
            <w:tcW w:type="dxa" w:w="607"/>
          </w:tcPr>
          <w:p>
            <w:r>
              <w:rPr>
                <w:b/>
              </w:rPr>
              <w:t>7</w:t>
            </w:r>
          </w:p>
        </w:tc>
        <w:tc>
          <w:tcPr>
            <w:tcW w:type="dxa" w:w="607"/>
          </w:tcPr>
          <w:p>
            <w:r>
              <w:rPr>
                <w:b/>
              </w:rPr>
              <w:t>8</w:t>
            </w:r>
          </w:p>
        </w:tc>
        <w:tc>
          <w:tcPr>
            <w:tcW w:type="dxa" w:w="607"/>
          </w:tcPr>
          <w:p>
            <w:r>
              <w:rPr>
                <w:b/>
              </w:rPr>
              <w:t>9</w:t>
            </w:r>
          </w:p>
        </w:tc>
        <w:tc>
          <w:tcPr>
            <w:tcW w:type="dxa" w:w="607"/>
          </w:tcPr>
          <w:p>
            <w:r>
              <w:rPr>
                <w:b/>
              </w:rPr>
              <w:t>10</w:t>
            </w:r>
          </w:p>
        </w:tc>
        <w:tc>
          <w:tcPr>
            <w:tcW w:type="dxa" w:w="607"/>
          </w:tcPr>
          <w:p>
            <w:r>
              <w:rPr>
                <w:b/>
              </w:rPr>
              <w:t>11</w:t>
            </w:r>
          </w:p>
        </w:tc>
        <w:tc>
          <w:tcPr>
            <w:tcW w:type="dxa" w:w="607"/>
          </w:tcPr>
          <w:p>
            <w:r>
              <w:rPr>
                <w:b/>
              </w:rPr>
              <w:t>12</w:t>
            </w:r>
          </w:p>
        </w:tc>
      </w:tr>
      <w:tr>
        <w:tc>
          <w:tcPr>
            <w:tcW w:type="dxa" w:w="607"/>
          </w:tcPr>
          <w:p>
            <w:r>
              <w:t>Yield</w:t>
            </w:r>
          </w:p>
        </w:tc>
        <w:tc>
          <w:tcPr>
            <w:tcW w:type="dxa" w:w="607"/>
          </w:tcPr>
          <w:p>
            <w:r>
              <w:t>10.0%</w:t>
            </w:r>
          </w:p>
        </w:tc>
        <w:tc>
          <w:tcPr>
            <w:tcW w:type="dxa" w:w="607"/>
          </w:tcPr>
          <w:p>
            <w:r>
              <w:t>10.0%</w:t>
            </w:r>
          </w:p>
        </w:tc>
        <w:tc>
          <w:tcPr>
            <w:tcW w:type="dxa" w:w="607"/>
          </w:tcPr>
          <w:p>
            <w:r>
              <w:t>10.0%</w:t>
            </w:r>
          </w:p>
        </w:tc>
        <w:tc>
          <w:tcPr>
            <w:tcW w:type="dxa" w:w="607"/>
          </w:tcPr>
          <w:p>
            <w:r>
              <w:t>10.0%</w:t>
            </w:r>
          </w:p>
        </w:tc>
        <w:tc>
          <w:tcPr>
            <w:tcW w:type="dxa" w:w="607"/>
          </w:tcPr>
          <w:p>
            <w:r>
              <w:t>10.0%</w:t>
            </w:r>
          </w:p>
        </w:tc>
        <w:tc>
          <w:tcPr>
            <w:tcW w:type="dxa" w:w="607"/>
          </w:tcPr>
          <w:p>
            <w:r>
              <w:t>10.0%</w:t>
            </w:r>
          </w:p>
        </w:tc>
        <w:tc>
          <w:tcPr>
            <w:tcW w:type="dxa" w:w="607"/>
          </w:tcPr>
          <w:p>
            <w:r>
              <w:t>10.0%</w:t>
            </w:r>
          </w:p>
        </w:tc>
        <w:tc>
          <w:tcPr>
            <w:tcW w:type="dxa" w:w="607"/>
          </w:tcPr>
          <w:p>
            <w:r>
              <w:t>10.0%</w:t>
            </w:r>
          </w:p>
        </w:tc>
        <w:tc>
          <w:tcPr>
            <w:tcW w:type="dxa" w:w="607"/>
          </w:tcPr>
          <w:p>
            <w:r>
              <w:t>10.0%</w:t>
            </w:r>
          </w:p>
        </w:tc>
        <w:tc>
          <w:tcPr>
            <w:tcW w:type="dxa" w:w="607"/>
          </w:tcPr>
          <w:p>
            <w:r>
              <w:t>10.0%</w:t>
            </w:r>
          </w:p>
        </w:tc>
        <w:tc>
          <w:tcPr>
            <w:tcW w:type="dxa" w:w="607"/>
          </w:tcPr>
          <w:p>
            <w:r>
              <w:t>10.0%</w:t>
            </w:r>
          </w:p>
        </w:tc>
        <w:tc>
          <w:tcPr>
            <w:tcW w:type="dxa" w:w="607"/>
          </w:tcPr>
          <w:p>
            <w:r>
              <w:t>10.0%</w:t>
            </w:r>
          </w:p>
        </w:tc>
        <w:tc>
          <w:tcPr>
            <w:tcW w:type="dxa" w:w="607"/>
          </w:tcPr>
          <w:p>
            <w:r>
              <w:t>10.0%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266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ield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</w:pPr>
      <w:r>
        <w:rPr>
          <w:rFonts w:ascii="FangSong" w:hAnsi="FangSong" w:eastAsia="FangSong"/>
          <w:sz w:val="24"/>
        </w:rPr>
        <w:t>A flat yield curve implies the market expects future short-term rates to remain stable, with no significant term premium. This is a simplifying assumption; in practice, yield curves typically exhibit an upward slope.</w:t>
      </w:r>
    </w:p>
    <w:p>
      <w:pPr>
        <w:spacing w:before="240" w:after="120"/>
        <w:jc w:val="left"/>
      </w:pPr>
      <w:r>
        <w:rPr>
          <w:b/>
          <w:sz w:val="28"/>
        </w:rPr>
        <w:t>4. Discount Function and Forward Prices</w:t>
      </w:r>
    </w:p>
    <w:p>
      <w:pPr>
        <w:spacing w:line="360" w:lineRule="auto"/>
        <w:ind w:firstLine="480"/>
      </w:pPr>
      <w:r>
        <w:rPr>
          <w:rFonts w:ascii="FangSong" w:hAnsi="FangSong" w:eastAsia="FangSong"/>
          <w:sz w:val="24"/>
        </w:rPr>
        <w:t>The discount function p(n) represents the present value of $1 received in n years, calculated as p(n) = exp(-n × r(n)), where r(n) is the n-year spot rate.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rPr>
                <w:b/>
              </w:rPr>
              <w:t>Year</w:t>
            </w:r>
          </w:p>
        </w:tc>
        <w:tc>
          <w:tcPr>
            <w:tcW w:type="dxa" w:w="4252"/>
          </w:tcPr>
          <w:p>
            <w:r>
              <w:rPr>
                <w:b/>
              </w:rPr>
              <w:t>Discount Factor p(n)</w:t>
            </w:r>
          </w:p>
        </w:tc>
      </w:tr>
      <w:tr>
        <w:tc>
          <w:tcPr>
            <w:tcW w:type="dxa" w:w="4252"/>
          </w:tcPr>
          <w:p>
            <w:r>
              <w:t>0</w:t>
            </w:r>
          </w:p>
        </w:tc>
        <w:tc>
          <w:tcPr>
            <w:tcW w:type="dxa" w:w="4252"/>
          </w:tcPr>
          <w:p>
            <w:r>
              <w:t>1.000000</w:t>
            </w:r>
          </w:p>
        </w:tc>
      </w:tr>
      <w:tr>
        <w:tc>
          <w:tcPr>
            <w:tcW w:type="dxa" w:w="4252"/>
          </w:tcPr>
          <w:p>
            <w:r>
              <w:t>1</w:t>
            </w:r>
          </w:p>
        </w:tc>
        <w:tc>
          <w:tcPr>
            <w:tcW w:type="dxa" w:w="4252"/>
          </w:tcPr>
          <w:p>
            <w:r>
              <w:t>0.904837</w:t>
            </w:r>
          </w:p>
        </w:tc>
      </w:tr>
      <w:tr>
        <w:tc>
          <w:tcPr>
            <w:tcW w:type="dxa" w:w="4252"/>
          </w:tcPr>
          <w:p>
            <w:r>
              <w:t>2</w:t>
            </w:r>
          </w:p>
        </w:tc>
        <w:tc>
          <w:tcPr>
            <w:tcW w:type="dxa" w:w="4252"/>
          </w:tcPr>
          <w:p>
            <w:r>
              <w:t>0.818731</w:t>
            </w:r>
          </w:p>
        </w:tc>
      </w:tr>
      <w:tr>
        <w:tc>
          <w:tcPr>
            <w:tcW w:type="dxa" w:w="4252"/>
          </w:tcPr>
          <w:p>
            <w:r>
              <w:t>3</w:t>
            </w:r>
          </w:p>
        </w:tc>
        <w:tc>
          <w:tcPr>
            <w:tcW w:type="dxa" w:w="4252"/>
          </w:tcPr>
          <w:p>
            <w:r>
              <w:t>0.740818</w:t>
            </w:r>
          </w:p>
        </w:tc>
      </w:tr>
      <w:tr>
        <w:tc>
          <w:tcPr>
            <w:tcW w:type="dxa" w:w="4252"/>
          </w:tcPr>
          <w:p>
            <w:r>
              <w:t>4</w:t>
            </w:r>
          </w:p>
        </w:tc>
        <w:tc>
          <w:tcPr>
            <w:tcW w:type="dxa" w:w="4252"/>
          </w:tcPr>
          <w:p>
            <w:r>
              <w:t>0.670320</w:t>
            </w:r>
          </w:p>
        </w:tc>
      </w:tr>
      <w:tr>
        <w:tc>
          <w:tcPr>
            <w:tcW w:type="dxa" w:w="4252"/>
          </w:tcPr>
          <w:p>
            <w:r>
              <w:t>5</w:t>
            </w:r>
          </w:p>
        </w:tc>
        <w:tc>
          <w:tcPr>
            <w:tcW w:type="dxa" w:w="4252"/>
          </w:tcPr>
          <w:p>
            <w:r>
              <w:t>0.606531</w:t>
            </w:r>
          </w:p>
        </w:tc>
      </w:tr>
      <w:tr>
        <w:tc>
          <w:tcPr>
            <w:tcW w:type="dxa" w:w="4252"/>
          </w:tcPr>
          <w:p>
            <w:r>
              <w:t>6</w:t>
            </w:r>
          </w:p>
        </w:tc>
        <w:tc>
          <w:tcPr>
            <w:tcW w:type="dxa" w:w="4252"/>
          </w:tcPr>
          <w:p>
            <w:r>
              <w:t>0.548812</w:t>
            </w:r>
          </w:p>
        </w:tc>
      </w:tr>
    </w:tbl>
    <w:p>
      <w:pPr>
        <w:spacing w:line="360" w:lineRule="auto"/>
        <w:ind w:firstLine="480"/>
      </w:pPr>
      <w:r>
        <w:rPr>
          <w:rFonts w:ascii="FangSong" w:hAnsi="FangSong" w:eastAsia="FangSong"/>
          <w:sz w:val="24"/>
        </w:rPr>
        <w:t>As maturity increases, the discount factor decreases, reflecting the time value of money. Under a flat 10% yield curve, the discount factor decays exponentially.</w:t>
      </w:r>
    </w:p>
    <w:p>
      <w:pPr>
        <w:spacing w:before="240" w:after="120"/>
        <w:jc w:val="left"/>
      </w:pPr>
      <w:r>
        <w:rPr>
          <w:b/>
          <w:sz w:val="28"/>
        </w:rPr>
        <w:t>5. Risk Disclosure and Model Limitations</w:t>
      </w:r>
    </w:p>
    <w:p>
      <w:pPr>
        <w:spacing w:line="360" w:lineRule="auto"/>
        <w:ind w:firstLine="480"/>
      </w:pPr>
      <w:r>
        <w:rPr>
          <w:rFonts w:ascii="FangSong" w:hAnsi="FangSong" w:eastAsia="FangSong"/>
          <w:sz w:val="24"/>
        </w:rPr>
        <w:t>The key assumptions and limitations of this model include:</w:t>
      </w:r>
    </w:p>
    <w:p>
      <w:pPr>
        <w:pStyle w:val="ListBullet"/>
      </w:pPr>
      <w:r>
        <w:rPr>
          <w:rFonts w:ascii="FangSong" w:hAnsi="FangSong" w:eastAsia="FangSong"/>
          <w:sz w:val="24"/>
        </w:rPr>
        <w:t>The interest rate volatility is assumed constant (σS = 12%); in practice, volatility varies with tenor (volatility smile/term structure)</w:t>
      </w:r>
    </w:p>
    <w:p>
      <w:pPr>
        <w:pStyle w:val="ListBullet"/>
      </w:pPr>
      <w:r>
        <w:rPr>
          <w:rFonts w:ascii="FangSong" w:hAnsi="FangSong" w:eastAsia="FangSong"/>
          <w:sz w:val="24"/>
        </w:rPr>
        <w:t>The Ho-Lee model permits negative interest rates, which may produce unreasonable pricing in low-rate environments</w:t>
      </w:r>
    </w:p>
    <w:p>
      <w:pPr>
        <w:pStyle w:val="ListBullet"/>
      </w:pPr>
      <w:r>
        <w:rPr>
          <w:rFonts w:ascii="FangSong" w:hAnsi="FangSong" w:eastAsia="FangSong"/>
          <w:sz w:val="24"/>
        </w:rPr>
        <w:t>The model assumes a lognormal distribution, potentially underestimating tail risks (extreme rate movements)</w:t>
      </w:r>
    </w:p>
    <w:p>
      <w:pPr>
        <w:pStyle w:val="ListBullet"/>
      </w:pPr>
      <w:r>
        <w:rPr>
          <w:rFonts w:ascii="FangSong" w:hAnsi="FangSong" w:eastAsia="FangSong"/>
          <w:sz w:val="24"/>
        </w:rPr>
        <w:t>The flat yield curve assumption is overly simplified; actual applications should use market-observed term structures</w:t>
      </w:r>
    </w:p>
    <w:p>
      <w:pPr>
        <w:pStyle w:val="ListBullet"/>
      </w:pPr>
      <w:r>
        <w:rPr>
          <w:rFonts w:ascii="FangSong" w:hAnsi="FangSong" w:eastAsia="FangSong"/>
          <w:sz w:val="24"/>
        </w:rPr>
        <w:t>Credit risk and counterparty default risk are not considered</w:t>
      </w:r>
    </w:p>
    <w:p>
      <w:pPr>
        <w:pStyle w:val="ListBullet"/>
      </w:pPr>
      <w:r>
        <w:rPr>
          <w:rFonts w:ascii="FangSong" w:hAnsi="FangSong" w:eastAsia="FangSong"/>
          <w:sz w:val="24"/>
        </w:rPr>
        <w:t>The model assumes continuous compounding and continuous trading, which deviates from discrete market transactions</w:t>
      </w:r>
    </w:p>
    <w:sectPr w:rsidR="00FC693F" w:rsidRPr="0006063C" w:rsidSect="00034616">
      <w:footerReference w:type="default" r:id="rId9"/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FangSong" w:hAnsi="FangSong" w:eastAsia="FangSong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