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Managed Communications Agreement — MSA-2/MSA-3</w:t>
      </w:r>
    </w:p>
    <w:p>
      <w:pPr>
        <w:pStyle w:val="Heading1"/>
      </w:pPr>
      <w:r>
        <w:t>1. Scope and effective versions</w:t>
      </w:r>
    </w:p>
    <w:p>
      <w:r>
        <w:t>Service scope is determined by account tier and the effective migration amendment. An incident outside the subscribed region does not qualify.</w:t>
      </w:r>
    </w:p>
    <w:p>
      <w:pPr>
        <w:pStyle w:val="Heading1"/>
      </w:pPr>
      <w:r>
        <w:t>2. Usage and commitment billing</w:t>
      </w:r>
    </w:p>
    <w:p>
      <w:r>
        <w:t>Invoice charge is the greater of measured usage times the applicable tier rate and the monthly commitment, plus disclosed migration charges, less credits, plus taxes and fees.</w:t>
      </w:r>
    </w:p>
    <w:p>
      <w:pPr>
        <w:pStyle w:val="Heading1"/>
      </w:pPr>
      <w:r>
        <w:t>3. SLA credit</w:t>
      </w:r>
    </w:p>
    <w:p>
      <w:r>
        <w:t>Eligible unplanned unavailability is measured by subscribed region after exclusions. Credit uses affected monthly recurring charge, is capped at 25%, and prior provisional credits are deducted in true-up.</w:t>
      </w:r>
    </w:p>
    <w:p>
      <w:pPr>
        <w:pStyle w:val="Heading1"/>
      </w:pPr>
      <w:r>
        <w:t>4. Notice and evidence</w:t>
      </w:r>
    </w:p>
    <w:p>
      <w:r>
        <w:t>Claims must be filed within 30 calendar days of invoice date. Monitoring, incident, ticket, and invoice evidence must agree in scope; a customer screenshot or manager note alone is not dispositive.</w:t>
      </w:r>
    </w:p>
    <w:p>
      <w:pPr>
        <w:pStyle w:val="Heading1"/>
      </w:pPr>
      <w:r>
        <w:t>5. Resolution</w:t>
      </w:r>
    </w:p>
    <w:p>
      <w:r>
        <w:t>Billing, Network Operations, Legal, and Customer Success approvals follow the responsibility and capacity schedule supplied with the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