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32"/>
        </w:rPr>
        <w:t>Interest Rate Swap Pricing Analysis Report</w:t>
      </w:r>
    </w:p>
    <w:p>
      <w:pPr>
        <w:spacing w:before="240" w:after="120"/>
        <w:jc w:val="left"/>
      </w:pPr>
      <w:r>
        <w:rPr>
          <w:b/>
          <w:sz w:val="28"/>
        </w:rPr>
        <w:t>1. Model Overview and Pricing Conclusion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This report presents a pricing analysis of a Constant Maturity Swap based on the Ho-Lee no-arbitrage interest rate model. The model constructs an interest rate lattice using a binomial tree approach, determining rate levels at each node through no-arbitrage conditions to calculate the fair value of the swap contract.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Core assumptions include: a flat initial yield curve (all tenors at 10%), lognormal spot volatility of 12%, number of partitions m=1, and notional principal of 100. Under these parameters, the model computes swap lattice values at each node.</w:t>
      </w:r>
    </w:p>
    <w:p>
      <w:pPr>
        <w:spacing w:before="240" w:after="120"/>
        <w:jc w:val="left"/>
      </w:pPr>
      <w:r>
        <w:rPr>
          <w:b/>
          <w:sz w:val="28"/>
        </w:rPr>
        <w:t>2. Model Input Parameters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following table summarizes the core input parameters of the model: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2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252"/>
          </w:tcPr>
          <w:p>
            <w:r>
              <w:t>Initial Yield Curve</w:t>
            </w:r>
          </w:p>
        </w:tc>
        <w:tc>
          <w:tcPr>
            <w:tcW w:type="dxa" w:w="4252"/>
          </w:tcPr>
          <w:p>
            <w:r>
              <w:t>Flat at 10% (all tenors)</w:t>
            </w:r>
          </w:p>
        </w:tc>
      </w:tr>
      <w:tr>
        <w:tc>
          <w:tcPr>
            <w:tcW w:type="dxa" w:w="4252"/>
          </w:tcPr>
          <w:p>
            <w:r>
              <w:t>Lognormal Spot Volatility (σS)</w:t>
            </w:r>
          </w:p>
        </w:tc>
        <w:tc>
          <w:tcPr>
            <w:tcW w:type="dxa" w:w="4252"/>
          </w:tcPr>
          <w:p>
            <w:r>
              <w:t>12%</w:t>
            </w:r>
          </w:p>
        </w:tc>
      </w:tr>
      <w:tr>
        <w:tc>
          <w:tcPr>
            <w:tcW w:type="dxa" w:w="4252"/>
          </w:tcPr>
          <w:p>
            <w:r>
              <w:t>Number of Partitions (m)</w:t>
            </w:r>
          </w:p>
        </w:tc>
        <w:tc>
          <w:tcPr>
            <w:tcW w:type="dxa" w:w="4252"/>
          </w:tcPr>
          <w:p>
            <w:r>
              <w:t>1</w:t>
            </w:r>
          </w:p>
        </w:tc>
      </w:tr>
      <w:tr>
        <w:tc>
          <w:tcPr>
            <w:tcW w:type="dxa" w:w="4252"/>
          </w:tcPr>
          <w:p>
            <w:r>
              <w:t>Notional Principal</w:t>
            </w:r>
          </w:p>
        </w:tc>
        <w:tc>
          <w:tcPr>
            <w:tcW w:type="dxa" w:w="4252"/>
          </w:tcPr>
          <w:p>
            <w:r>
              <w:t>100</w:t>
            </w:r>
          </w:p>
        </w:tc>
      </w:tr>
      <w:tr>
        <w:tc>
          <w:tcPr>
            <w:tcW w:type="dxa" w:w="4252"/>
          </w:tcPr>
          <w:p>
            <w:r>
              <w:t>Model Type</w:t>
            </w:r>
          </w:p>
        </w:tc>
        <w:tc>
          <w:tcPr>
            <w:tcW w:type="dxa" w:w="4252"/>
          </w:tcPr>
          <w:p>
            <w:r>
              <w:t>Constant Maturity Swap (Ho-Lee Framework)</w:t>
            </w:r>
          </w:p>
        </w:tc>
      </w:tr>
      <w:tr>
        <w:tc>
          <w:tcPr>
            <w:tcW w:type="dxa" w:w="4252"/>
          </w:tcPr>
          <w:p>
            <w:r>
              <w:t>Compounding Method</w:t>
            </w:r>
          </w:p>
        </w:tc>
        <w:tc>
          <w:tcPr>
            <w:tcW w:type="dxa" w:w="4252"/>
          </w:tcPr>
          <w:p>
            <w:r>
              <w:t>Continuous compounding</w:t>
            </w:r>
          </w:p>
        </w:tc>
      </w:tr>
      <w:tr>
        <w:tc>
          <w:tcPr>
            <w:tcW w:type="dxa" w:w="4252"/>
          </w:tcPr>
          <w:p>
            <w:r>
              <w:t>Term Structure</w:t>
            </w:r>
          </w:p>
        </w:tc>
        <w:tc>
          <w:tcPr>
            <w:tcW w:type="dxa" w:w="4252"/>
          </w:tcPr>
          <w:p>
            <w:r>
              <w:t>0-12 years</w:t>
            </w:r>
          </w:p>
        </w:tc>
      </w:tr>
    </w:tbl>
    <w:p>
      <w:pPr>
        <w:spacing w:before="240" w:after="120"/>
        <w:jc w:val="left"/>
      </w:pPr>
      <w:r>
        <w:rPr>
          <w:b/>
          <w:sz w:val="28"/>
        </w:rPr>
        <w:t>3. Term Structure Analysis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initial yield curve is the foundational input of the model, determining the term structure of risk-free rates. This model assumes a flat yield curve, meaning the spot rate at all tenors is 10%.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>
        <w:tc>
          <w:tcPr>
            <w:tcW w:type="dxa" w:w="607"/>
          </w:tcPr>
          <w:p>
            <w:r>
              <w:rPr>
                <w:b/>
              </w:rPr>
              <w:t>Year</w:t>
            </w:r>
          </w:p>
        </w:tc>
        <w:tc>
          <w:tcPr>
            <w:tcW w:type="dxa" w:w="607"/>
          </w:tcPr>
          <w:p>
            <w:r>
              <w:rPr>
                <w:b/>
              </w:rPr>
              <w:t>0</w:t>
            </w:r>
          </w:p>
        </w:tc>
        <w:tc>
          <w:tcPr>
            <w:tcW w:type="dxa" w:w="607"/>
          </w:tcPr>
          <w:p>
            <w:r>
              <w:rPr>
                <w:b/>
              </w:rPr>
              <w:t>1</w:t>
            </w:r>
          </w:p>
        </w:tc>
        <w:tc>
          <w:tcPr>
            <w:tcW w:type="dxa" w:w="607"/>
          </w:tcPr>
          <w:p>
            <w:r>
              <w:rPr>
                <w:b/>
              </w:rPr>
              <w:t>2</w:t>
            </w:r>
          </w:p>
        </w:tc>
        <w:tc>
          <w:tcPr>
            <w:tcW w:type="dxa" w:w="607"/>
          </w:tcPr>
          <w:p>
            <w:r>
              <w:rPr>
                <w:b/>
              </w:rPr>
              <w:t>3</w:t>
            </w:r>
          </w:p>
        </w:tc>
        <w:tc>
          <w:tcPr>
            <w:tcW w:type="dxa" w:w="607"/>
          </w:tcPr>
          <w:p>
            <w:r>
              <w:rPr>
                <w:b/>
              </w:rPr>
              <w:t>4</w:t>
            </w:r>
          </w:p>
        </w:tc>
        <w:tc>
          <w:tcPr>
            <w:tcW w:type="dxa" w:w="607"/>
          </w:tcPr>
          <w:p>
            <w:r>
              <w:rPr>
                <w:b/>
              </w:rPr>
              <w:t>5</w:t>
            </w:r>
          </w:p>
        </w:tc>
        <w:tc>
          <w:tcPr>
            <w:tcW w:type="dxa" w:w="607"/>
          </w:tcPr>
          <w:p>
            <w:r>
              <w:rPr>
                <w:b/>
              </w:rPr>
              <w:t>6</w:t>
            </w:r>
          </w:p>
        </w:tc>
        <w:tc>
          <w:tcPr>
            <w:tcW w:type="dxa" w:w="607"/>
          </w:tcPr>
          <w:p>
            <w:r>
              <w:rPr>
                <w:b/>
              </w:rPr>
              <w:t>7</w:t>
            </w:r>
          </w:p>
        </w:tc>
        <w:tc>
          <w:tcPr>
            <w:tcW w:type="dxa" w:w="607"/>
          </w:tcPr>
          <w:p>
            <w:r>
              <w:rPr>
                <w:b/>
              </w:rPr>
              <w:t>8</w:t>
            </w:r>
          </w:p>
        </w:tc>
        <w:tc>
          <w:tcPr>
            <w:tcW w:type="dxa" w:w="607"/>
          </w:tcPr>
          <w:p>
            <w:r>
              <w:rPr>
                <w:b/>
              </w:rPr>
              <w:t>9</w:t>
            </w:r>
          </w:p>
        </w:tc>
        <w:tc>
          <w:tcPr>
            <w:tcW w:type="dxa" w:w="607"/>
          </w:tcPr>
          <w:p>
            <w:r>
              <w:rPr>
                <w:b/>
              </w:rPr>
              <w:t>10</w:t>
            </w:r>
          </w:p>
        </w:tc>
        <w:tc>
          <w:tcPr>
            <w:tcW w:type="dxa" w:w="607"/>
          </w:tcPr>
          <w:p>
            <w:r>
              <w:rPr>
                <w:b/>
              </w:rPr>
              <w:t>11</w:t>
            </w:r>
          </w:p>
        </w:tc>
        <w:tc>
          <w:tcPr>
            <w:tcW w:type="dxa" w:w="607"/>
          </w:tcPr>
          <w:p>
            <w:r>
              <w:rPr>
                <w:b/>
              </w:rPr>
              <w:t>12</w:t>
            </w:r>
          </w:p>
        </w:tc>
      </w:tr>
      <w:tr>
        <w:tc>
          <w:tcPr>
            <w:tcW w:type="dxa" w:w="607"/>
          </w:tcPr>
          <w:p>
            <w:r>
              <w:t>Yield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6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eld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A flat yield curve implies the market expects future short-term rates to remain stable, with no significant term premium. This is a simplifying assumption; in practice, yield curves typically exhibit an upward slope.</w:t>
      </w:r>
    </w:p>
    <w:p>
      <w:pPr>
        <w:spacing w:before="240" w:after="120"/>
        <w:jc w:val="left"/>
      </w:pPr>
      <w:r>
        <w:rPr>
          <w:b/>
          <w:sz w:val="28"/>
        </w:rPr>
        <w:t>4. Discount Function and Forward Prices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discount function p(n) represents the present value of $1 received in n years, calculated as p(n) = exp(-n × r(n)), where r(n) is the n-year spot rate.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252"/>
          </w:tcPr>
          <w:p>
            <w:r>
              <w:rPr>
                <w:b/>
              </w:rPr>
              <w:t>Discount Factor p(n)</w:t>
            </w:r>
          </w:p>
        </w:tc>
      </w:tr>
      <w:tr>
        <w:tc>
          <w:tcPr>
            <w:tcW w:type="dxa" w:w="4252"/>
          </w:tcPr>
          <w:p>
            <w:r>
              <w:t>0</w:t>
            </w:r>
          </w:p>
        </w:tc>
        <w:tc>
          <w:tcPr>
            <w:tcW w:type="dxa" w:w="4252"/>
          </w:tcPr>
          <w:p>
            <w:r>
              <w:t>1.000000</w:t>
            </w:r>
          </w:p>
        </w:tc>
      </w:tr>
      <w:tr>
        <w:tc>
          <w:tcPr>
            <w:tcW w:type="dxa" w:w="4252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0.904837</w:t>
            </w:r>
          </w:p>
        </w:tc>
      </w:tr>
      <w:tr>
        <w:tc>
          <w:tcPr>
            <w:tcW w:type="dxa" w:w="4252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0.818731</w:t>
            </w:r>
          </w:p>
        </w:tc>
      </w:tr>
      <w:tr>
        <w:tc>
          <w:tcPr>
            <w:tcW w:type="dxa" w:w="4252"/>
          </w:tcPr>
          <w:p>
            <w:r>
              <w:t>3</w:t>
            </w:r>
          </w:p>
        </w:tc>
        <w:tc>
          <w:tcPr>
            <w:tcW w:type="dxa" w:w="4252"/>
          </w:tcPr>
          <w:p>
            <w:r>
              <w:t>0.740818</w:t>
            </w:r>
          </w:p>
        </w:tc>
      </w:tr>
      <w:tr>
        <w:tc>
          <w:tcPr>
            <w:tcW w:type="dxa" w:w="4252"/>
          </w:tcPr>
          <w:p>
            <w:r>
              <w:t>4</w:t>
            </w:r>
          </w:p>
        </w:tc>
        <w:tc>
          <w:tcPr>
            <w:tcW w:type="dxa" w:w="4252"/>
          </w:tcPr>
          <w:p>
            <w:r>
              <w:t>0.670320</w:t>
            </w:r>
          </w:p>
        </w:tc>
      </w:tr>
      <w:tr>
        <w:tc>
          <w:tcPr>
            <w:tcW w:type="dxa" w:w="4252"/>
          </w:tcPr>
          <w:p>
            <w:r>
              <w:t>5</w:t>
            </w:r>
          </w:p>
        </w:tc>
        <w:tc>
          <w:tcPr>
            <w:tcW w:type="dxa" w:w="4252"/>
          </w:tcPr>
          <w:p>
            <w:r>
              <w:t>0.606531</w:t>
            </w:r>
          </w:p>
        </w:tc>
      </w:tr>
      <w:tr>
        <w:tc>
          <w:tcPr>
            <w:tcW w:type="dxa" w:w="4252"/>
          </w:tcPr>
          <w:p>
            <w:r>
              <w:t>6</w:t>
            </w:r>
          </w:p>
        </w:tc>
        <w:tc>
          <w:tcPr>
            <w:tcW w:type="dxa" w:w="4252"/>
          </w:tcPr>
          <w:p>
            <w:r>
              <w:t>0.548812</w:t>
            </w:r>
          </w:p>
        </w:tc>
      </w:tr>
    </w:tbl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As maturity increases, the discount factor decreases, reflecting the time value of money. Under a flat 10% yield curve, the discount factor decays exponentially.</w:t>
      </w:r>
    </w:p>
    <w:p>
      <w:pPr>
        <w:spacing w:before="240" w:after="120"/>
        <w:jc w:val="left"/>
      </w:pPr>
      <w:r>
        <w:rPr>
          <w:b/>
          <w:sz w:val="28"/>
        </w:rPr>
        <w:t>5. Risk Disclosure and Model Limitations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key assumptions and limitations of this model include: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interest rate volatility is assumed constant (σS = 12%); in practice, volatility varies with tenor (volatility smile/term structure)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Ho-Lee model permits negative interest rates, which may produce unreasonable pricing in low-rate environments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model assumes a lognormal distribution, potentially underestimating tail risks (extreme rate movements)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flat yield curve assumption is overly simplified; actual applications should use market-observed term structures</w:t>
      </w:r>
    </w:p>
    <w:p>
      <w:pPr>
        <w:pStyle w:val="ListBullet"/>
      </w:pPr>
      <w:r>
        <w:rPr>
          <w:rFonts w:ascii="FangSong" w:hAnsi="FangSong" w:eastAsia="FangSong"/>
          <w:sz w:val="24"/>
        </w:rPr>
        <w:t>Credit risk and counterparty default risk are not considered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model assumes continuous compounding and continuous trading, which deviates from discrete market transactions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