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B459D" w14:textId="64D32EC8" w:rsidR="00240D13" w:rsidRPr="00D96FBF" w:rsidRDefault="00240D13">
      <w:pPr>
        <w:rPr>
          <w:sz w:val="28"/>
          <w:szCs w:val="28"/>
        </w:rPr>
      </w:pPr>
      <w:r w:rsidRPr="00D96FBF">
        <w:rPr>
          <w:sz w:val="28"/>
          <w:szCs w:val="28"/>
        </w:rPr>
        <w:t>Auswahl des geeigneten Robotertyps</w:t>
      </w:r>
    </w:p>
    <w:p w14:paraId="6FBE6011" w14:textId="230FFD37" w:rsidR="00AE2F9A" w:rsidRPr="00AE2F9A" w:rsidRDefault="00B43965" w:rsidP="00AE2F9A">
      <w:bookmarkStart w:id="0" w:name="_Hlk157616049"/>
      <w:r>
        <w:rPr>
          <w:rFonts w:ascii="Arial" w:hAnsi="Arial"/>
          <w:b/>
          <w:bCs/>
        </w:rPr>
        <w:t>I</w:t>
      </w:r>
      <w:r w:rsidR="00240D13">
        <w:rPr>
          <w:rFonts w:ascii="Arial" w:hAnsi="Arial"/>
          <w:b/>
          <w:bCs/>
        </w:rPr>
        <w:t>. Logistik und Materialtransport (</w:t>
      </w:r>
      <w:proofErr w:type="spellStart"/>
      <w:r w:rsidR="00240D13">
        <w:rPr>
          <w:rFonts w:ascii="Arial" w:hAnsi="Arial"/>
          <w:b/>
          <w:bCs/>
        </w:rPr>
        <w:t>RelayRx</w:t>
      </w:r>
      <w:proofErr w:type="spellEnd"/>
      <w:r w:rsidR="00240D13">
        <w:rPr>
          <w:rFonts w:ascii="Arial" w:hAnsi="Arial"/>
          <w:b/>
          <w:bCs/>
        </w:rPr>
        <w:t xml:space="preserve"> / MiR100):</w:t>
      </w:r>
    </w:p>
    <w:bookmarkEnd w:id="0"/>
    <w:p w14:paraId="75786D59" w14:textId="77777777" w:rsidR="00AE2F9A" w:rsidRPr="00AE2F9A" w:rsidRDefault="00AE2F9A" w:rsidP="00AE2F9A">
      <w:r w:rsidRPr="00AE2F9A">
        <w:rPr>
          <w:b/>
          <w:bCs/>
        </w:rPr>
        <w:t>1. Benutzerfreundlichkeit (16% Gewichtung):</w:t>
      </w:r>
    </w:p>
    <w:p w14:paraId="2807F53B" w14:textId="52A927A7" w:rsidR="00AE2F9A" w:rsidRPr="00AE2F9A" w:rsidRDefault="00AE2F9A" w:rsidP="00AE2F9A">
      <w:pPr>
        <w:numPr>
          <w:ilvl w:val="0"/>
          <w:numId w:val="9"/>
        </w:numPr>
      </w:pPr>
      <w:r w:rsidRPr="00AE2F9A">
        <w:t xml:space="preserve">Der </w:t>
      </w:r>
      <w:proofErr w:type="spellStart"/>
      <w:r w:rsidRPr="00AE2F9A">
        <w:t>RelayRx</w:t>
      </w:r>
      <w:proofErr w:type="spellEnd"/>
      <w:r w:rsidRPr="00AE2F9A">
        <w:t xml:space="preserve"> erzielte eine Punktzahl von 10 im Vergleich zu 9 für den MiR100. Dieser Vorsprung in der Benutzerfreundlichkeit ist entscheidend, da eine intuitive und einfache Bedienung des Roboters die Effizienz erhöht und die Einarbeitungszeit für das Personal verringert. </w:t>
      </w:r>
    </w:p>
    <w:p w14:paraId="5457A2B0" w14:textId="77777777" w:rsidR="00AE2F9A" w:rsidRPr="00AE2F9A" w:rsidRDefault="00AE2F9A" w:rsidP="00AE2F9A">
      <w:r w:rsidRPr="00AE2F9A">
        <w:rPr>
          <w:b/>
          <w:bCs/>
        </w:rPr>
        <w:t>2. Datenschutz und Sicherheit (16% Gewichtung):</w:t>
      </w:r>
    </w:p>
    <w:p w14:paraId="4DC52987" w14:textId="14439340" w:rsidR="00240D13" w:rsidRPr="00AE2F9A" w:rsidRDefault="00AE2F9A" w:rsidP="00687D2E">
      <w:pPr>
        <w:numPr>
          <w:ilvl w:val="0"/>
          <w:numId w:val="10"/>
        </w:numPr>
        <w:rPr>
          <w:b/>
          <w:bCs/>
        </w:rPr>
      </w:pPr>
      <w:r w:rsidRPr="00AE2F9A">
        <w:t xml:space="preserve">Im Bereich Datenschutz und Sicherheit übertraf der </w:t>
      </w:r>
      <w:proofErr w:type="spellStart"/>
      <w:r w:rsidRPr="00AE2F9A">
        <w:t>RelayRx</w:t>
      </w:r>
      <w:proofErr w:type="spellEnd"/>
      <w:r w:rsidRPr="00AE2F9A">
        <w:t xml:space="preserve"> den MiR100 mit einer Punktzahl von 9 zu 8. Dieser Vorteil ist besonders relevant in einem Arbeitsumfeld, das zunehmend von Datenschutzbedenken und der Notwendigkeit einer sicheren Handhabung sensibler Informationen geprägt ist. </w:t>
      </w:r>
    </w:p>
    <w:p w14:paraId="06613B69" w14:textId="3413F47C" w:rsidR="00AE2F9A" w:rsidRDefault="000C2C72" w:rsidP="00AE2F9A">
      <w:r w:rsidRPr="000C2C72">
        <w:br/>
      </w:r>
      <w:proofErr w:type="spellStart"/>
      <w:r w:rsidRPr="000C2C72">
        <w:t>RelayRx</w:t>
      </w:r>
      <w:proofErr w:type="spellEnd"/>
      <w:r w:rsidRPr="000C2C72">
        <w:t xml:space="preserve"> gewinnt in "Logistik und Materialtransport" knapp mit 853 Punkten gegenüber 841 Punkten für MiR100, dank seiner überlegenen Benutzerfreundlichkeit und Datenschutzmaßnahmen.</w:t>
      </w:r>
    </w:p>
    <w:p w14:paraId="27A5575B" w14:textId="77777777" w:rsidR="000C2C72" w:rsidRDefault="000C2C72" w:rsidP="00AE2F9A"/>
    <w:p w14:paraId="7B7F5887" w14:textId="77777777" w:rsidR="000C2C72" w:rsidRPr="00AE2F9A" w:rsidRDefault="000C2C72" w:rsidP="00AE2F9A">
      <w:pPr>
        <w:rPr>
          <w:b/>
          <w:bCs/>
        </w:rPr>
      </w:pPr>
    </w:p>
    <w:p w14:paraId="68608F74" w14:textId="4B9C6528" w:rsidR="00D96FBF" w:rsidRPr="00D96FBF" w:rsidRDefault="00B43965" w:rsidP="00D96FBF">
      <w:pPr>
        <w:suppressAutoHyphens/>
        <w:autoSpaceDN w:val="0"/>
        <w:spacing w:after="0" w:line="240" w:lineRule="auto"/>
        <w:rPr>
          <w:rFonts w:ascii="Arial" w:eastAsia="NSimSun" w:hAnsi="Arial" w:cs="Arial"/>
          <w:b/>
          <w:bCs/>
          <w:kern w:val="3"/>
          <w:lang w:eastAsia="zh-CN" w:bidi="hi-IN"/>
          <w14:ligatures w14:val="none"/>
        </w:rPr>
      </w:pPr>
      <w:r>
        <w:rPr>
          <w:rFonts w:ascii="Arial" w:eastAsia="NSimSun" w:hAnsi="Arial" w:cs="Arial"/>
          <w:b/>
          <w:bCs/>
          <w:kern w:val="3"/>
          <w:lang w:eastAsia="zh-CN" w:bidi="hi-IN"/>
          <w14:ligatures w14:val="none"/>
        </w:rPr>
        <w:t>II</w:t>
      </w:r>
      <w:r w:rsidR="004A59EE" w:rsidRPr="004A59EE">
        <w:rPr>
          <w:rFonts w:ascii="Arial" w:eastAsia="NSimSun" w:hAnsi="Arial" w:cs="Arial"/>
          <w:b/>
          <w:bCs/>
          <w:kern w:val="3"/>
          <w:lang w:eastAsia="zh-CN" w:bidi="hi-IN"/>
          <w14:ligatures w14:val="none"/>
        </w:rPr>
        <w:t>. Unterstützung bei täglichen Aufgaben (</w:t>
      </w:r>
      <w:proofErr w:type="spellStart"/>
      <w:r w:rsidR="004A59EE" w:rsidRPr="004A59EE">
        <w:rPr>
          <w:rFonts w:ascii="Arial" w:eastAsia="NSimSun" w:hAnsi="Arial" w:cs="Arial"/>
          <w:b/>
          <w:bCs/>
          <w:kern w:val="3"/>
          <w:lang w:eastAsia="zh-CN" w:bidi="hi-IN"/>
          <w14:ligatures w14:val="none"/>
        </w:rPr>
        <w:t>PuDu</w:t>
      </w:r>
      <w:proofErr w:type="spellEnd"/>
      <w:r w:rsidR="004A59EE" w:rsidRPr="004A59EE">
        <w:rPr>
          <w:rFonts w:ascii="Arial" w:eastAsia="NSimSun" w:hAnsi="Arial" w:cs="Arial"/>
          <w:b/>
          <w:bCs/>
          <w:kern w:val="3"/>
          <w:lang w:eastAsia="zh-CN" w:bidi="hi-IN"/>
          <w14:ligatures w14:val="none"/>
        </w:rPr>
        <w:t xml:space="preserve"> CC1 / HSR Toyota):</w:t>
      </w:r>
      <w:r w:rsidR="00D96FBF" w:rsidRPr="00D96FBF">
        <w:br/>
      </w:r>
    </w:p>
    <w:p w14:paraId="688C2474" w14:textId="62BD290C" w:rsidR="00D96FBF" w:rsidRPr="00D96FBF" w:rsidRDefault="00D96FBF" w:rsidP="00D96FBF">
      <w:r>
        <w:rPr>
          <w:b/>
          <w:bCs/>
        </w:rPr>
        <w:t>1</w:t>
      </w:r>
      <w:r w:rsidRPr="00D96FBF">
        <w:rPr>
          <w:b/>
          <w:bCs/>
        </w:rPr>
        <w:t>. Datenschutz und Sicherheit (16% Gewichtung):</w:t>
      </w:r>
    </w:p>
    <w:p w14:paraId="635F5932" w14:textId="77777777" w:rsidR="00D96FBF" w:rsidRPr="00D96FBF" w:rsidRDefault="00D96FBF" w:rsidP="00D96FBF">
      <w:pPr>
        <w:numPr>
          <w:ilvl w:val="0"/>
          <w:numId w:val="11"/>
        </w:numPr>
      </w:pPr>
      <w:r w:rsidRPr="00D96FBF">
        <w:t xml:space="preserve">Der </w:t>
      </w:r>
      <w:proofErr w:type="spellStart"/>
      <w:r w:rsidRPr="00D96FBF">
        <w:t>PuDu</w:t>
      </w:r>
      <w:proofErr w:type="spellEnd"/>
      <w:r w:rsidRPr="00D96FBF">
        <w:t xml:space="preserve"> CC1 erhielt mit 10 Punkten eine perfekte Bewertung in Datenschutz und Sicherheit, während der HSR Toyota nur 6 Punkte erreichte. In einer Umgebung, in der Datenschutz und die sichere Handhabung von Informationen von höchster Bedeutung sind, stellt dies einen entscheidenden Vorteil dar.</w:t>
      </w:r>
    </w:p>
    <w:p w14:paraId="5BEDB1F2" w14:textId="65F69A18" w:rsidR="00D96FBF" w:rsidRPr="00D96FBF" w:rsidRDefault="00D96FBF" w:rsidP="00D96FBF">
      <w:r>
        <w:rPr>
          <w:b/>
          <w:bCs/>
        </w:rPr>
        <w:t>2</w:t>
      </w:r>
      <w:r w:rsidRPr="00D96FBF">
        <w:rPr>
          <w:b/>
          <w:bCs/>
        </w:rPr>
        <w:t>. Schulungs- und Einführungsunterstützung (10% Gewichtung):</w:t>
      </w:r>
    </w:p>
    <w:p w14:paraId="48D08880" w14:textId="77777777" w:rsidR="00D96FBF" w:rsidRPr="00D96FBF" w:rsidRDefault="00D96FBF" w:rsidP="00D96FBF">
      <w:pPr>
        <w:numPr>
          <w:ilvl w:val="0"/>
          <w:numId w:val="12"/>
        </w:numPr>
      </w:pPr>
      <w:r w:rsidRPr="00D96FBF">
        <w:t xml:space="preserve">Der </w:t>
      </w:r>
      <w:proofErr w:type="spellStart"/>
      <w:r w:rsidRPr="00D96FBF">
        <w:t>PuDu</w:t>
      </w:r>
      <w:proofErr w:type="spellEnd"/>
      <w:r w:rsidRPr="00D96FBF">
        <w:t xml:space="preserve"> CC1 erzielte 9 Punkte in der Kategorie Schulungs- und Einführungsunterstützung, während der HSR Toyota keine Punkte erhielt. Dies deutet darauf hin, dass für den HSR Toyota entweder keine oder nur unzureichende Schulungs- und Einführungsressourcen zur Verfügung stehen, was die Implementierung und effektive Nutzung erheblich erschweren könnte.</w:t>
      </w:r>
    </w:p>
    <w:p w14:paraId="6EC04263" w14:textId="6E196F2E" w:rsidR="00D96FBF" w:rsidRDefault="000C2C72">
      <w:r w:rsidRPr="000C2C72">
        <w:br/>
        <w:t xml:space="preserve">Der </w:t>
      </w:r>
      <w:proofErr w:type="spellStart"/>
      <w:r w:rsidRPr="000C2C72">
        <w:t>PuDu</w:t>
      </w:r>
      <w:proofErr w:type="spellEnd"/>
      <w:r w:rsidRPr="000C2C72">
        <w:t xml:space="preserve"> CC1 übertrifft den HSR Toyota in der Gesamtpunktzahl mit 824 gegenüber 645 Punkten und gewinnt damit klar in der Kategorie "Unterstützung bei täglichen Aufgaben". Dies unterstreicht seine Überlegenheit in Schlüsselbereichen wie Benutzerfreundlichkeit und Datenschutz.</w:t>
      </w:r>
    </w:p>
    <w:p w14:paraId="236F83C7" w14:textId="77777777" w:rsidR="000C2C72" w:rsidRDefault="000C2C72"/>
    <w:p w14:paraId="131E4511" w14:textId="0B4C505B" w:rsidR="000C2C72" w:rsidRDefault="00B43965" w:rsidP="00D96FBF">
      <w:bookmarkStart w:id="1" w:name="_Hlk157616237"/>
      <w:r>
        <w:rPr>
          <w:rFonts w:ascii="Arial" w:hAnsi="Arial"/>
          <w:b/>
          <w:bCs/>
        </w:rPr>
        <w:t>III</w:t>
      </w:r>
      <w:r w:rsidR="00240D13">
        <w:rPr>
          <w:rFonts w:ascii="Arial" w:hAnsi="Arial"/>
          <w:b/>
          <w:bCs/>
        </w:rPr>
        <w:t xml:space="preserve">. Soziale Interaktion, Unterhaltung und Persönliche Betreuung (Pepper / </w:t>
      </w:r>
      <w:proofErr w:type="spellStart"/>
      <w:r w:rsidR="00240D13">
        <w:rPr>
          <w:rFonts w:ascii="Arial" w:hAnsi="Arial"/>
          <w:b/>
          <w:bCs/>
        </w:rPr>
        <w:t>ElliQ</w:t>
      </w:r>
      <w:proofErr w:type="spellEnd"/>
      <w:r w:rsidR="00240D13">
        <w:rPr>
          <w:rFonts w:ascii="Arial" w:hAnsi="Arial"/>
          <w:b/>
          <w:bCs/>
        </w:rPr>
        <w:t>):</w:t>
      </w:r>
    </w:p>
    <w:bookmarkEnd w:id="1"/>
    <w:p w14:paraId="7EE95C5C" w14:textId="735EB3A2" w:rsidR="00D96FBF" w:rsidRPr="00D96FBF" w:rsidRDefault="00D96FBF" w:rsidP="00D96FBF">
      <w:r w:rsidRPr="00D96FBF">
        <w:rPr>
          <w:b/>
          <w:bCs/>
        </w:rPr>
        <w:t>1. Benutzerfreundlichkeit (16% Gewichtung):</w:t>
      </w:r>
    </w:p>
    <w:p w14:paraId="59892AFC" w14:textId="77777777" w:rsidR="00D96FBF" w:rsidRPr="00D96FBF" w:rsidRDefault="00D96FBF" w:rsidP="00D96FBF">
      <w:pPr>
        <w:numPr>
          <w:ilvl w:val="0"/>
          <w:numId w:val="13"/>
        </w:numPr>
      </w:pPr>
      <w:proofErr w:type="spellStart"/>
      <w:r w:rsidRPr="00D96FBF">
        <w:t>ElliQ</w:t>
      </w:r>
      <w:proofErr w:type="spellEnd"/>
      <w:r w:rsidRPr="00D96FBF">
        <w:t xml:space="preserve"> erzielte mit 10 Punkten eine deutlich höhere Bewertung als Pepper, der 8 Punkte erreichte. Diese Überlegenheit in der Benutzerfreundlichkeit ist besonders relevant, da eine einfache und intuitive Bedienung die Akzeptanz und Effektivität des Roboters im täglichen Einsatz erhöht. In einem Bereich, der direkte Interaktion mit Benutzern erfordert, ist eine hohe Benutzerfreundlichkeit entscheidend für den Erfolg.</w:t>
      </w:r>
    </w:p>
    <w:p w14:paraId="7E42DF3C" w14:textId="77777777" w:rsidR="00D96FBF" w:rsidRPr="00D96FBF" w:rsidRDefault="00D96FBF" w:rsidP="00D96FBF">
      <w:r w:rsidRPr="00D96FBF">
        <w:rPr>
          <w:b/>
          <w:bCs/>
        </w:rPr>
        <w:t>2. Kosten (10% Gewichtung):</w:t>
      </w:r>
    </w:p>
    <w:p w14:paraId="667AEAE5" w14:textId="77777777" w:rsidR="00D96FBF" w:rsidRPr="00D96FBF" w:rsidRDefault="00D96FBF" w:rsidP="00D96FBF">
      <w:pPr>
        <w:numPr>
          <w:ilvl w:val="0"/>
          <w:numId w:val="14"/>
        </w:numPr>
      </w:pPr>
      <w:proofErr w:type="spellStart"/>
      <w:r w:rsidRPr="00D96FBF">
        <w:t>ElliQ</w:t>
      </w:r>
      <w:proofErr w:type="spellEnd"/>
      <w:r w:rsidRPr="00D96FBF">
        <w:t xml:space="preserve"> erhielt in der Kategorie Kosten 9 Punkte im Vergleich zu 7 Punkten für Pepper. Dies zeigt, dass </w:t>
      </w:r>
      <w:proofErr w:type="spellStart"/>
      <w:r w:rsidRPr="00D96FBF">
        <w:t>ElliQ</w:t>
      </w:r>
      <w:proofErr w:type="spellEnd"/>
      <w:r w:rsidRPr="00D96FBF">
        <w:t xml:space="preserve"> in Bezug auf das Preis-Leistungs-Verhältnis vorteilhafter ist. Die geringeren Kosten können für Einrichtungen, die soziale Interaktions- und Betreuungsroboter implementieren möchten, ein entscheidender Faktor sein, besonders unter Berücksichtigung begrenzter Budgets in vielen Pflegeeinrichtungen.</w:t>
      </w:r>
    </w:p>
    <w:p w14:paraId="149234D3" w14:textId="77777777" w:rsidR="00D96FBF" w:rsidRPr="00D96FBF" w:rsidRDefault="00D96FBF" w:rsidP="00D96FBF">
      <w:r w:rsidRPr="00D96FBF">
        <w:rPr>
          <w:b/>
          <w:bCs/>
        </w:rPr>
        <w:t>3. Datenschutz und Sicherheit (16% Gewichtung):</w:t>
      </w:r>
    </w:p>
    <w:p w14:paraId="48015021" w14:textId="77777777" w:rsidR="00D96FBF" w:rsidRDefault="00D96FBF" w:rsidP="00D96FBF">
      <w:pPr>
        <w:numPr>
          <w:ilvl w:val="0"/>
          <w:numId w:val="15"/>
        </w:numPr>
      </w:pPr>
      <w:proofErr w:type="spellStart"/>
      <w:r w:rsidRPr="00D96FBF">
        <w:t>ElliQ</w:t>
      </w:r>
      <w:proofErr w:type="spellEnd"/>
      <w:r w:rsidRPr="00D96FBF">
        <w:t xml:space="preserve"> erzielte mit 8 Punkten eine wesentlich höhere Bewertung im Vergleich zu nur 2 Punkten für Pepper. In einem Umfeld, in dem der Umgang mit persönlichen Daten und die Sicherheit der Interaktionen von größter Bedeutung sind, stellt dies einen entscheidenden Vorteil dar. </w:t>
      </w:r>
      <w:proofErr w:type="spellStart"/>
      <w:r w:rsidRPr="00D96FBF">
        <w:t>ElliQs</w:t>
      </w:r>
      <w:proofErr w:type="spellEnd"/>
      <w:r w:rsidRPr="00D96FBF">
        <w:t xml:space="preserve"> hohe Punktzahl deutet darauf hin, dass er robustere Sicherheitsmaßnahmen und Datenschutzfunktionen bietet.</w:t>
      </w:r>
    </w:p>
    <w:p w14:paraId="42CA836F" w14:textId="5CFA557D" w:rsidR="000C2C72" w:rsidRPr="00D96FBF" w:rsidRDefault="000C2C72" w:rsidP="000C2C72">
      <w:r w:rsidRPr="000C2C72">
        <w:br/>
      </w:r>
      <w:proofErr w:type="spellStart"/>
      <w:r w:rsidRPr="000C2C72">
        <w:t>ElliQ</w:t>
      </w:r>
      <w:proofErr w:type="spellEnd"/>
      <w:r w:rsidRPr="000C2C72">
        <w:t xml:space="preserve"> hat Pepper in den Schlüsselbereichen Benutzerfreundlichkeit, Kosten und Datenschutz/Sicherheit geschlagen und mit einer Gesamtpunktzahl von 844 zu 737 gewonnen. Dies war auf </w:t>
      </w:r>
      <w:proofErr w:type="spellStart"/>
      <w:r w:rsidRPr="000C2C72">
        <w:t>ElliQs</w:t>
      </w:r>
      <w:proofErr w:type="spellEnd"/>
      <w:r w:rsidRPr="000C2C72">
        <w:t xml:space="preserve"> überlegene Benutzerfreundlichkeit, besseres Preis-Leistungs-Verhältnis und stärkere Datenschutz- und Sicherheitsmaßnahmen zurückzuführen.</w:t>
      </w:r>
    </w:p>
    <w:p w14:paraId="7DDCA7C0" w14:textId="77777777" w:rsidR="004A59EE" w:rsidRDefault="004A59EE"/>
    <w:p w14:paraId="7F796E8F" w14:textId="77777777" w:rsidR="004A59EE" w:rsidRDefault="004A59EE"/>
    <w:p w14:paraId="21C6F287" w14:textId="77777777" w:rsidR="00735610" w:rsidRDefault="00735610"/>
    <w:p w14:paraId="4CF8BB9C" w14:textId="77777777" w:rsidR="00735610" w:rsidRDefault="00735610"/>
    <w:p w14:paraId="6E399885" w14:textId="77777777" w:rsidR="00735610" w:rsidRDefault="00735610"/>
    <w:p w14:paraId="419C7B5C" w14:textId="65839835" w:rsidR="00735610" w:rsidRDefault="00735610">
      <w:r>
        <w:t>##############################################################</w:t>
      </w:r>
    </w:p>
    <w:p w14:paraId="382E7FAD" w14:textId="78C0152A" w:rsidR="00735610" w:rsidRDefault="00735610">
      <w:r w:rsidRPr="00735610">
        <w:rPr>
          <w:b/>
          <w:bCs/>
        </w:rPr>
        <w:lastRenderedPageBreak/>
        <w:t>I. Logistik und Materialtransport (</w:t>
      </w:r>
      <w:proofErr w:type="spellStart"/>
      <w:r w:rsidRPr="00735610">
        <w:rPr>
          <w:b/>
          <w:bCs/>
        </w:rPr>
        <w:t>RelayRx</w:t>
      </w:r>
      <w:proofErr w:type="spellEnd"/>
      <w:r w:rsidRPr="00735610">
        <w:rPr>
          <w:b/>
          <w:bCs/>
        </w:rPr>
        <w:t xml:space="preserve"> / MiR100):</w:t>
      </w:r>
    </w:p>
    <w:p w14:paraId="52E83700" w14:textId="77777777" w:rsidR="00735610" w:rsidRPr="00735610" w:rsidRDefault="00735610" w:rsidP="00735610">
      <w:r w:rsidRPr="00735610">
        <w:t xml:space="preserve">In der Kategorie "Logistik und Materialtransport" zwischen </w:t>
      </w:r>
      <w:proofErr w:type="spellStart"/>
      <w:r w:rsidRPr="00735610">
        <w:t>RelayRx</w:t>
      </w:r>
      <w:proofErr w:type="spellEnd"/>
      <w:r w:rsidRPr="00735610">
        <w:t xml:space="preserve"> und MiR100 ergibt sich ein deutliches Bild:</w:t>
      </w:r>
    </w:p>
    <w:p w14:paraId="78F0D240" w14:textId="77777777" w:rsidR="00735610" w:rsidRDefault="00735610" w:rsidP="00735610">
      <w:pPr>
        <w:rPr>
          <w:rFonts w:ascii="Segoe UI" w:hAnsi="Segoe UI" w:cs="Segoe UI"/>
          <w:color w:val="374151"/>
        </w:rPr>
      </w:pPr>
      <w:r w:rsidRPr="00735610">
        <w:t xml:space="preserve">Der </w:t>
      </w:r>
      <w:proofErr w:type="spellStart"/>
      <w:r w:rsidRPr="00735610">
        <w:t>RelayRx</w:t>
      </w:r>
      <w:proofErr w:type="spellEnd"/>
      <w:r w:rsidRPr="00735610">
        <w:t xml:space="preserve"> zeichnet sich besonders in den beiden Schlüsselbereichen aus, die jeweils 16% der Gesamtpunktzahl ausmachen. Bei der Benutzerfreundlichkeit erzielte der </w:t>
      </w:r>
      <w:proofErr w:type="spellStart"/>
      <w:r w:rsidRPr="00735610">
        <w:t>RelayRx</w:t>
      </w:r>
      <w:proofErr w:type="spellEnd"/>
      <w:r w:rsidRPr="00735610">
        <w:t xml:space="preserve"> 10 Punkte im Vergleich zu den 9 Punkten des MiR100. Diese Überlegenheit ist von großer Bedeutung, da eine intuitive und einfache Bedienung des Roboters die Effizienz steigert und die Einarbeitungszeit für das Personal verkürzt</w:t>
      </w:r>
      <w:r>
        <w:t xml:space="preserve">. </w:t>
      </w:r>
      <w:r w:rsidRPr="00735610">
        <w:t xml:space="preserve">Ebenso übertraf der </w:t>
      </w:r>
      <w:proofErr w:type="spellStart"/>
      <w:r w:rsidRPr="00735610">
        <w:t>RelayRx</w:t>
      </w:r>
      <w:proofErr w:type="spellEnd"/>
      <w:r w:rsidRPr="00735610">
        <w:t xml:space="preserve"> den MiR100 im Bereich Datenschutz und Sicherheit mit einer Punktzahl von 9 zu 8.</w:t>
      </w:r>
      <w:r w:rsidRPr="00735610">
        <w:rPr>
          <w:rFonts w:ascii="Segoe UI" w:hAnsi="Segoe UI" w:cs="Segoe UI"/>
          <w:color w:val="374151"/>
        </w:rPr>
        <w:t xml:space="preserve"> </w:t>
      </w:r>
    </w:p>
    <w:p w14:paraId="0E5F55C1" w14:textId="14AD1552" w:rsidR="00735610" w:rsidRDefault="00735610" w:rsidP="00735610">
      <w:r w:rsidRPr="00735610">
        <w:t xml:space="preserve">Insgesamt gewinnt </w:t>
      </w:r>
      <w:proofErr w:type="spellStart"/>
      <w:r w:rsidRPr="00735610">
        <w:t>RelayRx</w:t>
      </w:r>
      <w:proofErr w:type="spellEnd"/>
      <w:r w:rsidRPr="00735610">
        <w:t xml:space="preserve"> knapp mit 853 Punkten gegenüber 841 Punkten für MiR100, was auf seine herausragende Benutzerfreundlichkeit und seine robusten Datenschutzmaßnahmen zurückzuführen ist.</w:t>
      </w:r>
    </w:p>
    <w:p w14:paraId="56E66ACD" w14:textId="77777777" w:rsidR="00944321" w:rsidRDefault="00944321" w:rsidP="00735610"/>
    <w:p w14:paraId="40BA25EC" w14:textId="18F581DA" w:rsidR="00735610" w:rsidRPr="00735610" w:rsidRDefault="00735610" w:rsidP="00735610">
      <w:r w:rsidRPr="00735610">
        <w:rPr>
          <w:b/>
          <w:bCs/>
        </w:rPr>
        <w:t>II. Unterstützung bei täglichen Aufgaben (</w:t>
      </w:r>
      <w:proofErr w:type="spellStart"/>
      <w:r w:rsidRPr="00735610">
        <w:rPr>
          <w:b/>
          <w:bCs/>
        </w:rPr>
        <w:t>PuDu</w:t>
      </w:r>
      <w:proofErr w:type="spellEnd"/>
      <w:r w:rsidRPr="00735610">
        <w:rPr>
          <w:b/>
          <w:bCs/>
        </w:rPr>
        <w:t xml:space="preserve"> CC1 / HSR Toyota):</w:t>
      </w:r>
      <w:r w:rsidRPr="00735610">
        <w:br/>
        <w:t xml:space="preserve">Im Bereich "Unterstützung bei täglichen Aufgaben" zeigt sich ein deutlicher Vorsprung des </w:t>
      </w:r>
      <w:proofErr w:type="spellStart"/>
      <w:r w:rsidRPr="00735610">
        <w:t>PuDu</w:t>
      </w:r>
      <w:proofErr w:type="spellEnd"/>
      <w:r w:rsidRPr="00735610">
        <w:t xml:space="preserve"> CC1 gegenüber dem HSR Toyota:</w:t>
      </w:r>
    </w:p>
    <w:p w14:paraId="0A989222" w14:textId="3A177F7D" w:rsidR="00735610" w:rsidRPr="00735610" w:rsidRDefault="00735610" w:rsidP="00735610">
      <w:r w:rsidRPr="00735610">
        <w:t xml:space="preserve">Der </w:t>
      </w:r>
      <w:proofErr w:type="spellStart"/>
      <w:r w:rsidRPr="00735610">
        <w:t>PuDu</w:t>
      </w:r>
      <w:proofErr w:type="spellEnd"/>
      <w:r w:rsidRPr="00735610">
        <w:t xml:space="preserve"> CC1 erhielt in Datenschutz und Sicherheit die Höchstpunktzahl von 10, während der HSR Toyota lediglich 6 Punkte erreichte. In der Kategorie Schulungs- und Einführungsunterstützung erzielte der </w:t>
      </w:r>
      <w:proofErr w:type="spellStart"/>
      <w:r w:rsidRPr="00735610">
        <w:t>PuDu</w:t>
      </w:r>
      <w:proofErr w:type="spellEnd"/>
      <w:r w:rsidRPr="00735610">
        <w:t xml:space="preserve"> CC1 9 Punkte, während der HSR Toyota keine Punkte erhielt. Dies verleiht dem </w:t>
      </w:r>
      <w:proofErr w:type="spellStart"/>
      <w:r w:rsidRPr="00735610">
        <w:t>PuDu</w:t>
      </w:r>
      <w:proofErr w:type="spellEnd"/>
      <w:r w:rsidRPr="00735610">
        <w:t xml:space="preserve"> CC1 entscheidende Vorteile in beiden Kategorien.</w:t>
      </w:r>
    </w:p>
    <w:p w14:paraId="41C3DF69" w14:textId="4F17A682" w:rsidR="00735610" w:rsidRDefault="00735610" w:rsidP="00735610">
      <w:r w:rsidRPr="00735610">
        <w:t xml:space="preserve">In der Gesamtpunktzahl übertrifft der </w:t>
      </w:r>
      <w:proofErr w:type="spellStart"/>
      <w:r w:rsidRPr="00735610">
        <w:t>PuDu</w:t>
      </w:r>
      <w:proofErr w:type="spellEnd"/>
      <w:r w:rsidRPr="00735610">
        <w:t xml:space="preserve"> CC1 den HSR Toyota deutlich, mit 824 Punkten gegenüber 645 Punkten. Dies unterstreicht seine herausragende Leistung in Schlüsselbereichen wie Benutzerfreundlichkeit und Datenschutz.</w:t>
      </w:r>
    </w:p>
    <w:p w14:paraId="61F74DE0" w14:textId="77777777" w:rsidR="00944321" w:rsidRPr="00735610" w:rsidRDefault="00944321" w:rsidP="00735610"/>
    <w:p w14:paraId="711AC6C5" w14:textId="77777777" w:rsidR="00735610" w:rsidRPr="00735610" w:rsidRDefault="00735610" w:rsidP="00735610">
      <w:r w:rsidRPr="00735610">
        <w:rPr>
          <w:b/>
          <w:bCs/>
        </w:rPr>
        <w:t xml:space="preserve">III. Soziale Interaktion, Unterhaltung und Persönliche Betreuung (Pepper / </w:t>
      </w:r>
      <w:proofErr w:type="spellStart"/>
      <w:r w:rsidRPr="00735610">
        <w:rPr>
          <w:b/>
          <w:bCs/>
        </w:rPr>
        <w:t>ElliQ</w:t>
      </w:r>
      <w:proofErr w:type="spellEnd"/>
      <w:r w:rsidRPr="00735610">
        <w:rPr>
          <w:b/>
          <w:bCs/>
        </w:rPr>
        <w:t>):</w:t>
      </w:r>
    </w:p>
    <w:p w14:paraId="1DE2CA33" w14:textId="22CC5A33" w:rsidR="00944321" w:rsidRDefault="00735610" w:rsidP="00735610">
      <w:r w:rsidRPr="00735610">
        <w:t xml:space="preserve">In Bezug auf soziale Interaktion, Unterhaltung und persönliche Betreuung ergibt sich folgendes Bild zwischen Pepper und </w:t>
      </w:r>
      <w:proofErr w:type="spellStart"/>
      <w:r w:rsidRPr="00735610">
        <w:t>ElliQ</w:t>
      </w:r>
      <w:proofErr w:type="spellEnd"/>
      <w:r w:rsidRPr="00735610">
        <w:t>:</w:t>
      </w:r>
    </w:p>
    <w:p w14:paraId="17B3DB45" w14:textId="2A35843D" w:rsidR="00735610" w:rsidRDefault="00944321" w:rsidP="00735610">
      <w:proofErr w:type="spellStart"/>
      <w:r w:rsidRPr="00944321">
        <w:t>ElliQ</w:t>
      </w:r>
      <w:proofErr w:type="spellEnd"/>
      <w:r w:rsidRPr="00944321">
        <w:t xml:space="preserve"> erhielt in der Kategorie "Soziale Interaktion, Unterhaltung und Persönliche Betreuung" mit 8 Punkten eine wesentlich höhere Bewertung im Vergleich zu nur 2 Punkten für Pepper. Dies verleiht </w:t>
      </w:r>
      <w:proofErr w:type="spellStart"/>
      <w:r w:rsidRPr="00944321">
        <w:t>ElliQ</w:t>
      </w:r>
      <w:proofErr w:type="spellEnd"/>
      <w:r w:rsidRPr="00944321">
        <w:t xml:space="preserve"> in einem Umfeld, in dem der Umgang mit persönlichen Daten und die Sicherheit der Interaktionen von größter Bedeutung sind, einen entscheidenden Vorteil. </w:t>
      </w:r>
      <w:proofErr w:type="spellStart"/>
      <w:r w:rsidRPr="00944321">
        <w:t>ElliQs</w:t>
      </w:r>
      <w:proofErr w:type="spellEnd"/>
      <w:r w:rsidRPr="00944321">
        <w:t xml:space="preserve"> hohe Punktzahl deutet darauf hin, dass er robustere Sicherheitsmaßnahmen und Datenschutzfunktionen bietet.</w:t>
      </w:r>
      <w:r w:rsidR="00735610" w:rsidRPr="00735610">
        <w:rPr>
          <w:vanish/>
        </w:rPr>
        <w:t>Formularbeginn</w:t>
      </w:r>
    </w:p>
    <w:p w14:paraId="28DF2FCA" w14:textId="67CF51E9" w:rsidR="00735610" w:rsidRDefault="00944321" w:rsidP="00735610">
      <w:r w:rsidRPr="00944321">
        <w:lastRenderedPageBreak/>
        <w:t xml:space="preserve">Insgesamt hat </w:t>
      </w:r>
      <w:proofErr w:type="spellStart"/>
      <w:r w:rsidRPr="00944321">
        <w:t>ElliQ</w:t>
      </w:r>
      <w:proofErr w:type="spellEnd"/>
      <w:r w:rsidRPr="00944321">
        <w:t xml:space="preserve"> Pepper in den Schlüsselbereichen Benutzerfreundlichkeit, Kosten und Datenschutz/Sicherheit geschlagen und mit einer Gesamtpunktzahl von 844 zu 737 gewonnen.</w:t>
      </w:r>
    </w:p>
    <w:p w14:paraId="0D263608" w14:textId="77777777" w:rsidR="00735610" w:rsidRPr="00735610" w:rsidRDefault="00735610" w:rsidP="00735610"/>
    <w:p w14:paraId="60BB2665" w14:textId="77777777" w:rsidR="004A59EE" w:rsidRDefault="004A59EE"/>
    <w:sectPr w:rsidR="004A59E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84098"/>
    <w:multiLevelType w:val="multilevel"/>
    <w:tmpl w:val="98C8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2C7CCE"/>
    <w:multiLevelType w:val="multilevel"/>
    <w:tmpl w:val="81E8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7C0C56"/>
    <w:multiLevelType w:val="multilevel"/>
    <w:tmpl w:val="C60E8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21209"/>
    <w:multiLevelType w:val="multilevel"/>
    <w:tmpl w:val="38DC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D8130B"/>
    <w:multiLevelType w:val="multilevel"/>
    <w:tmpl w:val="787C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DD1CD6"/>
    <w:multiLevelType w:val="multilevel"/>
    <w:tmpl w:val="EA62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677202"/>
    <w:multiLevelType w:val="multilevel"/>
    <w:tmpl w:val="203E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1428A1"/>
    <w:multiLevelType w:val="multilevel"/>
    <w:tmpl w:val="AE160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922AD4"/>
    <w:multiLevelType w:val="multilevel"/>
    <w:tmpl w:val="9DCE5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3D0DA5"/>
    <w:multiLevelType w:val="multilevel"/>
    <w:tmpl w:val="6986B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B626D6E"/>
    <w:multiLevelType w:val="multilevel"/>
    <w:tmpl w:val="E1DC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0D7CAC"/>
    <w:multiLevelType w:val="multilevel"/>
    <w:tmpl w:val="373A0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5242C94"/>
    <w:multiLevelType w:val="multilevel"/>
    <w:tmpl w:val="C422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C5E6BBA"/>
    <w:multiLevelType w:val="multilevel"/>
    <w:tmpl w:val="2FA07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FCD2C89"/>
    <w:multiLevelType w:val="multilevel"/>
    <w:tmpl w:val="6C440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7709940">
    <w:abstractNumId w:val="2"/>
  </w:num>
  <w:num w:numId="2" w16cid:durableId="444230964">
    <w:abstractNumId w:val="7"/>
  </w:num>
  <w:num w:numId="3" w16cid:durableId="307366432">
    <w:abstractNumId w:val="10"/>
  </w:num>
  <w:num w:numId="4" w16cid:durableId="1955669894">
    <w:abstractNumId w:val="1"/>
  </w:num>
  <w:num w:numId="5" w16cid:durableId="664094411">
    <w:abstractNumId w:val="11"/>
  </w:num>
  <w:num w:numId="6" w16cid:durableId="180094672">
    <w:abstractNumId w:val="4"/>
  </w:num>
  <w:num w:numId="7" w16cid:durableId="488593143">
    <w:abstractNumId w:val="9"/>
  </w:num>
  <w:num w:numId="8" w16cid:durableId="258879274">
    <w:abstractNumId w:val="13"/>
  </w:num>
  <w:num w:numId="9" w16cid:durableId="1582636311">
    <w:abstractNumId w:val="6"/>
  </w:num>
  <w:num w:numId="10" w16cid:durableId="781844528">
    <w:abstractNumId w:val="8"/>
  </w:num>
  <w:num w:numId="11" w16cid:durableId="1911842298">
    <w:abstractNumId w:val="12"/>
  </w:num>
  <w:num w:numId="12" w16cid:durableId="2116517599">
    <w:abstractNumId w:val="14"/>
  </w:num>
  <w:num w:numId="13" w16cid:durableId="379013105">
    <w:abstractNumId w:val="3"/>
  </w:num>
  <w:num w:numId="14" w16cid:durableId="352616216">
    <w:abstractNumId w:val="5"/>
  </w:num>
  <w:num w:numId="15" w16cid:durableId="205485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3E3"/>
    <w:rsid w:val="000C2C72"/>
    <w:rsid w:val="00240D13"/>
    <w:rsid w:val="004A59EE"/>
    <w:rsid w:val="00735610"/>
    <w:rsid w:val="00944321"/>
    <w:rsid w:val="00A603E3"/>
    <w:rsid w:val="00AE2F9A"/>
    <w:rsid w:val="00B43965"/>
    <w:rsid w:val="00D96F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89F65"/>
  <w15:chartTrackingRefBased/>
  <w15:docId w15:val="{F04025AB-720C-468D-AF87-95FD1F0F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603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603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603E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603E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603E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603E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603E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603E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603E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603E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603E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603E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603E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603E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603E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603E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603E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603E3"/>
    <w:rPr>
      <w:rFonts w:eastAsiaTheme="majorEastAsia" w:cstheme="majorBidi"/>
      <w:color w:val="272727" w:themeColor="text1" w:themeTint="D8"/>
    </w:rPr>
  </w:style>
  <w:style w:type="paragraph" w:styleId="Titel">
    <w:name w:val="Title"/>
    <w:basedOn w:val="Standard"/>
    <w:next w:val="Standard"/>
    <w:link w:val="TitelZchn"/>
    <w:uiPriority w:val="10"/>
    <w:qFormat/>
    <w:rsid w:val="00A603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603E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603E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603E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603E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603E3"/>
    <w:rPr>
      <w:i/>
      <w:iCs/>
      <w:color w:val="404040" w:themeColor="text1" w:themeTint="BF"/>
    </w:rPr>
  </w:style>
  <w:style w:type="paragraph" w:styleId="Listenabsatz">
    <w:name w:val="List Paragraph"/>
    <w:basedOn w:val="Standard"/>
    <w:uiPriority w:val="34"/>
    <w:qFormat/>
    <w:rsid w:val="00A603E3"/>
    <w:pPr>
      <w:ind w:left="720"/>
      <w:contextualSpacing/>
    </w:pPr>
  </w:style>
  <w:style w:type="character" w:styleId="IntensiveHervorhebung">
    <w:name w:val="Intense Emphasis"/>
    <w:basedOn w:val="Absatz-Standardschriftart"/>
    <w:uiPriority w:val="21"/>
    <w:qFormat/>
    <w:rsid w:val="00A603E3"/>
    <w:rPr>
      <w:i/>
      <w:iCs/>
      <w:color w:val="0F4761" w:themeColor="accent1" w:themeShade="BF"/>
    </w:rPr>
  </w:style>
  <w:style w:type="paragraph" w:styleId="IntensivesZitat">
    <w:name w:val="Intense Quote"/>
    <w:basedOn w:val="Standard"/>
    <w:next w:val="Standard"/>
    <w:link w:val="IntensivesZitatZchn"/>
    <w:uiPriority w:val="30"/>
    <w:qFormat/>
    <w:rsid w:val="00A603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603E3"/>
    <w:rPr>
      <w:i/>
      <w:iCs/>
      <w:color w:val="0F4761" w:themeColor="accent1" w:themeShade="BF"/>
    </w:rPr>
  </w:style>
  <w:style w:type="character" w:styleId="IntensiverVerweis">
    <w:name w:val="Intense Reference"/>
    <w:basedOn w:val="Absatz-Standardschriftart"/>
    <w:uiPriority w:val="32"/>
    <w:qFormat/>
    <w:rsid w:val="00A603E3"/>
    <w:rPr>
      <w:b/>
      <w:bCs/>
      <w:smallCaps/>
      <w:color w:val="0F4761" w:themeColor="accent1" w:themeShade="BF"/>
      <w:spacing w:val="5"/>
    </w:rPr>
  </w:style>
  <w:style w:type="paragraph" w:styleId="KeinLeerraum">
    <w:name w:val="No Spacing"/>
    <w:uiPriority w:val="1"/>
    <w:qFormat/>
    <w:rsid w:val="00D96F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5886">
      <w:bodyDiv w:val="1"/>
      <w:marLeft w:val="0"/>
      <w:marRight w:val="0"/>
      <w:marTop w:val="0"/>
      <w:marBottom w:val="0"/>
      <w:divBdr>
        <w:top w:val="none" w:sz="0" w:space="0" w:color="auto"/>
        <w:left w:val="none" w:sz="0" w:space="0" w:color="auto"/>
        <w:bottom w:val="none" w:sz="0" w:space="0" w:color="auto"/>
        <w:right w:val="none" w:sz="0" w:space="0" w:color="auto"/>
      </w:divBdr>
    </w:div>
    <w:div w:id="104737795">
      <w:bodyDiv w:val="1"/>
      <w:marLeft w:val="0"/>
      <w:marRight w:val="0"/>
      <w:marTop w:val="0"/>
      <w:marBottom w:val="0"/>
      <w:divBdr>
        <w:top w:val="none" w:sz="0" w:space="0" w:color="auto"/>
        <w:left w:val="none" w:sz="0" w:space="0" w:color="auto"/>
        <w:bottom w:val="none" w:sz="0" w:space="0" w:color="auto"/>
        <w:right w:val="none" w:sz="0" w:space="0" w:color="auto"/>
      </w:divBdr>
    </w:div>
    <w:div w:id="130902235">
      <w:bodyDiv w:val="1"/>
      <w:marLeft w:val="0"/>
      <w:marRight w:val="0"/>
      <w:marTop w:val="0"/>
      <w:marBottom w:val="0"/>
      <w:divBdr>
        <w:top w:val="none" w:sz="0" w:space="0" w:color="auto"/>
        <w:left w:val="none" w:sz="0" w:space="0" w:color="auto"/>
        <w:bottom w:val="none" w:sz="0" w:space="0" w:color="auto"/>
        <w:right w:val="none" w:sz="0" w:space="0" w:color="auto"/>
      </w:divBdr>
    </w:div>
    <w:div w:id="218981999">
      <w:bodyDiv w:val="1"/>
      <w:marLeft w:val="0"/>
      <w:marRight w:val="0"/>
      <w:marTop w:val="0"/>
      <w:marBottom w:val="0"/>
      <w:divBdr>
        <w:top w:val="none" w:sz="0" w:space="0" w:color="auto"/>
        <w:left w:val="none" w:sz="0" w:space="0" w:color="auto"/>
        <w:bottom w:val="none" w:sz="0" w:space="0" w:color="auto"/>
        <w:right w:val="none" w:sz="0" w:space="0" w:color="auto"/>
      </w:divBdr>
    </w:div>
    <w:div w:id="273251147">
      <w:bodyDiv w:val="1"/>
      <w:marLeft w:val="0"/>
      <w:marRight w:val="0"/>
      <w:marTop w:val="0"/>
      <w:marBottom w:val="0"/>
      <w:divBdr>
        <w:top w:val="none" w:sz="0" w:space="0" w:color="auto"/>
        <w:left w:val="none" w:sz="0" w:space="0" w:color="auto"/>
        <w:bottom w:val="none" w:sz="0" w:space="0" w:color="auto"/>
        <w:right w:val="none" w:sz="0" w:space="0" w:color="auto"/>
      </w:divBdr>
    </w:div>
    <w:div w:id="313415573">
      <w:bodyDiv w:val="1"/>
      <w:marLeft w:val="0"/>
      <w:marRight w:val="0"/>
      <w:marTop w:val="0"/>
      <w:marBottom w:val="0"/>
      <w:divBdr>
        <w:top w:val="none" w:sz="0" w:space="0" w:color="auto"/>
        <w:left w:val="none" w:sz="0" w:space="0" w:color="auto"/>
        <w:bottom w:val="none" w:sz="0" w:space="0" w:color="auto"/>
        <w:right w:val="none" w:sz="0" w:space="0" w:color="auto"/>
      </w:divBdr>
    </w:div>
    <w:div w:id="339283688">
      <w:bodyDiv w:val="1"/>
      <w:marLeft w:val="0"/>
      <w:marRight w:val="0"/>
      <w:marTop w:val="0"/>
      <w:marBottom w:val="0"/>
      <w:divBdr>
        <w:top w:val="none" w:sz="0" w:space="0" w:color="auto"/>
        <w:left w:val="none" w:sz="0" w:space="0" w:color="auto"/>
        <w:bottom w:val="none" w:sz="0" w:space="0" w:color="auto"/>
        <w:right w:val="none" w:sz="0" w:space="0" w:color="auto"/>
      </w:divBdr>
    </w:div>
    <w:div w:id="461003481">
      <w:bodyDiv w:val="1"/>
      <w:marLeft w:val="0"/>
      <w:marRight w:val="0"/>
      <w:marTop w:val="0"/>
      <w:marBottom w:val="0"/>
      <w:divBdr>
        <w:top w:val="none" w:sz="0" w:space="0" w:color="auto"/>
        <w:left w:val="none" w:sz="0" w:space="0" w:color="auto"/>
        <w:bottom w:val="none" w:sz="0" w:space="0" w:color="auto"/>
        <w:right w:val="none" w:sz="0" w:space="0" w:color="auto"/>
      </w:divBdr>
      <w:divsChild>
        <w:div w:id="1424061550">
          <w:marLeft w:val="0"/>
          <w:marRight w:val="0"/>
          <w:marTop w:val="0"/>
          <w:marBottom w:val="0"/>
          <w:divBdr>
            <w:top w:val="single" w:sz="2" w:space="0" w:color="D9D9E3"/>
            <w:left w:val="single" w:sz="2" w:space="0" w:color="D9D9E3"/>
            <w:bottom w:val="single" w:sz="2" w:space="0" w:color="D9D9E3"/>
            <w:right w:val="single" w:sz="2" w:space="0" w:color="D9D9E3"/>
          </w:divBdr>
          <w:divsChild>
            <w:div w:id="299002402">
              <w:marLeft w:val="0"/>
              <w:marRight w:val="0"/>
              <w:marTop w:val="0"/>
              <w:marBottom w:val="0"/>
              <w:divBdr>
                <w:top w:val="single" w:sz="2" w:space="0" w:color="D9D9E3"/>
                <w:left w:val="single" w:sz="2" w:space="0" w:color="D9D9E3"/>
                <w:bottom w:val="single" w:sz="2" w:space="0" w:color="D9D9E3"/>
                <w:right w:val="single" w:sz="2" w:space="0" w:color="D9D9E3"/>
              </w:divBdr>
              <w:divsChild>
                <w:div w:id="463625266">
                  <w:marLeft w:val="0"/>
                  <w:marRight w:val="0"/>
                  <w:marTop w:val="0"/>
                  <w:marBottom w:val="0"/>
                  <w:divBdr>
                    <w:top w:val="single" w:sz="2" w:space="0" w:color="D9D9E3"/>
                    <w:left w:val="single" w:sz="2" w:space="0" w:color="D9D9E3"/>
                    <w:bottom w:val="single" w:sz="2" w:space="0" w:color="D9D9E3"/>
                    <w:right w:val="single" w:sz="2" w:space="0" w:color="D9D9E3"/>
                  </w:divBdr>
                  <w:divsChild>
                    <w:div w:id="1579318265">
                      <w:marLeft w:val="0"/>
                      <w:marRight w:val="0"/>
                      <w:marTop w:val="0"/>
                      <w:marBottom w:val="0"/>
                      <w:divBdr>
                        <w:top w:val="single" w:sz="2" w:space="0" w:color="D9D9E3"/>
                        <w:left w:val="single" w:sz="2" w:space="0" w:color="D9D9E3"/>
                        <w:bottom w:val="single" w:sz="2" w:space="0" w:color="D9D9E3"/>
                        <w:right w:val="single" w:sz="2" w:space="0" w:color="D9D9E3"/>
                      </w:divBdr>
                      <w:divsChild>
                        <w:div w:id="1311326258">
                          <w:marLeft w:val="0"/>
                          <w:marRight w:val="0"/>
                          <w:marTop w:val="0"/>
                          <w:marBottom w:val="0"/>
                          <w:divBdr>
                            <w:top w:val="single" w:sz="2" w:space="0" w:color="D9D9E3"/>
                            <w:left w:val="single" w:sz="2" w:space="0" w:color="D9D9E3"/>
                            <w:bottom w:val="single" w:sz="2" w:space="0" w:color="D9D9E3"/>
                            <w:right w:val="single" w:sz="2" w:space="0" w:color="D9D9E3"/>
                          </w:divBdr>
                          <w:divsChild>
                            <w:div w:id="1820027076">
                              <w:marLeft w:val="0"/>
                              <w:marRight w:val="0"/>
                              <w:marTop w:val="100"/>
                              <w:marBottom w:val="100"/>
                              <w:divBdr>
                                <w:top w:val="single" w:sz="2" w:space="0" w:color="D9D9E3"/>
                                <w:left w:val="single" w:sz="2" w:space="0" w:color="D9D9E3"/>
                                <w:bottom w:val="single" w:sz="2" w:space="0" w:color="D9D9E3"/>
                                <w:right w:val="single" w:sz="2" w:space="0" w:color="D9D9E3"/>
                              </w:divBdr>
                              <w:divsChild>
                                <w:div w:id="311063059">
                                  <w:marLeft w:val="0"/>
                                  <w:marRight w:val="0"/>
                                  <w:marTop w:val="0"/>
                                  <w:marBottom w:val="0"/>
                                  <w:divBdr>
                                    <w:top w:val="single" w:sz="2" w:space="0" w:color="D9D9E3"/>
                                    <w:left w:val="single" w:sz="2" w:space="0" w:color="D9D9E3"/>
                                    <w:bottom w:val="single" w:sz="2" w:space="0" w:color="D9D9E3"/>
                                    <w:right w:val="single" w:sz="2" w:space="0" w:color="D9D9E3"/>
                                  </w:divBdr>
                                  <w:divsChild>
                                    <w:div w:id="707996228">
                                      <w:marLeft w:val="0"/>
                                      <w:marRight w:val="0"/>
                                      <w:marTop w:val="0"/>
                                      <w:marBottom w:val="0"/>
                                      <w:divBdr>
                                        <w:top w:val="single" w:sz="2" w:space="0" w:color="D9D9E3"/>
                                        <w:left w:val="single" w:sz="2" w:space="0" w:color="D9D9E3"/>
                                        <w:bottom w:val="single" w:sz="2" w:space="0" w:color="D9D9E3"/>
                                        <w:right w:val="single" w:sz="2" w:space="0" w:color="D9D9E3"/>
                                      </w:divBdr>
                                      <w:divsChild>
                                        <w:div w:id="611520047">
                                          <w:marLeft w:val="0"/>
                                          <w:marRight w:val="0"/>
                                          <w:marTop w:val="0"/>
                                          <w:marBottom w:val="0"/>
                                          <w:divBdr>
                                            <w:top w:val="single" w:sz="2" w:space="0" w:color="D9D9E3"/>
                                            <w:left w:val="single" w:sz="2" w:space="0" w:color="D9D9E3"/>
                                            <w:bottom w:val="single" w:sz="2" w:space="0" w:color="D9D9E3"/>
                                            <w:right w:val="single" w:sz="2" w:space="0" w:color="D9D9E3"/>
                                          </w:divBdr>
                                          <w:divsChild>
                                            <w:div w:id="1391538330">
                                              <w:marLeft w:val="0"/>
                                              <w:marRight w:val="0"/>
                                              <w:marTop w:val="0"/>
                                              <w:marBottom w:val="0"/>
                                              <w:divBdr>
                                                <w:top w:val="single" w:sz="2" w:space="0" w:color="D9D9E3"/>
                                                <w:left w:val="single" w:sz="2" w:space="0" w:color="D9D9E3"/>
                                                <w:bottom w:val="single" w:sz="2" w:space="0" w:color="D9D9E3"/>
                                                <w:right w:val="single" w:sz="2" w:space="0" w:color="D9D9E3"/>
                                              </w:divBdr>
                                              <w:divsChild>
                                                <w:div w:id="695471230">
                                                  <w:marLeft w:val="0"/>
                                                  <w:marRight w:val="0"/>
                                                  <w:marTop w:val="0"/>
                                                  <w:marBottom w:val="0"/>
                                                  <w:divBdr>
                                                    <w:top w:val="single" w:sz="2" w:space="0" w:color="D9D9E3"/>
                                                    <w:left w:val="single" w:sz="2" w:space="0" w:color="D9D9E3"/>
                                                    <w:bottom w:val="single" w:sz="2" w:space="0" w:color="D9D9E3"/>
                                                    <w:right w:val="single" w:sz="2" w:space="0" w:color="D9D9E3"/>
                                                  </w:divBdr>
                                                  <w:divsChild>
                                                    <w:div w:id="744378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02907798">
          <w:marLeft w:val="0"/>
          <w:marRight w:val="0"/>
          <w:marTop w:val="0"/>
          <w:marBottom w:val="0"/>
          <w:divBdr>
            <w:top w:val="none" w:sz="0" w:space="0" w:color="auto"/>
            <w:left w:val="none" w:sz="0" w:space="0" w:color="auto"/>
            <w:bottom w:val="none" w:sz="0" w:space="0" w:color="auto"/>
            <w:right w:val="none" w:sz="0" w:space="0" w:color="auto"/>
          </w:divBdr>
        </w:div>
      </w:divsChild>
    </w:div>
    <w:div w:id="622274515">
      <w:bodyDiv w:val="1"/>
      <w:marLeft w:val="0"/>
      <w:marRight w:val="0"/>
      <w:marTop w:val="0"/>
      <w:marBottom w:val="0"/>
      <w:divBdr>
        <w:top w:val="none" w:sz="0" w:space="0" w:color="auto"/>
        <w:left w:val="none" w:sz="0" w:space="0" w:color="auto"/>
        <w:bottom w:val="none" w:sz="0" w:space="0" w:color="auto"/>
        <w:right w:val="none" w:sz="0" w:space="0" w:color="auto"/>
      </w:divBdr>
    </w:div>
    <w:div w:id="699015253">
      <w:bodyDiv w:val="1"/>
      <w:marLeft w:val="0"/>
      <w:marRight w:val="0"/>
      <w:marTop w:val="0"/>
      <w:marBottom w:val="0"/>
      <w:divBdr>
        <w:top w:val="none" w:sz="0" w:space="0" w:color="auto"/>
        <w:left w:val="none" w:sz="0" w:space="0" w:color="auto"/>
        <w:bottom w:val="none" w:sz="0" w:space="0" w:color="auto"/>
        <w:right w:val="none" w:sz="0" w:space="0" w:color="auto"/>
      </w:divBdr>
    </w:div>
    <w:div w:id="973559797">
      <w:bodyDiv w:val="1"/>
      <w:marLeft w:val="0"/>
      <w:marRight w:val="0"/>
      <w:marTop w:val="0"/>
      <w:marBottom w:val="0"/>
      <w:divBdr>
        <w:top w:val="none" w:sz="0" w:space="0" w:color="auto"/>
        <w:left w:val="none" w:sz="0" w:space="0" w:color="auto"/>
        <w:bottom w:val="none" w:sz="0" w:space="0" w:color="auto"/>
        <w:right w:val="none" w:sz="0" w:space="0" w:color="auto"/>
      </w:divBdr>
    </w:div>
    <w:div w:id="1047953204">
      <w:bodyDiv w:val="1"/>
      <w:marLeft w:val="0"/>
      <w:marRight w:val="0"/>
      <w:marTop w:val="0"/>
      <w:marBottom w:val="0"/>
      <w:divBdr>
        <w:top w:val="none" w:sz="0" w:space="0" w:color="auto"/>
        <w:left w:val="none" w:sz="0" w:space="0" w:color="auto"/>
        <w:bottom w:val="none" w:sz="0" w:space="0" w:color="auto"/>
        <w:right w:val="none" w:sz="0" w:space="0" w:color="auto"/>
      </w:divBdr>
    </w:div>
    <w:div w:id="1143353076">
      <w:bodyDiv w:val="1"/>
      <w:marLeft w:val="0"/>
      <w:marRight w:val="0"/>
      <w:marTop w:val="0"/>
      <w:marBottom w:val="0"/>
      <w:divBdr>
        <w:top w:val="none" w:sz="0" w:space="0" w:color="auto"/>
        <w:left w:val="none" w:sz="0" w:space="0" w:color="auto"/>
        <w:bottom w:val="none" w:sz="0" w:space="0" w:color="auto"/>
        <w:right w:val="none" w:sz="0" w:space="0" w:color="auto"/>
      </w:divBdr>
    </w:div>
    <w:div w:id="1629624744">
      <w:bodyDiv w:val="1"/>
      <w:marLeft w:val="0"/>
      <w:marRight w:val="0"/>
      <w:marTop w:val="0"/>
      <w:marBottom w:val="0"/>
      <w:divBdr>
        <w:top w:val="none" w:sz="0" w:space="0" w:color="auto"/>
        <w:left w:val="none" w:sz="0" w:space="0" w:color="auto"/>
        <w:bottom w:val="none" w:sz="0" w:space="0" w:color="auto"/>
        <w:right w:val="none" w:sz="0" w:space="0" w:color="auto"/>
      </w:divBdr>
    </w:div>
    <w:div w:id="1700233092">
      <w:bodyDiv w:val="1"/>
      <w:marLeft w:val="0"/>
      <w:marRight w:val="0"/>
      <w:marTop w:val="0"/>
      <w:marBottom w:val="0"/>
      <w:divBdr>
        <w:top w:val="none" w:sz="0" w:space="0" w:color="auto"/>
        <w:left w:val="none" w:sz="0" w:space="0" w:color="auto"/>
        <w:bottom w:val="none" w:sz="0" w:space="0" w:color="auto"/>
        <w:right w:val="none" w:sz="0" w:space="0" w:color="auto"/>
      </w:divBdr>
    </w:div>
    <w:div w:id="1748575534">
      <w:bodyDiv w:val="1"/>
      <w:marLeft w:val="0"/>
      <w:marRight w:val="0"/>
      <w:marTop w:val="0"/>
      <w:marBottom w:val="0"/>
      <w:divBdr>
        <w:top w:val="none" w:sz="0" w:space="0" w:color="auto"/>
        <w:left w:val="none" w:sz="0" w:space="0" w:color="auto"/>
        <w:bottom w:val="none" w:sz="0" w:space="0" w:color="auto"/>
        <w:right w:val="none" w:sz="0" w:space="0" w:color="auto"/>
      </w:divBdr>
    </w:div>
    <w:div w:id="1914848843">
      <w:bodyDiv w:val="1"/>
      <w:marLeft w:val="0"/>
      <w:marRight w:val="0"/>
      <w:marTop w:val="0"/>
      <w:marBottom w:val="0"/>
      <w:divBdr>
        <w:top w:val="none" w:sz="0" w:space="0" w:color="auto"/>
        <w:left w:val="none" w:sz="0" w:space="0" w:color="auto"/>
        <w:bottom w:val="none" w:sz="0" w:space="0" w:color="auto"/>
        <w:right w:val="none" w:sz="0" w:space="0" w:color="auto"/>
      </w:divBdr>
    </w:div>
    <w:div w:id="1952784544">
      <w:bodyDiv w:val="1"/>
      <w:marLeft w:val="0"/>
      <w:marRight w:val="0"/>
      <w:marTop w:val="0"/>
      <w:marBottom w:val="0"/>
      <w:divBdr>
        <w:top w:val="none" w:sz="0" w:space="0" w:color="auto"/>
        <w:left w:val="none" w:sz="0" w:space="0" w:color="auto"/>
        <w:bottom w:val="none" w:sz="0" w:space="0" w:color="auto"/>
        <w:right w:val="none" w:sz="0" w:space="0" w:color="auto"/>
      </w:divBdr>
    </w:div>
    <w:div w:id="1975132613">
      <w:bodyDiv w:val="1"/>
      <w:marLeft w:val="0"/>
      <w:marRight w:val="0"/>
      <w:marTop w:val="0"/>
      <w:marBottom w:val="0"/>
      <w:divBdr>
        <w:top w:val="none" w:sz="0" w:space="0" w:color="auto"/>
        <w:left w:val="none" w:sz="0" w:space="0" w:color="auto"/>
        <w:bottom w:val="none" w:sz="0" w:space="0" w:color="auto"/>
        <w:right w:val="none" w:sz="0" w:space="0" w:color="auto"/>
      </w:divBdr>
    </w:div>
    <w:div w:id="208811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867</Words>
  <Characters>5469</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Baidin</dc:creator>
  <cp:keywords/>
  <dc:description/>
  <cp:lastModifiedBy>Andrea Baidin</cp:lastModifiedBy>
  <cp:revision>2</cp:revision>
  <dcterms:created xsi:type="dcterms:W3CDTF">2024-01-31T17:01:00Z</dcterms:created>
  <dcterms:modified xsi:type="dcterms:W3CDTF">2024-01-31T17:01:00Z</dcterms:modified>
</cp:coreProperties>
</file>