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B488" w14:textId="00CB7B8B" w:rsidR="00A603E3" w:rsidRDefault="00A603E3">
      <w:r>
        <w:t>Einführungskonzept</w:t>
      </w:r>
    </w:p>
    <w:p w14:paraId="43929BFD" w14:textId="77777777" w:rsidR="00A603E3" w:rsidRPr="00A603E3" w:rsidRDefault="00A603E3" w:rsidP="00A603E3">
      <w:pPr>
        <w:numPr>
          <w:ilvl w:val="0"/>
          <w:numId w:val="1"/>
        </w:numPr>
      </w:pPr>
      <w:r w:rsidRPr="00A603E3">
        <w:rPr>
          <w:b/>
          <w:bCs/>
        </w:rPr>
        <w:t>Bedarfsanalyse und Zielsetzung</w:t>
      </w:r>
      <w:r w:rsidRPr="00A603E3">
        <w:t>: Eine gründliche Bewertung der Bedürfnisse der Einrichtung und der potenziellen Vorteile, die Pflegeroboter bieten können. Klare Ziele für die Einführung der Roboter sollten definiert werden.</w:t>
      </w:r>
    </w:p>
    <w:p w14:paraId="6A771DB0" w14:textId="77777777" w:rsidR="00A603E3" w:rsidRPr="00A603E3" w:rsidRDefault="00A603E3" w:rsidP="00A603E3">
      <w:pPr>
        <w:numPr>
          <w:ilvl w:val="0"/>
          <w:numId w:val="1"/>
        </w:numPr>
      </w:pPr>
      <w:r w:rsidRPr="00A603E3">
        <w:rPr>
          <w:b/>
          <w:bCs/>
        </w:rPr>
        <w:t>Auswahl des geeigneten Robotertyps</w:t>
      </w:r>
      <w:r w:rsidRPr="00A603E3">
        <w:t>: Entscheidung über den Typ des Pflegeroboters basierend auf den spezifischen Anforderungen und Zielen der Einrichtung. Dies kann Assistenzroboter, Transportroboter, Desinfektionsroboter usw. umfassen.</w:t>
      </w:r>
    </w:p>
    <w:p w14:paraId="76BACE8A" w14:textId="77777777" w:rsidR="00A603E3" w:rsidRPr="00A603E3" w:rsidRDefault="00A603E3" w:rsidP="00A603E3">
      <w:pPr>
        <w:numPr>
          <w:ilvl w:val="0"/>
          <w:numId w:val="1"/>
        </w:numPr>
      </w:pPr>
      <w:r w:rsidRPr="00A603E3">
        <w:rPr>
          <w:b/>
          <w:bCs/>
        </w:rPr>
        <w:t>Integration in bestehende Prozesse</w:t>
      </w:r>
      <w:r w:rsidRPr="00A603E3">
        <w:t>: Planung, wie die Roboter in die aktuellen Arbeitsabläufe integriert werden können, einschließlich der Anpassung bestehender Prozesse.</w:t>
      </w:r>
    </w:p>
    <w:p w14:paraId="779269A8" w14:textId="77777777" w:rsidR="00A603E3" w:rsidRPr="00A603E3" w:rsidRDefault="00A603E3" w:rsidP="00A603E3">
      <w:pPr>
        <w:numPr>
          <w:ilvl w:val="0"/>
          <w:numId w:val="1"/>
        </w:numPr>
      </w:pPr>
      <w:r w:rsidRPr="00A603E3">
        <w:rPr>
          <w:b/>
          <w:bCs/>
        </w:rPr>
        <w:t>Schulung und Fortbildung des Personals</w:t>
      </w:r>
      <w:r w:rsidRPr="00A603E3">
        <w:t>: Ein umfangreiches Schulungsprogramm für das medizinische und unterstützende Personal, um den Umgang mit den Robotern zu erlernen und Bedenken oder Ängste abzubauen.</w:t>
      </w:r>
    </w:p>
    <w:p w14:paraId="46EC5707" w14:textId="77777777" w:rsidR="00A603E3" w:rsidRPr="00A603E3" w:rsidRDefault="00A603E3" w:rsidP="00A603E3">
      <w:pPr>
        <w:numPr>
          <w:ilvl w:val="0"/>
          <w:numId w:val="1"/>
        </w:numPr>
      </w:pPr>
      <w:r w:rsidRPr="00A603E3">
        <w:rPr>
          <w:b/>
          <w:bCs/>
        </w:rPr>
        <w:t>Technische Anforderungen und Wartung</w:t>
      </w:r>
      <w:r w:rsidRPr="00A603E3">
        <w:t>: Berücksichtigung der technischen Anforderungen, wie z.B. WLAN-Verbindung, Ladeinfrastruktur, und Einrichtung eines Wartungs- und Supportsystems für die Roboter.</w:t>
      </w:r>
    </w:p>
    <w:p w14:paraId="73D39144" w14:textId="77777777" w:rsidR="00A603E3" w:rsidRPr="00A603E3" w:rsidRDefault="00A603E3" w:rsidP="00A603E3">
      <w:pPr>
        <w:numPr>
          <w:ilvl w:val="0"/>
          <w:numId w:val="1"/>
        </w:numPr>
      </w:pPr>
      <w:r w:rsidRPr="00A603E3">
        <w:rPr>
          <w:b/>
          <w:bCs/>
        </w:rPr>
        <w:t>Datenschutz und Sicherheit</w:t>
      </w:r>
      <w:r w:rsidRPr="00A603E3">
        <w:t>: Gewährleistung, dass der Einsatz der Roboter den Datenschutzbestimmungen entspricht und die Sicherheit der Patienten und Mitarbeiter nicht gefährdet wird.</w:t>
      </w:r>
    </w:p>
    <w:p w14:paraId="1678C2DC" w14:textId="77777777" w:rsidR="00A603E3" w:rsidRPr="00A603E3" w:rsidRDefault="00A603E3" w:rsidP="00A603E3">
      <w:pPr>
        <w:numPr>
          <w:ilvl w:val="0"/>
          <w:numId w:val="1"/>
        </w:numPr>
      </w:pPr>
      <w:r w:rsidRPr="00A603E3">
        <w:rPr>
          <w:b/>
          <w:bCs/>
        </w:rPr>
        <w:t>Pilotphase und Evaluierung</w:t>
      </w:r>
      <w:r w:rsidRPr="00A603E3">
        <w:t>: Durchführung einer Pilotphase mit anschließender Bewertung, um die Effektivität und Akzeptanz der Roboter zu beurteilen und Anpassungen vorzunehmen.</w:t>
      </w:r>
    </w:p>
    <w:p w14:paraId="31D82DCA" w14:textId="77777777" w:rsidR="00A603E3" w:rsidRPr="00A603E3" w:rsidRDefault="00A603E3" w:rsidP="00A603E3">
      <w:pPr>
        <w:numPr>
          <w:ilvl w:val="0"/>
          <w:numId w:val="1"/>
        </w:numPr>
      </w:pPr>
      <w:r w:rsidRPr="00A603E3">
        <w:rPr>
          <w:b/>
          <w:bCs/>
        </w:rPr>
        <w:t>Kommunikation und Einbindung der Stakeholder</w:t>
      </w:r>
      <w:r w:rsidRPr="00A603E3">
        <w:t>: Klare Kommunikation mit allen Beteiligten, einschließlich des Pflegepersonals, der Patienten und deren Angehörigen, um Akzeptanz und Vertrauen zu fördern.</w:t>
      </w:r>
    </w:p>
    <w:p w14:paraId="4D617D3E" w14:textId="77777777" w:rsidR="00A603E3" w:rsidRPr="00A603E3" w:rsidRDefault="00A603E3" w:rsidP="00A603E3">
      <w:pPr>
        <w:numPr>
          <w:ilvl w:val="0"/>
          <w:numId w:val="1"/>
        </w:numPr>
      </w:pPr>
      <w:r w:rsidRPr="00A603E3">
        <w:rPr>
          <w:b/>
          <w:bCs/>
        </w:rPr>
        <w:t>Ethik und Patientenbetreuung</w:t>
      </w:r>
      <w:r w:rsidRPr="00A603E3">
        <w:t>: Berücksichtigung ethischer Aspekte, insbesondere in Bezug auf die Interaktion zwischen Robotern und Patienten, sowie die Aufrechterhaltung eines hohen Standards an Patientenbetreuung.</w:t>
      </w:r>
    </w:p>
    <w:p w14:paraId="300E8BB7" w14:textId="77777777" w:rsidR="00A603E3" w:rsidRPr="00A603E3" w:rsidRDefault="00A603E3" w:rsidP="00A603E3">
      <w:pPr>
        <w:numPr>
          <w:ilvl w:val="0"/>
          <w:numId w:val="1"/>
        </w:numPr>
      </w:pPr>
      <w:r w:rsidRPr="00A603E3">
        <w:rPr>
          <w:b/>
          <w:bCs/>
        </w:rPr>
        <w:t>Feedback- und Anpassungsmechanismen</w:t>
      </w:r>
      <w:r w:rsidRPr="00A603E3">
        <w:t>: Einrichtung eines Systems zur Sammlung von Feedback von Mitarbeitern und Patienten und zur kontinuierlichen Anpassung und Verbesserung der Roboterintegration.</w:t>
      </w:r>
    </w:p>
    <w:p w14:paraId="3912BD4E" w14:textId="77777777" w:rsidR="00A603E3" w:rsidRPr="00A603E3" w:rsidRDefault="00A603E3" w:rsidP="00A603E3">
      <w:pPr>
        <w:numPr>
          <w:ilvl w:val="0"/>
          <w:numId w:val="1"/>
        </w:numPr>
      </w:pPr>
      <w:r w:rsidRPr="00A603E3">
        <w:rPr>
          <w:b/>
          <w:bCs/>
        </w:rPr>
        <w:t>Finanzierung und Kosten-Nutzen-Analyse</w:t>
      </w:r>
      <w:r w:rsidRPr="00A603E3">
        <w:t>: Sicherstellung der finanziellen Machbarkeit des Projekts und Durchführung einer Kosten-Nutzen-Analyse.</w:t>
      </w:r>
    </w:p>
    <w:p w14:paraId="545EA556" w14:textId="77777777" w:rsidR="00A603E3" w:rsidRDefault="00A603E3"/>
    <w:p w14:paraId="122B93A0" w14:textId="77777777" w:rsidR="00240D13" w:rsidRDefault="00240D13"/>
    <w:p w14:paraId="063B459D" w14:textId="64D32EC8" w:rsidR="00240D13" w:rsidRPr="00240D13" w:rsidRDefault="00240D13">
      <w:pPr>
        <w:rPr>
          <w:b/>
          <w:bCs/>
        </w:rPr>
      </w:pPr>
      <w:r w:rsidRPr="00240D13">
        <w:rPr>
          <w:b/>
          <w:bCs/>
        </w:rPr>
        <w:lastRenderedPageBreak/>
        <w:t>Auswahl des geeigneten Robotertyps</w:t>
      </w:r>
    </w:p>
    <w:p w14:paraId="177E6A86" w14:textId="77777777" w:rsidR="00240D13" w:rsidRDefault="00240D13" w:rsidP="00240D13">
      <w:r>
        <w:rPr>
          <w:rFonts w:ascii="Arial" w:hAnsi="Arial"/>
          <w:b/>
          <w:bCs/>
        </w:rPr>
        <w:t>1. Logistik und Materialtransport (</w:t>
      </w:r>
      <w:proofErr w:type="spellStart"/>
      <w:r>
        <w:rPr>
          <w:rFonts w:ascii="Arial" w:hAnsi="Arial"/>
          <w:b/>
          <w:bCs/>
        </w:rPr>
        <w:t>RelayRx</w:t>
      </w:r>
      <w:proofErr w:type="spellEnd"/>
      <w:r>
        <w:rPr>
          <w:rFonts w:ascii="Arial" w:hAnsi="Arial"/>
          <w:b/>
          <w:bCs/>
        </w:rPr>
        <w:t xml:space="preserve"> / MiR100):</w:t>
      </w:r>
    </w:p>
    <w:p w14:paraId="3E91EFF3" w14:textId="77777777" w:rsidR="00240D13" w:rsidRPr="00240D13" w:rsidRDefault="00240D13" w:rsidP="00240D13">
      <w:r w:rsidRPr="00240D13">
        <w:t xml:space="preserve">Der </w:t>
      </w:r>
      <w:proofErr w:type="spellStart"/>
      <w:r w:rsidRPr="00240D13">
        <w:t>RelayRx</w:t>
      </w:r>
      <w:proofErr w:type="spellEnd"/>
      <w:r w:rsidRPr="00240D13">
        <w:t xml:space="preserve"> Roboter hat in der Kategorie "Logistik und Materialtransport" gegenüber dem MiR100 gewonnen. Obwohl der MiR100 in der Gesamtpunktzahl leicht höher lag, überzeugte der </w:t>
      </w:r>
      <w:proofErr w:type="spellStart"/>
      <w:r w:rsidRPr="00240D13">
        <w:t>RelayRx</w:t>
      </w:r>
      <w:proofErr w:type="spellEnd"/>
      <w:r w:rsidRPr="00240D13">
        <w:t xml:space="preserve"> in mehreren entscheidenden Aspekten, die für die Entscheidungsträger von besonderer Bedeutung waren.</w:t>
      </w:r>
    </w:p>
    <w:p w14:paraId="7FAF1EFB" w14:textId="77777777" w:rsidR="00240D13" w:rsidRPr="00240D13" w:rsidRDefault="00240D13" w:rsidP="00240D13">
      <w:r w:rsidRPr="00240D13">
        <w:rPr>
          <w:b/>
          <w:bCs/>
        </w:rPr>
        <w:t>1. Funktionalität und Einsatzbereich</w:t>
      </w:r>
      <w:r w:rsidRPr="00240D13">
        <w:t xml:space="preserve">: </w:t>
      </w:r>
      <w:proofErr w:type="spellStart"/>
      <w:r w:rsidRPr="00240D13">
        <w:t>RelayRx</w:t>
      </w:r>
      <w:proofErr w:type="spellEnd"/>
      <w:r w:rsidRPr="00240D13">
        <w:t xml:space="preserve"> erhielt in dieser Kategorie eine höhere Punktzahl, was darauf hindeutet, dass seine Funktionalität und sein Einsatzbereich besser auf die spezifischen Anforderungen der Pflegeeinrichtungen zugeschnitten sind. Mit einer Bewertung von 9 gegenüber 8 für den MiR100 zeigt sich, dass </w:t>
      </w:r>
      <w:proofErr w:type="spellStart"/>
      <w:r w:rsidRPr="00240D13">
        <w:t>RelayRx</w:t>
      </w:r>
      <w:proofErr w:type="spellEnd"/>
      <w:r w:rsidRPr="00240D13">
        <w:t xml:space="preserve"> eine größere Vielfalt an Aufgaben erfüllen kann oder in seiner spezifischen Funktion effektiver ist.</w:t>
      </w:r>
    </w:p>
    <w:p w14:paraId="7C447DFD" w14:textId="77777777" w:rsidR="00240D13" w:rsidRPr="00240D13" w:rsidRDefault="00240D13" w:rsidP="00240D13">
      <w:r w:rsidRPr="00240D13">
        <w:rPr>
          <w:b/>
          <w:bCs/>
        </w:rPr>
        <w:t>2. Benutzerfreundlichkeit</w:t>
      </w:r>
      <w:r w:rsidRPr="00240D13">
        <w:t>: Beide Systeme erzielten in dieser Kategorie die gleiche hohe Punktzahl, was zeigt, dass sie beide als benutzerfreundlich eingestuft wurden. Dies ist ein entscheidendes Kriterium, da die einfache Bedienbarkeit die Einarbeitungszeit verkürzt und die Effizienz steigert.</w:t>
      </w:r>
    </w:p>
    <w:p w14:paraId="6AA24805" w14:textId="77777777" w:rsidR="00240D13" w:rsidRPr="00240D13" w:rsidRDefault="00240D13" w:rsidP="00240D13">
      <w:r w:rsidRPr="00240D13">
        <w:rPr>
          <w:b/>
          <w:bCs/>
        </w:rPr>
        <w:t>3. Kollaborative Eigenschaften und Datenschutz</w:t>
      </w:r>
      <w:r w:rsidRPr="00240D13">
        <w:t>: Beide Roboter wurden gleich bewertet, was darauf hindeutet, dass sie in der Lage sind, sicher und effektiv mit menschlichen Mitarbeitern zusammenzuarbeiten und Datenschutzbestimmungen einzuhalten.</w:t>
      </w:r>
    </w:p>
    <w:p w14:paraId="6EB1E46B" w14:textId="77777777" w:rsidR="00240D13" w:rsidRPr="00240D13" w:rsidRDefault="00240D13" w:rsidP="00240D13">
      <w:r w:rsidRPr="00240D13">
        <w:rPr>
          <w:b/>
          <w:bCs/>
        </w:rPr>
        <w:t>4. Skalierbarkeit</w:t>
      </w:r>
      <w:r w:rsidRPr="00240D13">
        <w:t xml:space="preserve">: Der MiR100 erzielte in der Skalierbarkeit eine höhere Punktzahl, was darauf hindeutet, dass er sich besser für die Erweiterung auf größere oder zusätzliche Aufgaben eignet. Dennoch war dieses Kriterium weniger gewichtet und konnte den Vorsprung von </w:t>
      </w:r>
      <w:proofErr w:type="spellStart"/>
      <w:r w:rsidRPr="00240D13">
        <w:t>RelayRx</w:t>
      </w:r>
      <w:proofErr w:type="spellEnd"/>
      <w:r w:rsidRPr="00240D13">
        <w:t xml:space="preserve"> in anderen Bereichen nicht ausgleichen.</w:t>
      </w:r>
    </w:p>
    <w:p w14:paraId="3994DFB2" w14:textId="77777777" w:rsidR="00240D13" w:rsidRPr="00240D13" w:rsidRDefault="00240D13" w:rsidP="00240D13">
      <w:r w:rsidRPr="00240D13">
        <w:rPr>
          <w:b/>
          <w:bCs/>
        </w:rPr>
        <w:t>5. Kosten, Wartung und Support</w:t>
      </w:r>
      <w:r w:rsidRPr="00240D13">
        <w:t xml:space="preserve">: Obwohl der MiR100 in den Kosten sowie in Wartung und Support besser abschnitt, waren die Unterschiede nicht ausreichend, um den Vorteil des </w:t>
      </w:r>
      <w:proofErr w:type="spellStart"/>
      <w:r w:rsidRPr="00240D13">
        <w:t>RelayRx</w:t>
      </w:r>
      <w:proofErr w:type="spellEnd"/>
      <w:r w:rsidRPr="00240D13">
        <w:t xml:space="preserve"> in anderen Kriterien zu überwiegen.</w:t>
      </w:r>
    </w:p>
    <w:p w14:paraId="1F568F33" w14:textId="77777777" w:rsidR="00240D13" w:rsidRPr="00240D13" w:rsidRDefault="00240D13" w:rsidP="00240D13">
      <w:r w:rsidRPr="00240D13">
        <w:rPr>
          <w:b/>
          <w:bCs/>
        </w:rPr>
        <w:t>6. Benutzerakzeptanz und Schulungsunterstützung</w:t>
      </w:r>
      <w:r w:rsidRPr="00240D13">
        <w:t xml:space="preserve">: Trotz der höheren Benutzerakzeptanz des MiR100 erzielte der </w:t>
      </w:r>
      <w:proofErr w:type="spellStart"/>
      <w:r w:rsidRPr="00240D13">
        <w:t>RelayRx</w:t>
      </w:r>
      <w:proofErr w:type="spellEnd"/>
      <w:r w:rsidRPr="00240D13">
        <w:t xml:space="preserve"> in der Kategorie Schulungs- und Einführungsunterstützung die volle Punktzahl, was auf ein umfassendes Supportsystem hinweist, das den Implementierungsprozess erleichtert.</w:t>
      </w:r>
    </w:p>
    <w:p w14:paraId="56C061B5" w14:textId="77777777" w:rsidR="00240D13" w:rsidRPr="00240D13" w:rsidRDefault="00240D13" w:rsidP="00240D13">
      <w:r w:rsidRPr="00240D13">
        <w:t xml:space="preserve">Insgesamt gewann der </w:t>
      </w:r>
      <w:proofErr w:type="spellStart"/>
      <w:r w:rsidRPr="00240D13">
        <w:t>RelayRx</w:t>
      </w:r>
      <w:proofErr w:type="spellEnd"/>
      <w:r w:rsidRPr="00240D13">
        <w:t xml:space="preserve"> aufgrund seiner starken Leistung in mehreren Schlüsselbereichen, insbesondere in Funktionalität, Benutzerfreundlichkeit und umfassender Schulungsunterstützung. Diese Faktoren sind entscheidend für die erfolgreiche Integration und Nutzung in Pflegeeinrichtungen, weshalb der </w:t>
      </w:r>
      <w:proofErr w:type="spellStart"/>
      <w:r w:rsidRPr="00240D13">
        <w:t>RelayRx</w:t>
      </w:r>
      <w:proofErr w:type="spellEnd"/>
      <w:r w:rsidRPr="00240D13">
        <w:t xml:space="preserve"> als die bevorzugte Wahl hervorging.</w:t>
      </w:r>
    </w:p>
    <w:p w14:paraId="4DC52987" w14:textId="77777777" w:rsidR="00240D13" w:rsidRDefault="00240D13">
      <w:pPr>
        <w:rPr>
          <w:b/>
          <w:bCs/>
        </w:rPr>
      </w:pPr>
    </w:p>
    <w:p w14:paraId="0144340C" w14:textId="77777777" w:rsidR="00240D13" w:rsidRDefault="00240D13" w:rsidP="00240D13">
      <w:r>
        <w:rPr>
          <w:rFonts w:ascii="Arial" w:hAnsi="Arial"/>
          <w:b/>
          <w:bCs/>
        </w:rPr>
        <w:lastRenderedPageBreak/>
        <w:t xml:space="preserve">2. Unterstützung bei täglichen </w:t>
      </w:r>
      <w:proofErr w:type="gramStart"/>
      <w:r>
        <w:rPr>
          <w:rFonts w:ascii="Arial" w:hAnsi="Arial"/>
          <w:b/>
          <w:bCs/>
        </w:rPr>
        <w:t>Aufgaben  (</w:t>
      </w:r>
      <w:proofErr w:type="spellStart"/>
      <w:proofErr w:type="gramEnd"/>
      <w:r>
        <w:rPr>
          <w:rFonts w:ascii="Arial" w:hAnsi="Arial"/>
          <w:b/>
          <w:bCs/>
        </w:rPr>
        <w:t>PuDu</w:t>
      </w:r>
      <w:proofErr w:type="spellEnd"/>
      <w:r>
        <w:rPr>
          <w:rFonts w:ascii="Arial" w:hAnsi="Arial"/>
          <w:b/>
          <w:bCs/>
        </w:rPr>
        <w:t xml:space="preserve"> CC1 / HSR Toyota):</w:t>
      </w:r>
    </w:p>
    <w:p w14:paraId="4C2C3D07" w14:textId="77777777" w:rsidR="00240D13" w:rsidRPr="00240D13" w:rsidRDefault="00240D13" w:rsidP="00240D13">
      <w:r w:rsidRPr="00240D13">
        <w:t xml:space="preserve">In der Kategorie "Unterstützung bei täglichen Aufgaben" hat der </w:t>
      </w:r>
      <w:proofErr w:type="spellStart"/>
      <w:r w:rsidRPr="00240D13">
        <w:t>PuDu</w:t>
      </w:r>
      <w:proofErr w:type="spellEnd"/>
      <w:r w:rsidRPr="00240D13">
        <w:t xml:space="preserve"> CC1 gegenüber dem HSR Toyota gewonnen. Die Gesamtpunktzahl zeigt, dass der </w:t>
      </w:r>
      <w:proofErr w:type="spellStart"/>
      <w:r w:rsidRPr="00240D13">
        <w:t>PuDu</w:t>
      </w:r>
      <w:proofErr w:type="spellEnd"/>
      <w:r w:rsidRPr="00240D13">
        <w:t xml:space="preserve"> CC1 insgesamt besser abschnitt, was auf seine Stärken in mehreren Schlüsselkriterien zurückzuführen ist.</w:t>
      </w:r>
    </w:p>
    <w:p w14:paraId="582E142D" w14:textId="77777777" w:rsidR="00240D13" w:rsidRPr="00240D13" w:rsidRDefault="00240D13" w:rsidP="00240D13">
      <w:r w:rsidRPr="00240D13">
        <w:rPr>
          <w:b/>
          <w:bCs/>
        </w:rPr>
        <w:t>1. Funktionalität und Einsatzbereich</w:t>
      </w:r>
      <w:r w:rsidRPr="00240D13">
        <w:t xml:space="preserve">: Obwohl der HSR Toyota in dieser Kategorie eine höhere Punktzahl erhielt, zeigt die Bewertung des </w:t>
      </w:r>
      <w:proofErr w:type="spellStart"/>
      <w:r w:rsidRPr="00240D13">
        <w:t>PuDu</w:t>
      </w:r>
      <w:proofErr w:type="spellEnd"/>
      <w:r w:rsidRPr="00240D13">
        <w:t xml:space="preserve"> CC1, dass er immer noch eine starke und vielseitige Funktionalität bietet.</w:t>
      </w:r>
    </w:p>
    <w:p w14:paraId="7AC8EBFE" w14:textId="77777777" w:rsidR="00240D13" w:rsidRPr="00240D13" w:rsidRDefault="00240D13" w:rsidP="00240D13">
      <w:r w:rsidRPr="00240D13">
        <w:rPr>
          <w:b/>
          <w:bCs/>
        </w:rPr>
        <w:t>2. Benutzerfreundlichkeit</w:t>
      </w:r>
      <w:r w:rsidRPr="00240D13">
        <w:t xml:space="preserve">: Hier hat der </w:t>
      </w:r>
      <w:proofErr w:type="spellStart"/>
      <w:r w:rsidRPr="00240D13">
        <w:t>PuDu</w:t>
      </w:r>
      <w:proofErr w:type="spellEnd"/>
      <w:r w:rsidRPr="00240D13">
        <w:t xml:space="preserve"> CC1 eine deutlich höhere Punktzahl als der HSR Toyota, was darauf hindeutet, dass er einfacher zu bedienen ist. Dies ist ein entscheidender Faktor, da eine hohe Benutzerfreundlichkeit die Einarbeitungszeit verkürzt und die Akzeptanz bei den Nutzern erhöht.</w:t>
      </w:r>
    </w:p>
    <w:p w14:paraId="091273D3" w14:textId="77777777" w:rsidR="00240D13" w:rsidRPr="00240D13" w:rsidRDefault="00240D13" w:rsidP="00240D13">
      <w:r w:rsidRPr="00240D13">
        <w:rPr>
          <w:b/>
          <w:bCs/>
        </w:rPr>
        <w:t>3. Kollaborative Eigenschaften und Datenschutz</w:t>
      </w:r>
      <w:r w:rsidRPr="00240D13">
        <w:t xml:space="preserve">: Der </w:t>
      </w:r>
      <w:proofErr w:type="spellStart"/>
      <w:r w:rsidRPr="00240D13">
        <w:t>PuDu</w:t>
      </w:r>
      <w:proofErr w:type="spellEnd"/>
      <w:r w:rsidRPr="00240D13">
        <w:t xml:space="preserve"> CC1 erzielte eine höhere Punktzahl in den kollaborativen Eigenschaften, während er im Datenschutz und Sicherheit eine deutlich höhere Bewertung als der HSR Toyota erhielt. Dies deutet darauf hin, dass der </w:t>
      </w:r>
      <w:proofErr w:type="spellStart"/>
      <w:r w:rsidRPr="00240D13">
        <w:t>PuDu</w:t>
      </w:r>
      <w:proofErr w:type="spellEnd"/>
      <w:r w:rsidRPr="00240D13">
        <w:t xml:space="preserve"> CC1 besser für die Zusammenarbeit in einer menschlichen Umgebung geeignet ist und höhere Standards im Datenschutz erfüllt.</w:t>
      </w:r>
    </w:p>
    <w:p w14:paraId="23F22591" w14:textId="77777777" w:rsidR="00240D13" w:rsidRPr="00240D13" w:rsidRDefault="00240D13" w:rsidP="00240D13">
      <w:r w:rsidRPr="00240D13">
        <w:rPr>
          <w:b/>
          <w:bCs/>
        </w:rPr>
        <w:t>4. Skalierbarkeit und Kosten</w:t>
      </w:r>
      <w:r w:rsidRPr="00240D13">
        <w:t xml:space="preserve">: Obwohl der HSR Toyota in der Skalierbarkeit besser abschnitt, war die Differenz in den Kosten nicht ausreichend, um die Vorteile des </w:t>
      </w:r>
      <w:proofErr w:type="spellStart"/>
      <w:r w:rsidRPr="00240D13">
        <w:t>PuDu</w:t>
      </w:r>
      <w:proofErr w:type="spellEnd"/>
      <w:r w:rsidRPr="00240D13">
        <w:t xml:space="preserve"> CC1 in anderen Bereichen zu überwiegen.</w:t>
      </w:r>
    </w:p>
    <w:p w14:paraId="1B980332" w14:textId="77777777" w:rsidR="00240D13" w:rsidRPr="00240D13" w:rsidRDefault="00240D13" w:rsidP="00240D13">
      <w:r w:rsidRPr="00240D13">
        <w:rPr>
          <w:b/>
          <w:bCs/>
        </w:rPr>
        <w:t>5. Wartung und Support</w:t>
      </w:r>
      <w:r w:rsidRPr="00240D13">
        <w:t>: Beide Roboter wurden gleich bewertet, was auf ein ähnliches Niveau von Zuverlässigkeit und Verfügbarkeit von Support hinweist.</w:t>
      </w:r>
    </w:p>
    <w:p w14:paraId="31BF4EA3" w14:textId="77777777" w:rsidR="00240D13" w:rsidRPr="00240D13" w:rsidRDefault="00240D13" w:rsidP="00240D13">
      <w:r w:rsidRPr="00240D13">
        <w:rPr>
          <w:b/>
          <w:bCs/>
        </w:rPr>
        <w:t>6. Benutzerakzeptanz und Schulungsunterstützung</w:t>
      </w:r>
      <w:r w:rsidRPr="00240D13">
        <w:t xml:space="preserve">: Trotz der höheren Benutzerakzeptanz des HSR Toyota schnitt der </w:t>
      </w:r>
      <w:proofErr w:type="spellStart"/>
      <w:r w:rsidRPr="00240D13">
        <w:t>PuDu</w:t>
      </w:r>
      <w:proofErr w:type="spellEnd"/>
      <w:r w:rsidRPr="00240D13">
        <w:t xml:space="preserve"> CC1 in der Kategorie Schulungs- und Einführungsunterstützung deutlich besser ab. Dies zeigt, dass der </w:t>
      </w:r>
      <w:proofErr w:type="spellStart"/>
      <w:r w:rsidRPr="00240D13">
        <w:t>PuDu</w:t>
      </w:r>
      <w:proofErr w:type="spellEnd"/>
      <w:r w:rsidRPr="00240D13">
        <w:t xml:space="preserve"> CC1 besser unterstützt wird, was für eine erfolgreiche Implementierung und Nutzung entscheidend ist.</w:t>
      </w:r>
    </w:p>
    <w:p w14:paraId="133882E8" w14:textId="77777777" w:rsidR="00240D13" w:rsidRPr="00240D13" w:rsidRDefault="00240D13" w:rsidP="00240D13">
      <w:r w:rsidRPr="00240D13">
        <w:t xml:space="preserve">Insgesamt hat der </w:t>
      </w:r>
      <w:proofErr w:type="spellStart"/>
      <w:r w:rsidRPr="00240D13">
        <w:t>PuDu</w:t>
      </w:r>
      <w:proofErr w:type="spellEnd"/>
      <w:r w:rsidRPr="00240D13">
        <w:t xml:space="preserve"> CC1 aufgrund seiner überlegenen Leistung in mehreren Schlüsselbereichen, insbesondere in Benutzerfreundlichkeit, kollaborativen Eigenschaften, Datenschutz und umfassender Schulungsunterstützung, gewonnen. Diese Faktoren sind entscheidend für die erfolgreiche Integration und Nutzung in Umgebungen, die Unterstützung bei täglichen Aufgaben erfordern.</w:t>
      </w:r>
    </w:p>
    <w:p w14:paraId="5A90863F" w14:textId="77777777" w:rsidR="00240D13" w:rsidRDefault="00240D13"/>
    <w:p w14:paraId="6B1243CE" w14:textId="77777777" w:rsidR="00240D13" w:rsidRDefault="00240D13"/>
    <w:p w14:paraId="1642B902" w14:textId="77777777" w:rsidR="00240D13" w:rsidRDefault="00240D13"/>
    <w:p w14:paraId="21FF2F78" w14:textId="77777777" w:rsidR="00240D13" w:rsidRDefault="00240D13"/>
    <w:p w14:paraId="0FFCB3C9" w14:textId="77777777" w:rsidR="00240D13" w:rsidRDefault="00240D13" w:rsidP="00240D13">
      <w:r>
        <w:rPr>
          <w:rFonts w:ascii="Arial" w:hAnsi="Arial"/>
          <w:b/>
          <w:bCs/>
        </w:rPr>
        <w:lastRenderedPageBreak/>
        <w:t xml:space="preserve">3. Soziale Interaktion, Unterhaltung und Persönliche Betreuung (Pepper / </w:t>
      </w:r>
      <w:proofErr w:type="spellStart"/>
      <w:r>
        <w:rPr>
          <w:rFonts w:ascii="Arial" w:hAnsi="Arial"/>
          <w:b/>
          <w:bCs/>
        </w:rPr>
        <w:t>ElliQ</w:t>
      </w:r>
      <w:proofErr w:type="spellEnd"/>
      <w:r>
        <w:rPr>
          <w:rFonts w:ascii="Arial" w:hAnsi="Arial"/>
          <w:b/>
          <w:bCs/>
        </w:rPr>
        <w:t>):</w:t>
      </w:r>
    </w:p>
    <w:p w14:paraId="3EEE96BB" w14:textId="77777777" w:rsidR="00240D13" w:rsidRPr="00240D13" w:rsidRDefault="00240D13" w:rsidP="00240D13">
      <w:r w:rsidRPr="00240D13">
        <w:t xml:space="preserve">In der Kategorie "Soziale Interaktion, Unterhaltung und Persönliche Betreuung" hat </w:t>
      </w:r>
      <w:proofErr w:type="spellStart"/>
      <w:r w:rsidRPr="00240D13">
        <w:t>ElliQ</w:t>
      </w:r>
      <w:proofErr w:type="spellEnd"/>
      <w:r w:rsidRPr="00240D13">
        <w:t xml:space="preserve"> gegenüber Pepper gewonnen. Obwohl Pepper in einigen Kriterien gut abschnitt, überzeugte </w:t>
      </w:r>
      <w:proofErr w:type="spellStart"/>
      <w:r w:rsidRPr="00240D13">
        <w:t>ElliQ</w:t>
      </w:r>
      <w:proofErr w:type="spellEnd"/>
      <w:r w:rsidRPr="00240D13">
        <w:t xml:space="preserve"> insgesamt durch seine Stärken in Schlüsselbereichen.</w:t>
      </w:r>
    </w:p>
    <w:p w14:paraId="20150C2F" w14:textId="77777777" w:rsidR="00240D13" w:rsidRDefault="00240D13" w:rsidP="00240D13">
      <w:pPr>
        <w:rPr>
          <w:b/>
          <w:bCs/>
        </w:rPr>
      </w:pPr>
    </w:p>
    <w:p w14:paraId="6219609E" w14:textId="260B71AF" w:rsidR="00240D13" w:rsidRPr="00240D13" w:rsidRDefault="00240D13" w:rsidP="00240D13">
      <w:r w:rsidRPr="00240D13">
        <w:rPr>
          <w:b/>
          <w:bCs/>
        </w:rPr>
        <w:t>1. Funktionalität und Einsatzbereich</w:t>
      </w:r>
      <w:r w:rsidRPr="00240D13">
        <w:t xml:space="preserve">: Pepper erhielt eine höhere Bewertung, was auf eine vielfältige Funktionalität hinweist. Trotzdem war </w:t>
      </w:r>
      <w:proofErr w:type="spellStart"/>
      <w:r w:rsidRPr="00240D13">
        <w:t>ElliQ</w:t>
      </w:r>
      <w:proofErr w:type="spellEnd"/>
      <w:r w:rsidRPr="00240D13">
        <w:t xml:space="preserve"> in dieser Kategorie stark genug, um eine solide Leistung zu zeigen.</w:t>
      </w:r>
    </w:p>
    <w:p w14:paraId="029C81B1" w14:textId="77777777" w:rsidR="00240D13" w:rsidRPr="00240D13" w:rsidRDefault="00240D13" w:rsidP="00240D13">
      <w:r w:rsidRPr="00240D13">
        <w:rPr>
          <w:b/>
          <w:bCs/>
        </w:rPr>
        <w:t>2. Kollaborative Eigenschaften und Benutzerfreundlichkeit</w:t>
      </w:r>
      <w:r w:rsidRPr="00240D13">
        <w:t xml:space="preserve">: </w:t>
      </w:r>
      <w:proofErr w:type="spellStart"/>
      <w:r w:rsidRPr="00240D13">
        <w:t>ElliQ</w:t>
      </w:r>
      <w:proofErr w:type="spellEnd"/>
      <w:r w:rsidRPr="00240D13">
        <w:t xml:space="preserve"> schnitt in beiden Kategorien besser ab, was darauf hinweist, dass er für die Zusammenarbeit in einer menschlichen Umgebung besser geeignet ist und eine höhere Benutzerfreundlichkeit aufweist. Dies ist entscheidend, da es die Akzeptanz und Effizienz bei der Nutzung erhöht.</w:t>
      </w:r>
    </w:p>
    <w:p w14:paraId="4928132E" w14:textId="77777777" w:rsidR="00240D13" w:rsidRPr="00240D13" w:rsidRDefault="00240D13" w:rsidP="00240D13">
      <w:r w:rsidRPr="00240D13">
        <w:rPr>
          <w:b/>
          <w:bCs/>
        </w:rPr>
        <w:t>3. Skalierbarkeit und Kosten</w:t>
      </w:r>
      <w:r w:rsidRPr="00240D13">
        <w:t xml:space="preserve">: </w:t>
      </w:r>
      <w:proofErr w:type="spellStart"/>
      <w:r w:rsidRPr="00240D13">
        <w:t>ElliQ</w:t>
      </w:r>
      <w:proofErr w:type="spellEnd"/>
      <w:r w:rsidRPr="00240D13">
        <w:t xml:space="preserve"> erhielt eine höhere Punktzahl in der Kategorie Kosten und zeigte eine gute Skalierbarkeit, obwohl Pepper in diesem Aspekt leicht überlegen war.</w:t>
      </w:r>
    </w:p>
    <w:p w14:paraId="2174A82D" w14:textId="77777777" w:rsidR="00240D13" w:rsidRPr="00240D13" w:rsidRDefault="00240D13" w:rsidP="00240D13">
      <w:r w:rsidRPr="00240D13">
        <w:rPr>
          <w:b/>
          <w:bCs/>
        </w:rPr>
        <w:t>4. Wartung und Support</w:t>
      </w:r>
      <w:r w:rsidRPr="00240D13">
        <w:t xml:space="preserve">: Obwohl Pepper in der Wartung und im Support etwas besser abschnitt, war dies nicht ausreichend, um </w:t>
      </w:r>
      <w:proofErr w:type="spellStart"/>
      <w:r w:rsidRPr="00240D13">
        <w:t>ElliQs</w:t>
      </w:r>
      <w:proofErr w:type="spellEnd"/>
      <w:r w:rsidRPr="00240D13">
        <w:t xml:space="preserve"> Vorsprung in anderen Bereichen auszugleichen.</w:t>
      </w:r>
    </w:p>
    <w:p w14:paraId="13649660" w14:textId="77777777" w:rsidR="00240D13" w:rsidRPr="00240D13" w:rsidRDefault="00240D13" w:rsidP="00240D13">
      <w:r w:rsidRPr="00240D13">
        <w:rPr>
          <w:b/>
          <w:bCs/>
        </w:rPr>
        <w:t>5. Datenschutz und Sicherheit</w:t>
      </w:r>
      <w:r w:rsidRPr="00240D13">
        <w:t xml:space="preserve">: </w:t>
      </w:r>
      <w:proofErr w:type="spellStart"/>
      <w:r w:rsidRPr="00240D13">
        <w:t>ElliQ</w:t>
      </w:r>
      <w:proofErr w:type="spellEnd"/>
      <w:r w:rsidRPr="00240D13">
        <w:t xml:space="preserve"> erzielte eine wesentlich höhere Punktzahl im Datenschutz und in der Sicherheit, was auf ein höheres Maß an Vertrauenswürdigkeit und Sicherheit bei der Verwendung hinweist.</w:t>
      </w:r>
    </w:p>
    <w:p w14:paraId="14E9940E" w14:textId="77777777" w:rsidR="00240D13" w:rsidRPr="00240D13" w:rsidRDefault="00240D13" w:rsidP="00240D13">
      <w:r w:rsidRPr="00240D13">
        <w:rPr>
          <w:b/>
          <w:bCs/>
        </w:rPr>
        <w:t>6. Benutzerakzeptanz und Schulungsunterstützung</w:t>
      </w:r>
      <w:r w:rsidRPr="00240D13">
        <w:t xml:space="preserve">: </w:t>
      </w:r>
      <w:proofErr w:type="spellStart"/>
      <w:r w:rsidRPr="00240D13">
        <w:t>ElliQ</w:t>
      </w:r>
      <w:proofErr w:type="spellEnd"/>
      <w:r w:rsidRPr="00240D13">
        <w:t xml:space="preserve"> erzielte in der Benutzerakzeptanz höhere Punkte und war auch in der Schulungs- und Einführungsunterstützung stark, obwohl Pepper in diesem Kriterium die höchste Bewertung erhielt.</w:t>
      </w:r>
    </w:p>
    <w:p w14:paraId="5FE192E2" w14:textId="77777777" w:rsidR="00240D13" w:rsidRPr="00240D13" w:rsidRDefault="00240D13" w:rsidP="00240D13">
      <w:r w:rsidRPr="00240D13">
        <w:t xml:space="preserve">Insgesamt gewann </w:t>
      </w:r>
      <w:proofErr w:type="spellStart"/>
      <w:r w:rsidRPr="00240D13">
        <w:t>ElliQ</w:t>
      </w:r>
      <w:proofErr w:type="spellEnd"/>
      <w:r w:rsidRPr="00240D13">
        <w:t xml:space="preserve"> aufgrund seiner überlegenen Leistung in den Bereichen kollaborative Eigenschaften, Benutzerfreundlichkeit, Datenschutz und Sicherheit sowie Benutzerakzeptanz. Diese Faktoren sind entscheidend für die erfolgreiche Integration und Nutzung in Umgebungen, die soziale Interaktion, Unterhaltung und persönliche Betreuung erfordern. </w:t>
      </w:r>
      <w:proofErr w:type="spellStart"/>
      <w:r w:rsidRPr="00240D13">
        <w:t>ElliQs</w:t>
      </w:r>
      <w:proofErr w:type="spellEnd"/>
      <w:r w:rsidRPr="00240D13">
        <w:t xml:space="preserve"> Stärken in diesen Schlüsselbereichen überwogen die höhere Funktionalität und bessere Skalierbarkeit von Pepper, was zu seiner Gesamtführung in der Bewertung führte.</w:t>
      </w:r>
    </w:p>
    <w:p w14:paraId="05E61AF8" w14:textId="77777777" w:rsidR="00240D13" w:rsidRDefault="00240D13"/>
    <w:sectPr w:rsidR="00240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C56"/>
    <w:multiLevelType w:val="multilevel"/>
    <w:tmpl w:val="C60E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70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E3"/>
    <w:rsid w:val="00240D13"/>
    <w:rsid w:val="00A603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9F65"/>
  <w15:chartTrackingRefBased/>
  <w15:docId w15:val="{F04025AB-720C-468D-AF87-95FD1F0F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0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60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603E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603E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603E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603E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603E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603E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603E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03E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603E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603E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603E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603E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603E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603E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603E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603E3"/>
    <w:rPr>
      <w:rFonts w:eastAsiaTheme="majorEastAsia" w:cstheme="majorBidi"/>
      <w:color w:val="272727" w:themeColor="text1" w:themeTint="D8"/>
    </w:rPr>
  </w:style>
  <w:style w:type="paragraph" w:styleId="Titel">
    <w:name w:val="Title"/>
    <w:basedOn w:val="Standard"/>
    <w:next w:val="Standard"/>
    <w:link w:val="TitelZchn"/>
    <w:uiPriority w:val="10"/>
    <w:qFormat/>
    <w:rsid w:val="00A60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03E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03E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603E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603E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603E3"/>
    <w:rPr>
      <w:i/>
      <w:iCs/>
      <w:color w:val="404040" w:themeColor="text1" w:themeTint="BF"/>
    </w:rPr>
  </w:style>
  <w:style w:type="paragraph" w:styleId="Listenabsatz">
    <w:name w:val="List Paragraph"/>
    <w:basedOn w:val="Standard"/>
    <w:uiPriority w:val="34"/>
    <w:qFormat/>
    <w:rsid w:val="00A603E3"/>
    <w:pPr>
      <w:ind w:left="720"/>
      <w:contextualSpacing/>
    </w:pPr>
  </w:style>
  <w:style w:type="character" w:styleId="IntensiveHervorhebung">
    <w:name w:val="Intense Emphasis"/>
    <w:basedOn w:val="Absatz-Standardschriftart"/>
    <w:uiPriority w:val="21"/>
    <w:qFormat/>
    <w:rsid w:val="00A603E3"/>
    <w:rPr>
      <w:i/>
      <w:iCs/>
      <w:color w:val="0F4761" w:themeColor="accent1" w:themeShade="BF"/>
    </w:rPr>
  </w:style>
  <w:style w:type="paragraph" w:styleId="IntensivesZitat">
    <w:name w:val="Intense Quote"/>
    <w:basedOn w:val="Standard"/>
    <w:next w:val="Standard"/>
    <w:link w:val="IntensivesZitatZchn"/>
    <w:uiPriority w:val="30"/>
    <w:qFormat/>
    <w:rsid w:val="00A60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603E3"/>
    <w:rPr>
      <w:i/>
      <w:iCs/>
      <w:color w:val="0F4761" w:themeColor="accent1" w:themeShade="BF"/>
    </w:rPr>
  </w:style>
  <w:style w:type="character" w:styleId="IntensiverVerweis">
    <w:name w:val="Intense Reference"/>
    <w:basedOn w:val="Absatz-Standardschriftart"/>
    <w:uiPriority w:val="32"/>
    <w:qFormat/>
    <w:rsid w:val="00A60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1999">
      <w:bodyDiv w:val="1"/>
      <w:marLeft w:val="0"/>
      <w:marRight w:val="0"/>
      <w:marTop w:val="0"/>
      <w:marBottom w:val="0"/>
      <w:divBdr>
        <w:top w:val="none" w:sz="0" w:space="0" w:color="auto"/>
        <w:left w:val="none" w:sz="0" w:space="0" w:color="auto"/>
        <w:bottom w:val="none" w:sz="0" w:space="0" w:color="auto"/>
        <w:right w:val="none" w:sz="0" w:space="0" w:color="auto"/>
      </w:divBdr>
    </w:div>
    <w:div w:id="273251147">
      <w:bodyDiv w:val="1"/>
      <w:marLeft w:val="0"/>
      <w:marRight w:val="0"/>
      <w:marTop w:val="0"/>
      <w:marBottom w:val="0"/>
      <w:divBdr>
        <w:top w:val="none" w:sz="0" w:space="0" w:color="auto"/>
        <w:left w:val="none" w:sz="0" w:space="0" w:color="auto"/>
        <w:bottom w:val="none" w:sz="0" w:space="0" w:color="auto"/>
        <w:right w:val="none" w:sz="0" w:space="0" w:color="auto"/>
      </w:divBdr>
    </w:div>
    <w:div w:id="339283688">
      <w:bodyDiv w:val="1"/>
      <w:marLeft w:val="0"/>
      <w:marRight w:val="0"/>
      <w:marTop w:val="0"/>
      <w:marBottom w:val="0"/>
      <w:divBdr>
        <w:top w:val="none" w:sz="0" w:space="0" w:color="auto"/>
        <w:left w:val="none" w:sz="0" w:space="0" w:color="auto"/>
        <w:bottom w:val="none" w:sz="0" w:space="0" w:color="auto"/>
        <w:right w:val="none" w:sz="0" w:space="0" w:color="auto"/>
      </w:divBdr>
    </w:div>
    <w:div w:id="622274515">
      <w:bodyDiv w:val="1"/>
      <w:marLeft w:val="0"/>
      <w:marRight w:val="0"/>
      <w:marTop w:val="0"/>
      <w:marBottom w:val="0"/>
      <w:divBdr>
        <w:top w:val="none" w:sz="0" w:space="0" w:color="auto"/>
        <w:left w:val="none" w:sz="0" w:space="0" w:color="auto"/>
        <w:bottom w:val="none" w:sz="0" w:space="0" w:color="auto"/>
        <w:right w:val="none" w:sz="0" w:space="0" w:color="auto"/>
      </w:divBdr>
    </w:div>
    <w:div w:id="699015253">
      <w:bodyDiv w:val="1"/>
      <w:marLeft w:val="0"/>
      <w:marRight w:val="0"/>
      <w:marTop w:val="0"/>
      <w:marBottom w:val="0"/>
      <w:divBdr>
        <w:top w:val="none" w:sz="0" w:space="0" w:color="auto"/>
        <w:left w:val="none" w:sz="0" w:space="0" w:color="auto"/>
        <w:bottom w:val="none" w:sz="0" w:space="0" w:color="auto"/>
        <w:right w:val="none" w:sz="0" w:space="0" w:color="auto"/>
      </w:divBdr>
    </w:div>
    <w:div w:id="1047953204">
      <w:bodyDiv w:val="1"/>
      <w:marLeft w:val="0"/>
      <w:marRight w:val="0"/>
      <w:marTop w:val="0"/>
      <w:marBottom w:val="0"/>
      <w:divBdr>
        <w:top w:val="none" w:sz="0" w:space="0" w:color="auto"/>
        <w:left w:val="none" w:sz="0" w:space="0" w:color="auto"/>
        <w:bottom w:val="none" w:sz="0" w:space="0" w:color="auto"/>
        <w:right w:val="none" w:sz="0" w:space="0" w:color="auto"/>
      </w:divBdr>
    </w:div>
    <w:div w:id="1629624744">
      <w:bodyDiv w:val="1"/>
      <w:marLeft w:val="0"/>
      <w:marRight w:val="0"/>
      <w:marTop w:val="0"/>
      <w:marBottom w:val="0"/>
      <w:divBdr>
        <w:top w:val="none" w:sz="0" w:space="0" w:color="auto"/>
        <w:left w:val="none" w:sz="0" w:space="0" w:color="auto"/>
        <w:bottom w:val="none" w:sz="0" w:space="0" w:color="auto"/>
        <w:right w:val="none" w:sz="0" w:space="0" w:color="auto"/>
      </w:divBdr>
    </w:div>
    <w:div w:id="1748575534">
      <w:bodyDiv w:val="1"/>
      <w:marLeft w:val="0"/>
      <w:marRight w:val="0"/>
      <w:marTop w:val="0"/>
      <w:marBottom w:val="0"/>
      <w:divBdr>
        <w:top w:val="none" w:sz="0" w:space="0" w:color="auto"/>
        <w:left w:val="none" w:sz="0" w:space="0" w:color="auto"/>
        <w:bottom w:val="none" w:sz="0" w:space="0" w:color="auto"/>
        <w:right w:val="none" w:sz="0" w:space="0" w:color="auto"/>
      </w:divBdr>
    </w:div>
    <w:div w:id="197513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1255</Words>
  <Characters>7912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Baidin</dc:creator>
  <cp:keywords/>
  <dc:description/>
  <cp:lastModifiedBy>Andrea Baidin</cp:lastModifiedBy>
  <cp:revision>1</cp:revision>
  <dcterms:created xsi:type="dcterms:W3CDTF">2024-01-31T15:17:00Z</dcterms:created>
  <dcterms:modified xsi:type="dcterms:W3CDTF">2024-01-31T15:55:00Z</dcterms:modified>
</cp:coreProperties>
</file>