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6A33D" w14:textId="77777777" w:rsidR="003D77EB" w:rsidRDefault="00000000">
      <w:pPr>
        <w:pStyle w:val="Title"/>
      </w:pPr>
      <w:bookmarkStart w:id="0" w:name="_orleezvwr6fb" w:colFirst="0" w:colLast="0"/>
      <w:bookmarkEnd w:id="0"/>
      <w:r>
        <w:t>Finance Project Analysis</w:t>
      </w:r>
    </w:p>
    <w:p w14:paraId="42F1251D" w14:textId="77777777" w:rsidR="003D77EB" w:rsidRDefault="003D77EB"/>
    <w:p w14:paraId="3829AE17" w14:textId="77777777" w:rsidR="003D77EB" w:rsidRDefault="00000000">
      <w:pPr>
        <w:pStyle w:val="Heading2"/>
        <w:rPr>
          <w:u w:val="single"/>
        </w:rPr>
      </w:pPr>
      <w:bookmarkStart w:id="1" w:name="_fei16xi7ejd" w:colFirst="0" w:colLast="0"/>
      <w:bookmarkEnd w:id="1"/>
      <w:r>
        <w:rPr>
          <w:u w:val="single"/>
        </w:rPr>
        <w:t>Team Members</w:t>
      </w:r>
    </w:p>
    <w:p w14:paraId="3208790E" w14:textId="77777777" w:rsidR="003D77EB" w:rsidRDefault="00000000">
      <w:pPr>
        <w:numPr>
          <w:ilvl w:val="0"/>
          <w:numId w:val="1"/>
        </w:numPr>
      </w:pPr>
      <w:r>
        <w:t>Charles Morgan</w:t>
      </w:r>
      <w:r>
        <w:tab/>
      </w:r>
    </w:p>
    <w:p w14:paraId="0A18D99E" w14:textId="77777777" w:rsidR="003D77EB" w:rsidRDefault="00000000">
      <w:pPr>
        <w:numPr>
          <w:ilvl w:val="0"/>
          <w:numId w:val="1"/>
        </w:numPr>
      </w:pPr>
      <w:r>
        <w:t xml:space="preserve">Harun </w:t>
      </w:r>
      <w:proofErr w:type="spellStart"/>
      <w:r>
        <w:t>Esse</w:t>
      </w:r>
      <w:proofErr w:type="spellEnd"/>
    </w:p>
    <w:p w14:paraId="76613978" w14:textId="77777777" w:rsidR="003D77EB" w:rsidRDefault="00000000">
      <w:pPr>
        <w:numPr>
          <w:ilvl w:val="0"/>
          <w:numId w:val="1"/>
        </w:numPr>
      </w:pPr>
      <w:r>
        <w:t>Son Nguyen</w:t>
      </w:r>
    </w:p>
    <w:p w14:paraId="0AE69DD8" w14:textId="77777777" w:rsidR="003D77EB" w:rsidRDefault="00000000">
      <w:pPr>
        <w:numPr>
          <w:ilvl w:val="0"/>
          <w:numId w:val="1"/>
        </w:numPr>
      </w:pPr>
      <w:r>
        <w:t xml:space="preserve">Archana Kale </w:t>
      </w:r>
    </w:p>
    <w:p w14:paraId="4C4214A6" w14:textId="77777777" w:rsidR="003D77EB" w:rsidRDefault="00000000">
      <w:pPr>
        <w:pStyle w:val="Heading2"/>
        <w:rPr>
          <w:u w:val="single"/>
        </w:rPr>
      </w:pPr>
      <w:bookmarkStart w:id="2" w:name="_jjnslaq26gd5" w:colFirst="0" w:colLast="0"/>
      <w:bookmarkEnd w:id="2"/>
      <w:r>
        <w:rPr>
          <w:u w:val="single"/>
        </w:rPr>
        <w:t>Project Description</w:t>
      </w:r>
    </w:p>
    <w:p w14:paraId="1E1F1274" w14:textId="77777777" w:rsidR="003D77EB" w:rsidRDefault="003D77EB"/>
    <w:p w14:paraId="2913A011" w14:textId="77777777" w:rsidR="003D77EB" w:rsidRDefault="00000000">
      <w:pPr>
        <w:rPr>
          <w:b/>
        </w:rPr>
      </w:pPr>
      <w:r>
        <w:rPr>
          <w:b/>
        </w:rPr>
        <w:t>Defining the PROBLEM:</w:t>
      </w:r>
    </w:p>
    <w:p w14:paraId="70F0814B" w14:textId="77777777" w:rsidR="003D77EB" w:rsidRDefault="00000000">
      <w:pPr>
        <w:rPr>
          <w:color w:val="1F1F1F"/>
          <w:sz w:val="24"/>
          <w:szCs w:val="24"/>
          <w:highlight w:val="white"/>
        </w:rPr>
      </w:pPr>
      <w:r>
        <w:rPr>
          <w:color w:val="1F1F1F"/>
          <w:sz w:val="24"/>
          <w:szCs w:val="24"/>
          <w:highlight w:val="white"/>
        </w:rPr>
        <w:t>During the Early 2000’s the US economy experienced a strong expansion. This economic growth, combined with high energy prices and a weakening dollar, led to concerns about rising inflation.</w:t>
      </w:r>
    </w:p>
    <w:p w14:paraId="559D0146" w14:textId="77777777" w:rsidR="003D77EB" w:rsidRDefault="003D77EB">
      <w:pPr>
        <w:rPr>
          <w:color w:val="1F1F1F"/>
          <w:sz w:val="24"/>
          <w:szCs w:val="24"/>
          <w:highlight w:val="white"/>
        </w:rPr>
      </w:pPr>
    </w:p>
    <w:p w14:paraId="0346AAFB" w14:textId="77777777" w:rsidR="003D77EB" w:rsidRDefault="00000000">
      <w:pPr>
        <w:rPr>
          <w:color w:val="1F1F1F"/>
          <w:sz w:val="24"/>
          <w:szCs w:val="24"/>
          <w:highlight w:val="white"/>
        </w:rPr>
      </w:pPr>
      <w:r>
        <w:rPr>
          <w:color w:val="1F1F1F"/>
          <w:sz w:val="24"/>
          <w:szCs w:val="24"/>
          <w:highlight w:val="white"/>
        </w:rPr>
        <w:t xml:space="preserve">By raising interest rates, the Fed aimed to make debt more difficult to obtain and thus reduce the supply. This in turn slows down economic growth and prevents inflation from spiraling out of control. </w:t>
      </w:r>
      <w:r>
        <w:rPr>
          <w:color w:val="1F1F1F"/>
          <w:sz w:val="24"/>
          <w:szCs w:val="24"/>
          <w:highlight w:val="white"/>
        </w:rPr>
        <w:br/>
      </w:r>
      <w:r>
        <w:rPr>
          <w:color w:val="1F1F1F"/>
          <w:sz w:val="24"/>
          <w:szCs w:val="24"/>
          <w:highlight w:val="white"/>
        </w:rPr>
        <w:br/>
        <w:t>However, by making debt more expensive to own,  many sectors that have a high degree of debt are hypothesized to be impacted more by rising and falling interest rates.</w:t>
      </w:r>
    </w:p>
    <w:p w14:paraId="491A1CC6" w14:textId="77777777" w:rsidR="003D77EB" w:rsidRDefault="003D77EB">
      <w:pPr>
        <w:rPr>
          <w:color w:val="1F1F1F"/>
          <w:sz w:val="24"/>
          <w:szCs w:val="24"/>
          <w:highlight w:val="white"/>
        </w:rPr>
      </w:pPr>
    </w:p>
    <w:p w14:paraId="09CEBD9D" w14:textId="77777777" w:rsidR="003D77EB" w:rsidRDefault="00000000">
      <w:pPr>
        <w:rPr>
          <w:b/>
          <w:color w:val="1F1F1F"/>
          <w:sz w:val="24"/>
          <w:szCs w:val="24"/>
          <w:highlight w:val="white"/>
        </w:rPr>
      </w:pPr>
      <w:r>
        <w:rPr>
          <w:b/>
          <w:color w:val="1F1F1F"/>
          <w:sz w:val="24"/>
          <w:szCs w:val="24"/>
          <w:highlight w:val="white"/>
        </w:rPr>
        <w:t>APPROACHING THE PROBLEM:</w:t>
      </w:r>
    </w:p>
    <w:p w14:paraId="5B4CE6CE" w14:textId="77777777" w:rsidR="003D77EB" w:rsidRDefault="00000000">
      <w:pPr>
        <w:pStyle w:val="Heading2"/>
        <w:rPr>
          <w:u w:val="single"/>
        </w:rPr>
      </w:pPr>
      <w:bookmarkStart w:id="3" w:name="_t7r8alqq4uvb" w:colFirst="0" w:colLast="0"/>
      <w:bookmarkEnd w:id="3"/>
      <w:r>
        <w:rPr>
          <w:u w:val="single"/>
        </w:rPr>
        <w:t xml:space="preserve">Questions We Will Tackle </w:t>
      </w:r>
    </w:p>
    <w:p w14:paraId="303F6493" w14:textId="77777777" w:rsidR="003D77EB" w:rsidRDefault="00000000">
      <w:r>
        <w:t>These indices and ETFs generally provide exposure to the respective sectors and are often used by investors and analysts to gauge the performance of each sector in the stock market.</w:t>
      </w:r>
    </w:p>
    <w:p w14:paraId="0B0218EC" w14:textId="77777777" w:rsidR="003D77EB" w:rsidRDefault="00000000">
      <w:pPr>
        <w:numPr>
          <w:ilvl w:val="0"/>
          <w:numId w:val="4"/>
        </w:numPr>
        <w:spacing w:before="160" w:line="360" w:lineRule="auto"/>
      </w:pPr>
      <w:r>
        <w:t>Which sectors are the highest/lowest performing in a rising interest rate environment as opposed to a Lowering interest rate environment?</w:t>
      </w:r>
    </w:p>
    <w:p w14:paraId="6A82CE14" w14:textId="77777777" w:rsidR="003D77EB" w:rsidRDefault="00000000">
      <w:pPr>
        <w:numPr>
          <w:ilvl w:val="0"/>
          <w:numId w:val="4"/>
        </w:numPr>
      </w:pPr>
      <w:r>
        <w:rPr>
          <w:rFonts w:ascii="Roboto" w:eastAsia="Roboto" w:hAnsi="Roboto" w:cs="Roboto"/>
          <w:sz w:val="24"/>
          <w:szCs w:val="24"/>
        </w:rPr>
        <w:t>What observations can be made regarding sector volatility amidst shifts in interest rates between periods of rising and falling interest rates?</w:t>
      </w:r>
    </w:p>
    <w:p w14:paraId="3728C5E2" w14:textId="77777777" w:rsidR="003D77EB" w:rsidRDefault="00000000">
      <w:pPr>
        <w:numPr>
          <w:ilvl w:val="0"/>
          <w:numId w:val="4"/>
        </w:numPr>
      </w:pPr>
      <w:r>
        <w:rPr>
          <w:rFonts w:ascii="Roboto" w:eastAsia="Roboto" w:hAnsi="Roboto" w:cs="Roboto"/>
          <w:sz w:val="24"/>
          <w:szCs w:val="24"/>
        </w:rPr>
        <w:t>What correlations exist between sector performance during rising and falling interest rate environments, and how do these correlations vary across different phases of interest rate cycles?</w:t>
      </w:r>
    </w:p>
    <w:p w14:paraId="323C492B" w14:textId="77777777" w:rsidR="003D77EB" w:rsidRDefault="003D77EB">
      <w:pPr>
        <w:ind w:left="720"/>
      </w:pPr>
    </w:p>
    <w:p w14:paraId="4DCFB6D6" w14:textId="77777777" w:rsidR="003D77EB" w:rsidRDefault="00000000">
      <w:pPr>
        <w:rPr>
          <w:b/>
          <w:sz w:val="34"/>
          <w:szCs w:val="34"/>
        </w:rPr>
      </w:pPr>
      <w:r>
        <w:rPr>
          <w:b/>
          <w:sz w:val="34"/>
          <w:szCs w:val="34"/>
        </w:rPr>
        <w:lastRenderedPageBreak/>
        <w:t>Results &amp; Conclusions:</w:t>
      </w:r>
    </w:p>
    <w:p w14:paraId="34A5FCC5" w14:textId="77777777" w:rsidR="003D77EB" w:rsidRDefault="00000000">
      <w:pPr>
        <w:spacing w:before="160" w:after="500" w:line="360" w:lineRule="auto"/>
        <w:rPr>
          <w:rFonts w:ascii="Roboto" w:eastAsia="Roboto" w:hAnsi="Roboto" w:cs="Roboto"/>
          <w:i/>
          <w:color w:val="FFFFFF"/>
          <w:sz w:val="24"/>
          <w:szCs w:val="24"/>
          <w:highlight w:val="red"/>
          <w:u w:val="single"/>
        </w:rPr>
      </w:pPr>
      <w:r>
        <w:rPr>
          <w:rFonts w:ascii="Roboto" w:eastAsia="Roboto" w:hAnsi="Roboto" w:cs="Roboto"/>
          <w:i/>
          <w:sz w:val="24"/>
          <w:szCs w:val="24"/>
          <w:u w:val="single"/>
        </w:rPr>
        <w:t>Which sectors are the highest/lowest performing in a rising interest rate environment as opposed to a Lowering interest rate environment?</w:t>
      </w:r>
      <w:r>
        <w:rPr>
          <w:rFonts w:ascii="Roboto" w:eastAsia="Roboto" w:hAnsi="Roboto" w:cs="Roboto"/>
          <w:i/>
          <w:noProof/>
          <w:sz w:val="24"/>
          <w:szCs w:val="24"/>
          <w:u w:val="single"/>
        </w:rPr>
        <w:drawing>
          <wp:inline distT="114300" distB="114300" distL="114300" distR="114300" wp14:anchorId="67EA7E94" wp14:editId="2A06E6DB">
            <wp:extent cx="5710238" cy="30472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10238" cy="3047290"/>
                    </a:xfrm>
                    <a:prstGeom prst="rect">
                      <a:avLst/>
                    </a:prstGeom>
                    <a:ln/>
                  </pic:spPr>
                </pic:pic>
              </a:graphicData>
            </a:graphic>
          </wp:inline>
        </w:drawing>
      </w:r>
      <w:r>
        <w:rPr>
          <w:rFonts w:ascii="Roboto" w:eastAsia="Roboto" w:hAnsi="Roboto" w:cs="Roboto"/>
          <w:i/>
          <w:noProof/>
          <w:color w:val="FFFFFF"/>
          <w:sz w:val="24"/>
          <w:szCs w:val="24"/>
          <w:highlight w:val="red"/>
          <w:u w:val="single"/>
        </w:rPr>
        <w:lastRenderedPageBreak/>
        <w:drawing>
          <wp:inline distT="114300" distB="114300" distL="114300" distR="114300" wp14:anchorId="65D33965" wp14:editId="734DCFB9">
            <wp:extent cx="4929188" cy="263327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4929188" cy="2633273"/>
                    </a:xfrm>
                    <a:prstGeom prst="rect">
                      <a:avLst/>
                    </a:prstGeom>
                    <a:ln/>
                  </pic:spPr>
                </pic:pic>
              </a:graphicData>
            </a:graphic>
          </wp:inline>
        </w:drawing>
      </w:r>
      <w:r>
        <w:rPr>
          <w:rFonts w:ascii="Roboto" w:eastAsia="Roboto" w:hAnsi="Roboto" w:cs="Roboto"/>
          <w:i/>
          <w:noProof/>
          <w:color w:val="FFFFFF"/>
          <w:sz w:val="24"/>
          <w:szCs w:val="24"/>
          <w:highlight w:val="red"/>
          <w:u w:val="single"/>
        </w:rPr>
        <w:drawing>
          <wp:inline distT="114300" distB="114300" distL="114300" distR="114300" wp14:anchorId="0B26EBF7" wp14:editId="6F370AAA">
            <wp:extent cx="4881563" cy="259189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881563" cy="2591899"/>
                    </a:xfrm>
                    <a:prstGeom prst="rect">
                      <a:avLst/>
                    </a:prstGeom>
                    <a:ln/>
                  </pic:spPr>
                </pic:pic>
              </a:graphicData>
            </a:graphic>
          </wp:inline>
        </w:drawing>
      </w:r>
    </w:p>
    <w:p w14:paraId="5EDEE0EA" w14:textId="77777777" w:rsidR="003D77EB" w:rsidRDefault="00000000">
      <w:pPr>
        <w:numPr>
          <w:ilvl w:val="0"/>
          <w:numId w:val="5"/>
        </w:numPr>
        <w:spacing w:before="160" w:line="360" w:lineRule="auto"/>
      </w:pPr>
      <w:r>
        <w:t>Energy performed the best for the majority of the falling and rising cycle phases.</w:t>
      </w:r>
    </w:p>
    <w:p w14:paraId="2767588F" w14:textId="77777777" w:rsidR="003D77EB" w:rsidRDefault="00000000">
      <w:pPr>
        <w:numPr>
          <w:ilvl w:val="0"/>
          <w:numId w:val="2"/>
        </w:numPr>
      </w:pPr>
      <w:r>
        <w:rPr>
          <w:rFonts w:ascii="Roboto" w:eastAsia="Roboto" w:hAnsi="Roboto" w:cs="Roboto"/>
          <w:sz w:val="24"/>
          <w:szCs w:val="24"/>
        </w:rPr>
        <w:t>During the falling interest rate phase, financials exhibited the poorest performance, whereas they occupied a mid-tier position during the rising interest rate phase.</w:t>
      </w:r>
    </w:p>
    <w:p w14:paraId="42BD40D6" w14:textId="77777777" w:rsidR="003D77EB" w:rsidRDefault="00000000">
      <w:pPr>
        <w:numPr>
          <w:ilvl w:val="0"/>
          <w:numId w:val="2"/>
        </w:numPr>
      </w:pPr>
      <w:r>
        <w:t>Consumer staples was one of the highest performing in falling interest rate environment and one of the lowest performing in rising interest rate environment.</w:t>
      </w:r>
    </w:p>
    <w:p w14:paraId="716D383E" w14:textId="77777777" w:rsidR="003D77EB" w:rsidRDefault="003D77EB">
      <w:pPr>
        <w:ind w:left="720"/>
      </w:pPr>
    </w:p>
    <w:p w14:paraId="06138EF3" w14:textId="77777777" w:rsidR="003D77EB" w:rsidRDefault="003D77EB">
      <w:pPr>
        <w:ind w:left="720"/>
      </w:pPr>
    </w:p>
    <w:p w14:paraId="375FAD76" w14:textId="77777777" w:rsidR="003D77EB" w:rsidRDefault="003D77EB">
      <w:pPr>
        <w:ind w:left="720"/>
      </w:pPr>
    </w:p>
    <w:p w14:paraId="6C8E4FA5" w14:textId="77777777" w:rsidR="003D77EB" w:rsidRDefault="003D77EB">
      <w:pPr>
        <w:ind w:left="720"/>
      </w:pPr>
    </w:p>
    <w:p w14:paraId="2A926D98" w14:textId="77777777" w:rsidR="003D77EB" w:rsidRDefault="003D77EB">
      <w:pPr>
        <w:ind w:left="720"/>
      </w:pPr>
    </w:p>
    <w:tbl>
      <w:tblPr>
        <w:tblStyle w:val="a"/>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390"/>
        <w:gridCol w:w="3405"/>
      </w:tblGrid>
      <w:tr w:rsidR="003D77EB" w14:paraId="25FAA953" w14:textId="77777777">
        <w:tc>
          <w:tcPr>
            <w:tcW w:w="3120" w:type="dxa"/>
            <w:shd w:val="clear" w:color="auto" w:fill="auto"/>
            <w:tcMar>
              <w:top w:w="100" w:type="dxa"/>
              <w:left w:w="100" w:type="dxa"/>
              <w:bottom w:w="100" w:type="dxa"/>
              <w:right w:w="100" w:type="dxa"/>
            </w:tcMar>
          </w:tcPr>
          <w:p w14:paraId="4E833569" w14:textId="77777777" w:rsidR="003D77EB" w:rsidRDefault="003D77EB">
            <w:pPr>
              <w:widowControl w:val="0"/>
              <w:spacing w:line="240" w:lineRule="auto"/>
            </w:pPr>
          </w:p>
        </w:tc>
        <w:tc>
          <w:tcPr>
            <w:tcW w:w="3390" w:type="dxa"/>
            <w:shd w:val="clear" w:color="auto" w:fill="auto"/>
            <w:tcMar>
              <w:top w:w="100" w:type="dxa"/>
              <w:left w:w="100" w:type="dxa"/>
              <w:bottom w:w="100" w:type="dxa"/>
              <w:right w:w="100" w:type="dxa"/>
            </w:tcMar>
          </w:tcPr>
          <w:p w14:paraId="1AA4EB24" w14:textId="77777777" w:rsidR="003D77EB" w:rsidRDefault="00000000">
            <w:pPr>
              <w:widowControl w:val="0"/>
              <w:spacing w:line="240" w:lineRule="auto"/>
            </w:pPr>
            <w:r>
              <w:t>Rising Interest rate Environment</w:t>
            </w:r>
          </w:p>
        </w:tc>
        <w:tc>
          <w:tcPr>
            <w:tcW w:w="3405" w:type="dxa"/>
            <w:shd w:val="clear" w:color="auto" w:fill="auto"/>
            <w:tcMar>
              <w:top w:w="100" w:type="dxa"/>
              <w:left w:w="100" w:type="dxa"/>
              <w:bottom w:w="100" w:type="dxa"/>
              <w:right w:w="100" w:type="dxa"/>
            </w:tcMar>
          </w:tcPr>
          <w:p w14:paraId="43DD906E" w14:textId="77777777" w:rsidR="003D77EB" w:rsidRDefault="00000000">
            <w:pPr>
              <w:widowControl w:val="0"/>
              <w:spacing w:line="240" w:lineRule="auto"/>
            </w:pPr>
            <w:r>
              <w:t>Falling Interest rate Environment</w:t>
            </w:r>
          </w:p>
        </w:tc>
      </w:tr>
      <w:tr w:rsidR="003D77EB" w14:paraId="3CE532D9" w14:textId="77777777">
        <w:tc>
          <w:tcPr>
            <w:tcW w:w="3120" w:type="dxa"/>
            <w:shd w:val="clear" w:color="auto" w:fill="auto"/>
            <w:tcMar>
              <w:top w:w="100" w:type="dxa"/>
              <w:left w:w="100" w:type="dxa"/>
              <w:bottom w:w="100" w:type="dxa"/>
              <w:right w:w="100" w:type="dxa"/>
            </w:tcMar>
          </w:tcPr>
          <w:p w14:paraId="1C3E9512" w14:textId="77777777" w:rsidR="003D77EB" w:rsidRDefault="00000000">
            <w:pPr>
              <w:widowControl w:val="0"/>
              <w:spacing w:line="240" w:lineRule="auto"/>
            </w:pPr>
            <w:r>
              <w:t xml:space="preserve">Highest Performing Sector </w:t>
            </w:r>
          </w:p>
        </w:tc>
        <w:tc>
          <w:tcPr>
            <w:tcW w:w="3390" w:type="dxa"/>
            <w:shd w:val="clear" w:color="auto" w:fill="auto"/>
            <w:tcMar>
              <w:top w:w="100" w:type="dxa"/>
              <w:left w:w="100" w:type="dxa"/>
              <w:bottom w:w="100" w:type="dxa"/>
              <w:right w:w="100" w:type="dxa"/>
            </w:tcMar>
          </w:tcPr>
          <w:p w14:paraId="27E984B2" w14:textId="77777777" w:rsidR="003D77EB" w:rsidRDefault="00000000">
            <w:pPr>
              <w:widowControl w:val="0"/>
              <w:spacing w:line="240" w:lineRule="auto"/>
            </w:pPr>
            <w:r>
              <w:t>Energy</w:t>
            </w:r>
          </w:p>
          <w:p w14:paraId="44945A22" w14:textId="77777777" w:rsidR="003D77EB" w:rsidRDefault="00000000">
            <w:pPr>
              <w:widowControl w:val="0"/>
              <w:spacing w:line="240" w:lineRule="auto"/>
            </w:pPr>
            <w:r>
              <w:t>Utilities</w:t>
            </w:r>
          </w:p>
          <w:p w14:paraId="0A52B068" w14:textId="77777777" w:rsidR="003D77EB" w:rsidRDefault="00000000">
            <w:pPr>
              <w:widowControl w:val="0"/>
              <w:spacing w:line="240" w:lineRule="auto"/>
            </w:pPr>
            <w:r>
              <w:t>Industrials</w:t>
            </w:r>
          </w:p>
        </w:tc>
        <w:tc>
          <w:tcPr>
            <w:tcW w:w="3405" w:type="dxa"/>
            <w:shd w:val="clear" w:color="auto" w:fill="auto"/>
            <w:tcMar>
              <w:top w:w="100" w:type="dxa"/>
              <w:left w:w="100" w:type="dxa"/>
              <w:bottom w:w="100" w:type="dxa"/>
              <w:right w:w="100" w:type="dxa"/>
            </w:tcMar>
          </w:tcPr>
          <w:p w14:paraId="21464865" w14:textId="77777777" w:rsidR="003D77EB" w:rsidRDefault="00000000">
            <w:pPr>
              <w:widowControl w:val="0"/>
              <w:spacing w:line="240" w:lineRule="auto"/>
            </w:pPr>
            <w:r>
              <w:t>Energy</w:t>
            </w:r>
          </w:p>
          <w:p w14:paraId="20541087" w14:textId="77777777" w:rsidR="003D77EB" w:rsidRDefault="00000000">
            <w:pPr>
              <w:widowControl w:val="0"/>
              <w:spacing w:line="240" w:lineRule="auto"/>
            </w:pPr>
            <w:r>
              <w:t>Consumer Staples</w:t>
            </w:r>
          </w:p>
          <w:p w14:paraId="540AC99B" w14:textId="77777777" w:rsidR="003D77EB" w:rsidRDefault="00000000">
            <w:pPr>
              <w:widowControl w:val="0"/>
              <w:spacing w:line="240" w:lineRule="auto"/>
            </w:pPr>
            <w:r>
              <w:t>Information Technology</w:t>
            </w:r>
          </w:p>
        </w:tc>
      </w:tr>
      <w:tr w:rsidR="003D77EB" w14:paraId="0A9E2A63" w14:textId="77777777">
        <w:tc>
          <w:tcPr>
            <w:tcW w:w="3120" w:type="dxa"/>
            <w:shd w:val="clear" w:color="auto" w:fill="auto"/>
            <w:tcMar>
              <w:top w:w="100" w:type="dxa"/>
              <w:left w:w="100" w:type="dxa"/>
              <w:bottom w:w="100" w:type="dxa"/>
              <w:right w:w="100" w:type="dxa"/>
            </w:tcMar>
          </w:tcPr>
          <w:p w14:paraId="3FDC8C1E" w14:textId="77777777" w:rsidR="003D77EB" w:rsidRDefault="00000000">
            <w:pPr>
              <w:widowControl w:val="0"/>
              <w:spacing w:line="240" w:lineRule="auto"/>
            </w:pPr>
            <w:r>
              <w:t>Lowest  Performing Sector</w:t>
            </w:r>
          </w:p>
        </w:tc>
        <w:tc>
          <w:tcPr>
            <w:tcW w:w="3390" w:type="dxa"/>
            <w:shd w:val="clear" w:color="auto" w:fill="auto"/>
            <w:tcMar>
              <w:top w:w="100" w:type="dxa"/>
              <w:left w:w="100" w:type="dxa"/>
              <w:bottom w:w="100" w:type="dxa"/>
              <w:right w:w="100" w:type="dxa"/>
            </w:tcMar>
          </w:tcPr>
          <w:p w14:paraId="0AF83A36" w14:textId="77777777" w:rsidR="003D77EB" w:rsidRDefault="00000000">
            <w:pPr>
              <w:widowControl w:val="0"/>
              <w:spacing w:line="240" w:lineRule="auto"/>
            </w:pPr>
            <w:r>
              <w:t>Healthcare</w:t>
            </w:r>
          </w:p>
          <w:p w14:paraId="6FDDDEE3" w14:textId="77777777" w:rsidR="003D77EB" w:rsidRDefault="00000000">
            <w:pPr>
              <w:widowControl w:val="0"/>
              <w:spacing w:line="240" w:lineRule="auto"/>
            </w:pPr>
            <w:r>
              <w:t>Consumer Staples</w:t>
            </w:r>
          </w:p>
          <w:p w14:paraId="2DBCB04A" w14:textId="77777777" w:rsidR="003D77EB" w:rsidRDefault="00000000">
            <w:pPr>
              <w:widowControl w:val="0"/>
              <w:spacing w:line="240" w:lineRule="auto"/>
            </w:pPr>
            <w:r>
              <w:t>Information Technology</w:t>
            </w:r>
          </w:p>
        </w:tc>
        <w:tc>
          <w:tcPr>
            <w:tcW w:w="3405" w:type="dxa"/>
            <w:shd w:val="clear" w:color="auto" w:fill="auto"/>
            <w:tcMar>
              <w:top w:w="100" w:type="dxa"/>
              <w:left w:w="100" w:type="dxa"/>
              <w:bottom w:w="100" w:type="dxa"/>
              <w:right w:w="100" w:type="dxa"/>
            </w:tcMar>
          </w:tcPr>
          <w:p w14:paraId="3AC3CA3E" w14:textId="77777777" w:rsidR="003D77EB" w:rsidRDefault="00000000">
            <w:pPr>
              <w:widowControl w:val="0"/>
              <w:spacing w:line="240" w:lineRule="auto"/>
            </w:pPr>
            <w:r>
              <w:t>Financials</w:t>
            </w:r>
          </w:p>
          <w:p w14:paraId="043291AE" w14:textId="77777777" w:rsidR="003D77EB" w:rsidRDefault="00000000">
            <w:pPr>
              <w:widowControl w:val="0"/>
              <w:spacing w:line="240" w:lineRule="auto"/>
            </w:pPr>
            <w:r>
              <w:t>Consumer Discretionary</w:t>
            </w:r>
          </w:p>
          <w:p w14:paraId="230B7BEE" w14:textId="77777777" w:rsidR="003D77EB" w:rsidRDefault="00000000">
            <w:pPr>
              <w:widowControl w:val="0"/>
              <w:spacing w:line="240" w:lineRule="auto"/>
            </w:pPr>
            <w:r>
              <w:t>Industrials</w:t>
            </w:r>
          </w:p>
        </w:tc>
      </w:tr>
    </w:tbl>
    <w:p w14:paraId="70CCD208" w14:textId="77777777" w:rsidR="003D77EB" w:rsidRDefault="003D77EB"/>
    <w:p w14:paraId="7CA27457" w14:textId="77777777" w:rsidR="003D77EB" w:rsidRDefault="003D77EB"/>
    <w:p w14:paraId="7F561C1F" w14:textId="77777777" w:rsidR="003D77EB" w:rsidRDefault="003D77EB">
      <w:pPr>
        <w:rPr>
          <w:rFonts w:ascii="Roboto" w:eastAsia="Roboto" w:hAnsi="Roboto" w:cs="Roboto"/>
          <w:color w:val="ECECEC"/>
          <w:sz w:val="24"/>
          <w:szCs w:val="24"/>
          <w:shd w:val="clear" w:color="auto" w:fill="212121"/>
        </w:rPr>
      </w:pPr>
    </w:p>
    <w:p w14:paraId="2581CE78" w14:textId="77777777" w:rsidR="003D77EB" w:rsidRDefault="00000000">
      <w:pPr>
        <w:rPr>
          <w:rFonts w:ascii="Roboto" w:eastAsia="Roboto" w:hAnsi="Roboto" w:cs="Roboto"/>
          <w:i/>
          <w:sz w:val="24"/>
          <w:szCs w:val="24"/>
          <w:u w:val="single"/>
        </w:rPr>
      </w:pPr>
      <w:r>
        <w:rPr>
          <w:rFonts w:ascii="Roboto" w:eastAsia="Roboto" w:hAnsi="Roboto" w:cs="Roboto"/>
          <w:i/>
          <w:sz w:val="24"/>
          <w:szCs w:val="24"/>
          <w:u w:val="single"/>
        </w:rPr>
        <w:t xml:space="preserve">What observations can be made regarding sector volatility amidst shifts in interest rates between periods of rising and falling interest rates? </w:t>
      </w:r>
    </w:p>
    <w:p w14:paraId="7FDA9926" w14:textId="77777777" w:rsidR="003D77EB" w:rsidRDefault="003D77EB">
      <w:pPr>
        <w:rPr>
          <w:rFonts w:ascii="Roboto" w:eastAsia="Roboto" w:hAnsi="Roboto" w:cs="Roboto"/>
          <w:sz w:val="24"/>
          <w:szCs w:val="24"/>
          <w:u w:val="single"/>
        </w:rPr>
      </w:pPr>
    </w:p>
    <w:p w14:paraId="0032328E" w14:textId="77777777" w:rsidR="003D77EB" w:rsidRDefault="00000000">
      <w:pPr>
        <w:rPr>
          <w:rFonts w:ascii="Roboto" w:eastAsia="Roboto" w:hAnsi="Roboto" w:cs="Roboto"/>
          <w:sz w:val="24"/>
          <w:szCs w:val="24"/>
          <w:u w:val="single"/>
        </w:rPr>
      </w:pPr>
      <w:r>
        <w:rPr>
          <w:rFonts w:ascii="Roboto" w:eastAsia="Roboto" w:hAnsi="Roboto" w:cs="Roboto"/>
          <w:noProof/>
          <w:sz w:val="24"/>
          <w:szCs w:val="24"/>
          <w:u w:val="single"/>
        </w:rPr>
        <w:drawing>
          <wp:inline distT="114300" distB="114300" distL="114300" distR="114300" wp14:anchorId="2DA114D8" wp14:editId="17A96A54">
            <wp:extent cx="5748338" cy="306762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48338" cy="3067622"/>
                    </a:xfrm>
                    <a:prstGeom prst="rect">
                      <a:avLst/>
                    </a:prstGeom>
                    <a:ln/>
                  </pic:spPr>
                </pic:pic>
              </a:graphicData>
            </a:graphic>
          </wp:inline>
        </w:drawing>
      </w:r>
    </w:p>
    <w:p w14:paraId="20CA2CDB" w14:textId="77777777" w:rsidR="003D77EB" w:rsidRDefault="00000000">
      <w:pPr>
        <w:rPr>
          <w:highlight w:val="yellow"/>
        </w:rPr>
      </w:pPr>
      <w:r>
        <w:rPr>
          <w:noProof/>
          <w:highlight w:val="yellow"/>
        </w:rPr>
        <w:lastRenderedPageBreak/>
        <w:drawing>
          <wp:inline distT="114300" distB="114300" distL="114300" distR="114300" wp14:anchorId="5960D368" wp14:editId="729B3424">
            <wp:extent cx="5834063" cy="31133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34063" cy="3113370"/>
                    </a:xfrm>
                    <a:prstGeom prst="rect">
                      <a:avLst/>
                    </a:prstGeom>
                    <a:ln/>
                  </pic:spPr>
                </pic:pic>
              </a:graphicData>
            </a:graphic>
          </wp:inline>
        </w:drawing>
      </w:r>
    </w:p>
    <w:p w14:paraId="07279B0A" w14:textId="77777777" w:rsidR="003D77EB" w:rsidRDefault="003D77EB">
      <w:pPr>
        <w:rPr>
          <w:highlight w:val="yellow"/>
        </w:rPr>
      </w:pPr>
    </w:p>
    <w:p w14:paraId="15738974" w14:textId="77777777" w:rsidR="003D77EB" w:rsidRDefault="00000000">
      <w:pPr>
        <w:rPr>
          <w:highlight w:val="yellow"/>
        </w:rPr>
      </w:pPr>
      <w:r>
        <w:rPr>
          <w:noProof/>
          <w:highlight w:val="yellow"/>
        </w:rPr>
        <w:drawing>
          <wp:inline distT="114300" distB="114300" distL="114300" distR="114300" wp14:anchorId="472C307B" wp14:editId="054CABA4">
            <wp:extent cx="5815013" cy="310320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15013" cy="3103204"/>
                    </a:xfrm>
                    <a:prstGeom prst="rect">
                      <a:avLst/>
                    </a:prstGeom>
                    <a:ln/>
                  </pic:spPr>
                </pic:pic>
              </a:graphicData>
            </a:graphic>
          </wp:inline>
        </w:drawing>
      </w:r>
    </w:p>
    <w:p w14:paraId="0C6CF12C" w14:textId="77777777" w:rsidR="003D77EB" w:rsidRDefault="00000000">
      <w:pPr>
        <w:numPr>
          <w:ilvl w:val="0"/>
          <w:numId w:val="6"/>
        </w:numPr>
      </w:pPr>
      <w:r>
        <w:t>The Consumer Staple sectors regardless of a high/low interest rate environment is not volatile as compared to other sectors due to the inelastic demand of the market. Example goods that come under are fresh fruit and veg, household cleaning supplies etc.</w:t>
      </w:r>
    </w:p>
    <w:p w14:paraId="4A6CEA25" w14:textId="77777777" w:rsidR="003D77EB" w:rsidRDefault="00000000">
      <w:pPr>
        <w:numPr>
          <w:ilvl w:val="0"/>
          <w:numId w:val="6"/>
        </w:numPr>
      </w:pPr>
      <w:r>
        <w:t>The energy sector is highly volatile  in both a rising and falling interest rate environment due to the sector's reliance on financing to start/fund and exit operations and the elastic demand of the market.</w:t>
      </w:r>
    </w:p>
    <w:p w14:paraId="4F5F5A04" w14:textId="77777777" w:rsidR="003D77EB" w:rsidRDefault="00000000">
      <w:pPr>
        <w:numPr>
          <w:ilvl w:val="0"/>
          <w:numId w:val="6"/>
        </w:numPr>
      </w:pPr>
      <w:r>
        <w:t xml:space="preserve">The Healthcare sector is also not volatile as healthcare is an essential service and the prices of goods and services </w:t>
      </w:r>
      <w:proofErr w:type="spellStart"/>
      <w:r>
        <w:t>can not</w:t>
      </w:r>
      <w:proofErr w:type="spellEnd"/>
      <w:r>
        <w:t xml:space="preserve"> fluctuate due to the sector's inelastic demand.</w:t>
      </w:r>
    </w:p>
    <w:p w14:paraId="180D3DB9" w14:textId="77777777" w:rsidR="003D77EB" w:rsidRDefault="00000000">
      <w:pPr>
        <w:numPr>
          <w:ilvl w:val="0"/>
          <w:numId w:val="6"/>
        </w:numPr>
      </w:pPr>
      <w:r>
        <w:lastRenderedPageBreak/>
        <w:t>Standard Deviation is a good way to measure volatility over a period, based on the standard deviations.</w:t>
      </w:r>
    </w:p>
    <w:p w14:paraId="4F0595C2" w14:textId="178B3333" w:rsidR="003D77EB" w:rsidRDefault="00000000">
      <w:pPr>
        <w:rPr>
          <w:highlight w:val="yellow"/>
        </w:rPr>
      </w:pPr>
      <w:r>
        <w:rPr>
          <w:noProof/>
          <w:highlight w:val="yellow"/>
        </w:rPr>
        <w:drawing>
          <wp:inline distT="114300" distB="114300" distL="114300" distR="114300" wp14:anchorId="69615498" wp14:editId="48DCA836">
            <wp:extent cx="5943600" cy="1371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371600"/>
                    </a:xfrm>
                    <a:prstGeom prst="rect">
                      <a:avLst/>
                    </a:prstGeom>
                    <a:ln/>
                  </pic:spPr>
                </pic:pic>
              </a:graphicData>
            </a:graphic>
          </wp:inline>
        </w:drawing>
      </w:r>
    </w:p>
    <w:p w14:paraId="244F0C1E" w14:textId="5237FC73" w:rsidR="003D77EB" w:rsidRDefault="00342270">
      <w:pPr>
        <w:rPr>
          <w:highlight w:val="yellow"/>
        </w:rPr>
      </w:pPr>
      <w:r>
        <w:rPr>
          <w:noProof/>
          <w:highlight w:val="yellow"/>
        </w:rPr>
        <w:drawing>
          <wp:anchor distT="0" distB="0" distL="114300" distR="114300" simplePos="0" relativeHeight="251658240" behindDoc="0" locked="0" layoutInCell="1" allowOverlap="1" wp14:anchorId="0801A358" wp14:editId="32D8A783">
            <wp:simplePos x="0" y="0"/>
            <wp:positionH relativeFrom="column">
              <wp:posOffset>-38100</wp:posOffset>
            </wp:positionH>
            <wp:positionV relativeFrom="paragraph">
              <wp:posOffset>229870</wp:posOffset>
            </wp:positionV>
            <wp:extent cx="5943600" cy="1498600"/>
            <wp:effectExtent l="0" t="0" r="0" b="635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943600" cy="1498600"/>
                    </a:xfrm>
                    <a:prstGeom prst="rect">
                      <a:avLst/>
                    </a:prstGeom>
                    <a:ln/>
                  </pic:spPr>
                </pic:pic>
              </a:graphicData>
            </a:graphic>
          </wp:anchor>
        </w:drawing>
      </w:r>
    </w:p>
    <w:p w14:paraId="0790B02C" w14:textId="77777777" w:rsidR="003D77EB" w:rsidRDefault="003D77EB">
      <w:pPr>
        <w:rPr>
          <w:rFonts w:ascii="Roboto" w:eastAsia="Roboto" w:hAnsi="Roboto" w:cs="Roboto"/>
          <w:i/>
          <w:sz w:val="24"/>
          <w:szCs w:val="24"/>
          <w:u w:val="single"/>
        </w:rPr>
      </w:pPr>
    </w:p>
    <w:p w14:paraId="54C33038" w14:textId="77777777" w:rsidR="003D77EB" w:rsidRDefault="00000000">
      <w:pPr>
        <w:rPr>
          <w:rFonts w:ascii="Roboto" w:eastAsia="Roboto" w:hAnsi="Roboto" w:cs="Roboto"/>
          <w:i/>
          <w:color w:val="ECECEC"/>
          <w:sz w:val="24"/>
          <w:szCs w:val="24"/>
          <w:highlight w:val="red"/>
          <w:u w:val="single"/>
        </w:rPr>
      </w:pPr>
      <w:r>
        <w:rPr>
          <w:rFonts w:ascii="Roboto" w:eastAsia="Roboto" w:hAnsi="Roboto" w:cs="Roboto"/>
          <w:i/>
          <w:sz w:val="24"/>
          <w:szCs w:val="24"/>
          <w:u w:val="single"/>
        </w:rPr>
        <w:t>What correlations exist between sector performance during rising and falling interest rate environments, and how do these correlations vary across different phases of interest rate cycles?</w:t>
      </w:r>
      <w:r>
        <w:rPr>
          <w:rFonts w:ascii="Roboto" w:eastAsia="Roboto" w:hAnsi="Roboto" w:cs="Roboto"/>
          <w:i/>
          <w:color w:val="FFFFFF"/>
          <w:sz w:val="24"/>
          <w:szCs w:val="24"/>
          <w:highlight w:val="red"/>
          <w:u w:val="single"/>
        </w:rPr>
        <w:t xml:space="preserve"> </w:t>
      </w:r>
    </w:p>
    <w:p w14:paraId="5F1DC2F0" w14:textId="77777777" w:rsidR="003D77EB" w:rsidRDefault="003D77EB">
      <w:pPr>
        <w:rPr>
          <w:rFonts w:ascii="Roboto" w:eastAsia="Roboto" w:hAnsi="Roboto" w:cs="Roboto"/>
          <w:color w:val="ECECEC"/>
          <w:sz w:val="24"/>
          <w:szCs w:val="24"/>
          <w:shd w:val="clear" w:color="auto" w:fill="212121"/>
        </w:rPr>
      </w:pPr>
    </w:p>
    <w:p w14:paraId="13CC4EED" w14:textId="77777777" w:rsidR="003D77EB" w:rsidRDefault="00000000">
      <w:pPr>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9443D26" wp14:editId="79EAD2C3">
            <wp:extent cx="4282448" cy="34337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82448" cy="3433763"/>
                    </a:xfrm>
                    <a:prstGeom prst="rect">
                      <a:avLst/>
                    </a:prstGeom>
                    <a:ln/>
                  </pic:spPr>
                </pic:pic>
              </a:graphicData>
            </a:graphic>
          </wp:inline>
        </w:drawing>
      </w:r>
    </w:p>
    <w:p w14:paraId="1FFC967E" w14:textId="77777777" w:rsidR="003D77EB" w:rsidRDefault="003D77EB">
      <w:pPr>
        <w:ind w:left="720"/>
        <w:rPr>
          <w:rFonts w:ascii="Roboto" w:eastAsia="Roboto" w:hAnsi="Roboto" w:cs="Roboto"/>
          <w:sz w:val="24"/>
          <w:szCs w:val="24"/>
        </w:rPr>
      </w:pPr>
    </w:p>
    <w:p w14:paraId="382622AF" w14:textId="77777777" w:rsidR="003D77EB" w:rsidRDefault="00000000">
      <w:r>
        <w:rPr>
          <w:noProof/>
        </w:rPr>
        <w:lastRenderedPageBreak/>
        <w:drawing>
          <wp:inline distT="114300" distB="114300" distL="114300" distR="114300" wp14:anchorId="40A47BA0" wp14:editId="01277B7A">
            <wp:extent cx="4262438" cy="339550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262438" cy="3395501"/>
                    </a:xfrm>
                    <a:prstGeom prst="rect">
                      <a:avLst/>
                    </a:prstGeom>
                    <a:ln/>
                  </pic:spPr>
                </pic:pic>
              </a:graphicData>
            </a:graphic>
          </wp:inline>
        </w:drawing>
      </w:r>
    </w:p>
    <w:tbl>
      <w:tblPr>
        <w:tblStyle w:val="a0"/>
        <w:tblW w:w="11460" w:type="dxa"/>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4365"/>
        <w:gridCol w:w="3915"/>
      </w:tblGrid>
      <w:tr w:rsidR="003D77EB" w14:paraId="269613F6" w14:textId="77777777">
        <w:tc>
          <w:tcPr>
            <w:tcW w:w="3180" w:type="dxa"/>
            <w:shd w:val="clear" w:color="auto" w:fill="auto"/>
            <w:tcMar>
              <w:top w:w="100" w:type="dxa"/>
              <w:left w:w="100" w:type="dxa"/>
              <w:bottom w:w="100" w:type="dxa"/>
              <w:right w:w="100" w:type="dxa"/>
            </w:tcMar>
          </w:tcPr>
          <w:p w14:paraId="2A0D7548" w14:textId="77777777" w:rsidR="003D77EB" w:rsidRDefault="003D77EB">
            <w:pPr>
              <w:widowControl w:val="0"/>
              <w:spacing w:line="240" w:lineRule="auto"/>
            </w:pPr>
          </w:p>
        </w:tc>
        <w:tc>
          <w:tcPr>
            <w:tcW w:w="4365" w:type="dxa"/>
            <w:shd w:val="clear" w:color="auto" w:fill="auto"/>
            <w:tcMar>
              <w:top w:w="100" w:type="dxa"/>
              <w:left w:w="100" w:type="dxa"/>
              <w:bottom w:w="100" w:type="dxa"/>
              <w:right w:w="100" w:type="dxa"/>
            </w:tcMar>
          </w:tcPr>
          <w:p w14:paraId="61591F99" w14:textId="77777777" w:rsidR="003D77EB" w:rsidRDefault="00000000">
            <w:pPr>
              <w:widowControl w:val="0"/>
              <w:spacing w:line="240" w:lineRule="auto"/>
            </w:pPr>
            <w:r>
              <w:t>Rising Interest rate Environment</w:t>
            </w:r>
          </w:p>
        </w:tc>
        <w:tc>
          <w:tcPr>
            <w:tcW w:w="3915" w:type="dxa"/>
            <w:shd w:val="clear" w:color="auto" w:fill="auto"/>
            <w:tcMar>
              <w:top w:w="100" w:type="dxa"/>
              <w:left w:w="100" w:type="dxa"/>
              <w:bottom w:w="100" w:type="dxa"/>
              <w:right w:w="100" w:type="dxa"/>
            </w:tcMar>
          </w:tcPr>
          <w:p w14:paraId="331E259F" w14:textId="77777777" w:rsidR="003D77EB" w:rsidRDefault="00000000">
            <w:pPr>
              <w:widowControl w:val="0"/>
              <w:spacing w:line="240" w:lineRule="auto"/>
            </w:pPr>
            <w:r>
              <w:t>Falling Interest rate Environment</w:t>
            </w:r>
          </w:p>
        </w:tc>
      </w:tr>
      <w:tr w:rsidR="003D77EB" w14:paraId="6A3BCA06" w14:textId="77777777">
        <w:tc>
          <w:tcPr>
            <w:tcW w:w="3180" w:type="dxa"/>
            <w:shd w:val="clear" w:color="auto" w:fill="auto"/>
            <w:tcMar>
              <w:top w:w="100" w:type="dxa"/>
              <w:left w:w="100" w:type="dxa"/>
              <w:bottom w:w="100" w:type="dxa"/>
              <w:right w:w="100" w:type="dxa"/>
            </w:tcMar>
          </w:tcPr>
          <w:p w14:paraId="66889DFB" w14:textId="77777777" w:rsidR="003D77EB" w:rsidRDefault="00000000">
            <w:pPr>
              <w:widowControl w:val="0"/>
              <w:spacing w:line="240" w:lineRule="auto"/>
            </w:pPr>
            <w:r>
              <w:t>Most Correlated Sector</w:t>
            </w:r>
          </w:p>
        </w:tc>
        <w:tc>
          <w:tcPr>
            <w:tcW w:w="4365" w:type="dxa"/>
            <w:shd w:val="clear" w:color="auto" w:fill="auto"/>
            <w:tcMar>
              <w:top w:w="100" w:type="dxa"/>
              <w:left w:w="100" w:type="dxa"/>
              <w:bottom w:w="100" w:type="dxa"/>
              <w:right w:w="100" w:type="dxa"/>
            </w:tcMar>
          </w:tcPr>
          <w:p w14:paraId="22218951" w14:textId="77777777" w:rsidR="003D77EB" w:rsidRDefault="00000000">
            <w:pPr>
              <w:widowControl w:val="0"/>
              <w:spacing w:line="240" w:lineRule="auto"/>
            </w:pPr>
            <w:r>
              <w:t xml:space="preserve">Financial, Industrial , Material </w:t>
            </w:r>
          </w:p>
        </w:tc>
        <w:tc>
          <w:tcPr>
            <w:tcW w:w="3915" w:type="dxa"/>
            <w:shd w:val="clear" w:color="auto" w:fill="auto"/>
            <w:tcMar>
              <w:top w:w="100" w:type="dxa"/>
              <w:left w:w="100" w:type="dxa"/>
              <w:bottom w:w="100" w:type="dxa"/>
              <w:right w:w="100" w:type="dxa"/>
            </w:tcMar>
          </w:tcPr>
          <w:p w14:paraId="7B9DA7D0" w14:textId="77777777" w:rsidR="003D77EB" w:rsidRDefault="00000000">
            <w:pPr>
              <w:widowControl w:val="0"/>
              <w:spacing w:line="240" w:lineRule="auto"/>
            </w:pPr>
            <w:r>
              <w:t xml:space="preserve">Energy, material , Industries  </w:t>
            </w:r>
          </w:p>
        </w:tc>
      </w:tr>
      <w:tr w:rsidR="003D77EB" w14:paraId="2594CC30" w14:textId="77777777">
        <w:tc>
          <w:tcPr>
            <w:tcW w:w="3180" w:type="dxa"/>
            <w:shd w:val="clear" w:color="auto" w:fill="auto"/>
            <w:tcMar>
              <w:top w:w="100" w:type="dxa"/>
              <w:left w:w="100" w:type="dxa"/>
              <w:bottom w:w="100" w:type="dxa"/>
              <w:right w:w="100" w:type="dxa"/>
            </w:tcMar>
          </w:tcPr>
          <w:p w14:paraId="12C244F0" w14:textId="77777777" w:rsidR="003D77EB" w:rsidRDefault="00000000">
            <w:pPr>
              <w:widowControl w:val="0"/>
              <w:spacing w:line="240" w:lineRule="auto"/>
            </w:pPr>
            <w:r>
              <w:t>Least Correlated Sector</w:t>
            </w:r>
          </w:p>
        </w:tc>
        <w:tc>
          <w:tcPr>
            <w:tcW w:w="4365" w:type="dxa"/>
            <w:shd w:val="clear" w:color="auto" w:fill="auto"/>
            <w:tcMar>
              <w:top w:w="100" w:type="dxa"/>
              <w:left w:w="100" w:type="dxa"/>
              <w:bottom w:w="100" w:type="dxa"/>
              <w:right w:w="100" w:type="dxa"/>
            </w:tcMar>
          </w:tcPr>
          <w:p w14:paraId="41DB6F39" w14:textId="77777777" w:rsidR="003D77EB" w:rsidRDefault="00000000">
            <w:pPr>
              <w:widowControl w:val="0"/>
              <w:spacing w:line="240" w:lineRule="auto"/>
            </w:pPr>
            <w:r>
              <w:t>Consumer Staples, Utilities</w:t>
            </w:r>
          </w:p>
        </w:tc>
        <w:tc>
          <w:tcPr>
            <w:tcW w:w="3915" w:type="dxa"/>
            <w:shd w:val="clear" w:color="auto" w:fill="auto"/>
            <w:tcMar>
              <w:top w:w="100" w:type="dxa"/>
              <w:left w:w="100" w:type="dxa"/>
              <w:bottom w:w="100" w:type="dxa"/>
              <w:right w:w="100" w:type="dxa"/>
            </w:tcMar>
          </w:tcPr>
          <w:p w14:paraId="1A46B4DA" w14:textId="77777777" w:rsidR="003D77EB" w:rsidRDefault="00000000">
            <w:pPr>
              <w:widowControl w:val="0"/>
              <w:spacing w:line="240" w:lineRule="auto"/>
            </w:pPr>
            <w:r>
              <w:t xml:space="preserve">Consumer Staples, Utilities </w:t>
            </w:r>
          </w:p>
        </w:tc>
      </w:tr>
    </w:tbl>
    <w:p w14:paraId="586A21BB" w14:textId="77777777" w:rsidR="003D77EB" w:rsidRDefault="003D77EB"/>
    <w:p w14:paraId="7A9CEA08" w14:textId="77777777" w:rsidR="003D77EB" w:rsidRDefault="00000000">
      <w:pPr>
        <w:widowControl w:val="0"/>
        <w:numPr>
          <w:ilvl w:val="0"/>
          <w:numId w:val="3"/>
        </w:numPr>
        <w:spacing w:before="240" w:line="240" w:lineRule="auto"/>
      </w:pPr>
      <w:r>
        <w:rPr>
          <w:b/>
        </w:rPr>
        <w:t>Most Correlated Sector</w:t>
      </w:r>
      <w:r>
        <w:t>:</w:t>
      </w:r>
    </w:p>
    <w:p w14:paraId="70CB32B5" w14:textId="77777777" w:rsidR="003D77EB" w:rsidRDefault="00000000">
      <w:pPr>
        <w:widowControl w:val="0"/>
        <w:numPr>
          <w:ilvl w:val="1"/>
          <w:numId w:val="3"/>
        </w:numPr>
        <w:spacing w:line="240" w:lineRule="auto"/>
      </w:pPr>
      <w:r>
        <w:t xml:space="preserve">In both rising and falling interest rate environments, the </w:t>
      </w:r>
      <w:r>
        <w:rPr>
          <w:b/>
        </w:rPr>
        <w:t>Financial</w:t>
      </w:r>
      <w:r>
        <w:t xml:space="preserve">, </w:t>
      </w:r>
      <w:r>
        <w:rPr>
          <w:b/>
        </w:rPr>
        <w:t>Industrial</w:t>
      </w:r>
      <w:r>
        <w:t xml:space="preserve">, and </w:t>
      </w:r>
      <w:r>
        <w:rPr>
          <w:b/>
        </w:rPr>
        <w:t>Materials</w:t>
      </w:r>
      <w:r>
        <w:t xml:space="preserve"> sectors exhibit strong correlations. </w:t>
      </w:r>
    </w:p>
    <w:p w14:paraId="3E65490F" w14:textId="77777777" w:rsidR="003D77EB" w:rsidRDefault="00000000">
      <w:pPr>
        <w:widowControl w:val="0"/>
        <w:numPr>
          <w:ilvl w:val="1"/>
          <w:numId w:val="3"/>
        </w:numPr>
        <w:spacing w:line="240" w:lineRule="auto"/>
      </w:pPr>
      <w:r>
        <w:t>This is likely due to the capital intensive nature of the industries and the availability of capital is strongly tied to the interest rate that banks and funding institutions use to decide to provided funding to the businesses in those sectors</w:t>
      </w:r>
    </w:p>
    <w:p w14:paraId="4EB08F4D" w14:textId="77777777" w:rsidR="003D77EB" w:rsidRDefault="00000000">
      <w:pPr>
        <w:widowControl w:val="0"/>
        <w:numPr>
          <w:ilvl w:val="1"/>
          <w:numId w:val="3"/>
        </w:numPr>
        <w:spacing w:line="240" w:lineRule="auto"/>
      </w:pPr>
      <w:r>
        <w:t xml:space="preserve">Energy, Materials, and Industries also show significant correlation when interest rates change. As similar to a rising  interest capital is more easily access from banks and institutions as the returns and level of risk is lower. </w:t>
      </w:r>
    </w:p>
    <w:p w14:paraId="6676686B" w14:textId="77777777" w:rsidR="003D77EB" w:rsidRDefault="00000000">
      <w:pPr>
        <w:widowControl w:val="0"/>
        <w:numPr>
          <w:ilvl w:val="0"/>
          <w:numId w:val="3"/>
        </w:numPr>
        <w:spacing w:line="240" w:lineRule="auto"/>
      </w:pPr>
      <w:r>
        <w:rPr>
          <w:b/>
        </w:rPr>
        <w:t>Least Correlated Sector</w:t>
      </w:r>
      <w:r>
        <w:t>:</w:t>
      </w:r>
    </w:p>
    <w:p w14:paraId="6790BCD7" w14:textId="77777777" w:rsidR="003D77EB" w:rsidRDefault="00000000">
      <w:pPr>
        <w:widowControl w:val="0"/>
        <w:numPr>
          <w:ilvl w:val="1"/>
          <w:numId w:val="3"/>
        </w:numPr>
        <w:spacing w:after="240" w:line="240" w:lineRule="auto"/>
      </w:pPr>
      <w:r>
        <w:t xml:space="preserve">The </w:t>
      </w:r>
      <w:r>
        <w:rPr>
          <w:b/>
        </w:rPr>
        <w:t>Consumer Staples</w:t>
      </w:r>
      <w:r>
        <w:t xml:space="preserve"> and </w:t>
      </w:r>
      <w:r>
        <w:rPr>
          <w:b/>
        </w:rPr>
        <w:t>Utilities</w:t>
      </w:r>
      <w:r>
        <w:t xml:space="preserve"> sectors have the lowest correlation with other sectors in both scenarios, due to the fact that those industries have very inelastic demand, therefore business in those industries have less need to rely on capital provided but banks and other funding institutions where the interest rate central bank sets affects the lending capability. </w:t>
      </w:r>
    </w:p>
    <w:p w14:paraId="728506CF" w14:textId="52F70CE4" w:rsidR="00342270" w:rsidRDefault="00342270" w:rsidP="00342270">
      <w:pPr>
        <w:widowControl w:val="0"/>
        <w:numPr>
          <w:ilvl w:val="0"/>
          <w:numId w:val="3"/>
        </w:numPr>
        <w:spacing w:after="240" w:line="240" w:lineRule="auto"/>
      </w:pPr>
      <w:r>
        <w:t>Overall Correlation:</w:t>
      </w:r>
    </w:p>
    <w:p w14:paraId="36A97A7E" w14:textId="1A139A88" w:rsidR="003D77EB" w:rsidRDefault="00342270" w:rsidP="00342270">
      <w:pPr>
        <w:widowControl w:val="0"/>
        <w:numPr>
          <w:ilvl w:val="1"/>
          <w:numId w:val="3"/>
        </w:numPr>
        <w:spacing w:after="240" w:line="240" w:lineRule="auto"/>
      </w:pPr>
      <w:r>
        <w:t>All eight sectors are more correlated during an interest rate falling environment, this can be seen by the lighter colored heatmap.</w:t>
      </w:r>
    </w:p>
    <w:p w14:paraId="1ECD0D51" w14:textId="77777777" w:rsidR="003D77EB" w:rsidRDefault="003D77EB"/>
    <w:p w14:paraId="3B84923A" w14:textId="77777777" w:rsidR="003D77EB" w:rsidRDefault="003D77EB"/>
    <w:sectPr w:rsidR="003D77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EDF1302-ADB6-4D70-B561-D0B527D435BD}"/>
    <w:embedItalic r:id="rId2" w:fontKey="{0DEE86E0-8866-4463-B872-C0D28C94B2E8}"/>
  </w:font>
  <w:font w:name="Calibri">
    <w:panose1 w:val="020F0502020204030204"/>
    <w:charset w:val="00"/>
    <w:family w:val="swiss"/>
    <w:pitch w:val="variable"/>
    <w:sig w:usb0="E4002EFF" w:usb1="C200247B" w:usb2="00000009" w:usb3="00000000" w:csb0="000001FF" w:csb1="00000000"/>
    <w:embedRegular r:id="rId3" w:fontKey="{6E7A375C-750D-4D4A-966B-234C63679E47}"/>
  </w:font>
  <w:font w:name="Cambria">
    <w:panose1 w:val="02040503050406030204"/>
    <w:charset w:val="00"/>
    <w:family w:val="roman"/>
    <w:pitch w:val="variable"/>
    <w:sig w:usb0="E00006FF" w:usb1="420024FF" w:usb2="02000000" w:usb3="00000000" w:csb0="0000019F" w:csb1="00000000"/>
    <w:embedRegular r:id="rId4" w:fontKey="{3C7D6012-D706-4029-93B0-6C37489972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2229"/>
    <w:multiLevelType w:val="multilevel"/>
    <w:tmpl w:val="70EA1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B51A8D"/>
    <w:multiLevelType w:val="multilevel"/>
    <w:tmpl w:val="7DE09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747322"/>
    <w:multiLevelType w:val="multilevel"/>
    <w:tmpl w:val="6F98A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F5C6D70"/>
    <w:multiLevelType w:val="multilevel"/>
    <w:tmpl w:val="4D80A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CE03C2"/>
    <w:multiLevelType w:val="multilevel"/>
    <w:tmpl w:val="A3BAC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E20433"/>
    <w:multiLevelType w:val="multilevel"/>
    <w:tmpl w:val="79A29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200396">
    <w:abstractNumId w:val="3"/>
  </w:num>
  <w:num w:numId="2" w16cid:durableId="1529834460">
    <w:abstractNumId w:val="0"/>
  </w:num>
  <w:num w:numId="3" w16cid:durableId="1877891978">
    <w:abstractNumId w:val="2"/>
  </w:num>
  <w:num w:numId="4" w16cid:durableId="151876856">
    <w:abstractNumId w:val="5"/>
  </w:num>
  <w:num w:numId="5" w16cid:durableId="1263151272">
    <w:abstractNumId w:val="4"/>
  </w:num>
  <w:num w:numId="6" w16cid:durableId="603653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EB"/>
    <w:rsid w:val="00342270"/>
    <w:rsid w:val="003D77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5EBE"/>
  <w15:docId w15:val="{533A3CB6-ACF5-4547-8BD4-B3C4F611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716</Words>
  <Characters>4085</Characters>
  <Application>Microsoft Office Word</Application>
  <DocSecurity>0</DocSecurity>
  <Lines>34</Lines>
  <Paragraphs>9</Paragraphs>
  <ScaleCrop>false</ScaleCrop>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Morgan</cp:lastModifiedBy>
  <cp:revision>2</cp:revision>
  <dcterms:created xsi:type="dcterms:W3CDTF">2024-04-15T11:54:00Z</dcterms:created>
  <dcterms:modified xsi:type="dcterms:W3CDTF">2024-04-15T11:55:00Z</dcterms:modified>
</cp:coreProperties>
</file>