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PDOS 设计方向整合</w:t>
      </w:r>
    </w:p>
    <w:p>
      <w:pPr/>
      <w:r>
        <w:t xml:space="preserve">Sep 28, 2026</w:t>
      </w:r>
      <w:r>
        <w:t xml:space="preserve"> · </w:t>
      </w:r>
      <w:r>
        <w:t xml:space="preserve">@e5s85FZJ</w:t>
      </w:r>
    </w:p>
    <w:p>
      <w:pPr>
        <w:pStyle w:val="Heading2"/>
      </w:pPr>
      <w:r>
        <w:t xml:space="preserve">1. 目的与基线原则</w:t>
      </w:r>
    </w:p>
    <w:p>
      <w:pPr/>
      <w:r>
        <w:t xml:space="preserve">PDOS 只保留一套设计基线：</w:t>
      </w:r>
      <w:r>
        <w:rPr>
          <w:b/>
        </w:rPr>
        <w:t xml:space="preserve">原合同（2026-09-10 完整设计合同 v1.1）是领域基线，V2 五份文档只作为体验层、入口和 AI 机制的来源。</w:t>
      </w:r>
      <w:r>
        <w:t xml:space="preserve"> 本文件用于统一方向，不改变任何已冻结合同的效力；与冻结合同冲突处以冻结合同为准，需要修订的内容列入第 8 节待决。</w:t>
      </w:r>
    </w:p>
    <w:p>
      <w:pPr/>
      <w:r>
        <w:t xml:space="preserve">一句话分工：</w:t>
      </w:r>
      <w:r>
        <w:rPr>
          <w:b/>
        </w:rPr>
        <w:t xml:space="preserve">原合同管“对不对”，V2 与 Linear 理念管“顺不顺”，AI 管“谁来干”。</w:t>
      </w:r>
    </w:p>
    <w:p>
      <w:pPr/>
      <w:r>
        <w:t xml:space="preserve">五条基线原则：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领域不删减。</w:t>
      </w:r>
      <w:r>
        <w:t xml:space="preserve"> 原合同已想清楚的对象、状态机、确定性引擎和硬闸全部保留，包括齐套、资源、四时间、CCR/ECR/ECN、NCR/CAPA、会议与决定。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内核不外露。</w:t>
      </w:r>
      <w:r>
        <w:t xml:space="preserve"> 事务对象（候选包、计划候选、执行申请、签核记录）留在内核和审计视图，用户只看到业务含义。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人只碰决定和例外。</w:t>
      </w:r>
      <w:r>
        <w:t xml:space="preserve"> AI 先完成，确定性引擎校验，人处理 T2 决定和异常；T2 硬闸清单不变。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状态由工作推动。</w:t>
      </w:r>
      <w:r>
        <w:t xml:space="preserve"> 实际发生的事件（报告上传、图纸发布、样品签收、ERP 回执）自动推进状态，不靠人手动更新。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用真实证据扩展。</w:t>
      </w:r>
      <w:r>
        <w:t xml:space="preserve"> 先在一个真实产品上走通一条纵向路径，拿到真实员工证据，再扩大范围。</w:t>
      </w:r>
    </w:p>
    <w:p>
      <w:pPr/>
      <w:r>
        <w:t xml:space="preserve">GoodJob（CRM）与 PDOS 是两个独立系统，二者集成不在本文件范围，待 PDOS 完成后另行设计；本阶段仅在项目客户字段预留外部引用 ID。</w:t>
      </w:r>
    </w:p>
    <w:p>
      <w:pPr>
        <w:pStyle w:val="Heading2"/>
      </w:pPr>
      <w:r>
        <w:t xml:space="preserve">2. V2 可借鉴项及落地位置</w:t>
      </w:r>
    </w:p>
    <w:p>
      <w:pPr/>
      <w:r>
        <w:t xml:space="preserve">V2 共有 18 项值得借鉴，其中 P0 四项（项目先建、业务含义替代事务对象、决定与 Gate 页面、派生增量方法）应最先落地。V2 的 02 数据模型文档不采用。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借鉴点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V2 出处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落到原合同的方式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优先级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</w:t>
            </w:r>
          </w:p>
        </w:tc>
        <w:tc>
          <w:tcPr>
            <w:tcW w:w="1872" w:type="dxa"/>
          </w:tcPr>
          <w:p>
            <w:pPr/>
            <w:r>
              <w:t xml:space="preserve">项目先建，承诺后移到 G0/G1</w:t>
            </w:r>
          </w:p>
        </w:tc>
        <w:tc>
          <w:tcPr>
            <w:tcW w:w="1872" w:type="dxa"/>
          </w:tcPr>
          <w:p>
            <w:pPr/>
            <w:r>
              <w:t xml:space="preserve">00 §3.1、§7</w:t>
            </w:r>
          </w:p>
        </w:tc>
        <w:tc>
          <w:tcPr>
            <w:tcW w:w="1872" w:type="dxa"/>
          </w:tcPr>
          <w:p>
            <w:pPr/>
            <w:r>
              <w:t xml:space="preserve">§7 立项链留在内核；Case 成为 G0 证据记录；G1 同一事务生成执行批准、计划应用与首版基线；七态保留但 proposed/approved 不单独呈现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2</w:t>
            </w:r>
          </w:p>
        </w:tc>
        <w:tc>
          <w:tcPr>
            <w:tcW w:w="1872" w:type="dxa"/>
          </w:tcPr>
          <w:p>
            <w:pPr/>
            <w:r>
              <w:t xml:space="preserve">按项目类型分流（新品/OEM/派生）</w:t>
            </w:r>
          </w:p>
        </w:tc>
        <w:tc>
          <w:tcPr>
            <w:tcW w:w="1872" w:type="dxa"/>
          </w:tcPr>
          <w:p>
            <w:pPr/>
            <w:r>
              <w:t xml:space="preserve">00 §5、04</w:t>
            </w:r>
          </w:p>
        </w:tc>
        <w:tc>
          <w:tcPr>
            <w:tcW w:w="1872" w:type="dxa"/>
          </w:tcPr>
          <w:p>
            <w:pPr/>
            <w:r>
              <w:t xml:space="preserve">模板层按类型配置 Gate 政策、阶段与默认计划，对象和引擎不变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3</w:t>
            </w:r>
          </w:p>
        </w:tc>
        <w:tc>
          <w:tcPr>
            <w:tcW w:w="1872" w:type="dxa"/>
          </w:tcPr>
          <w:p>
            <w:pPr/>
            <w:r>
              <w:t xml:space="preserve">派生项目增量方法</w:t>
            </w:r>
          </w:p>
        </w:tc>
        <w:tc>
          <w:tcPr>
            <w:tcW w:w="1872" w:type="dxa"/>
          </w:tcPr>
          <w:p>
            <w:pPr/>
            <w:r>
              <w:t xml:space="preserve">04 Flow C</w:t>
            </w:r>
          </w:p>
        </w:tc>
        <w:tc>
          <w:tcPr>
            <w:tcW w:w="1872" w:type="dxa"/>
          </w:tcPr>
          <w:p>
            <w:pPr/>
            <w:r>
              <w:t xml:space="preserve">整段吸收：变与不变、五类复用分类、定义差异、增量计划、受影响加回归验证；补 Product/Project 继承与回写规则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4</w:t>
            </w:r>
          </w:p>
        </w:tc>
        <w:tc>
          <w:tcPr>
            <w:tcW w:w="1872" w:type="dxa"/>
          </w:tcPr>
          <w:p>
            <w:pPr/>
            <w:r>
              <w:t xml:space="preserve">OEM 细节：需求四类归组、客户等待单列、三种放行状态区分</w:t>
            </w:r>
          </w:p>
        </w:tc>
        <w:tc>
          <w:tcPr>
            <w:tcW w:w="1872" w:type="dxa"/>
          </w:tcPr>
          <w:p>
            <w:pPr/>
            <w:r>
              <w:t xml:space="preserve">04 Flow B</w:t>
            </w:r>
          </w:p>
        </w:tc>
        <w:tc>
          <w:tcPr>
            <w:tcW w:w="1872" w:type="dxa"/>
          </w:tcPr>
          <w:p>
            <w:pPr/>
            <w:r>
              <w:t xml:space="preserve">补进需求抽取能力；推广 §6.1 等待规则；新增承认对象（见第 4 节）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5</w:t>
            </w:r>
          </w:p>
        </w:tc>
        <w:tc>
          <w:tcPr>
            <w:tcW w:w="1872" w:type="dxa"/>
          </w:tcPr>
          <w:p>
            <w:pPr/>
            <w:r>
              <w:t xml:space="preserve">用户看到业务含义，不看事务对象</w:t>
            </w:r>
          </w:p>
        </w:tc>
        <w:tc>
          <w:tcPr>
            <w:tcW w:w="1872" w:type="dxa"/>
          </w:tcPr>
          <w:p>
            <w:pPr/>
            <w:r>
              <w:t xml:space="preserve">01 §1.4</w:t>
            </w:r>
          </w:p>
        </w:tc>
        <w:tc>
          <w:tcPr>
            <w:tcW w:w="1872" w:type="dxa"/>
          </w:tcPr>
          <w:p>
            <w:pPr/>
            <w:r>
              <w:t xml:space="preserve">作为 §8 正式 UX 原则，逐页审查用语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6</w:t>
            </w:r>
          </w:p>
        </w:tc>
        <w:tc>
          <w:tcPr>
            <w:tcW w:w="1872" w:type="dxa"/>
          </w:tcPr>
          <w:p>
            <w:pPr/>
            <w:r>
              <w:t xml:space="preserve">八个主要对象的心智模型</w:t>
            </w:r>
          </w:p>
        </w:tc>
        <w:tc>
          <w:tcPr>
            <w:tcW w:w="1872" w:type="dxa"/>
          </w:tcPr>
          <w:p>
            <w:pPr/>
            <w:r>
              <w:t xml:space="preserve">00 §3.2</w:t>
            </w:r>
          </w:p>
        </w:tc>
        <w:tc>
          <w:tcPr>
            <w:tcW w:w="1872" w:type="dxa"/>
          </w:tcPr>
          <w:p>
            <w:pPr/>
            <w:r>
              <w:t xml:space="preserve">原对象族全部保留，界面归入八类：CCR/ECR/ECN 统称变更，NCR/CAPA 作为问题的品质闭环页签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7</w:t>
            </w:r>
          </w:p>
        </w:tc>
        <w:tc>
          <w:tcPr>
            <w:tcW w:w="1872" w:type="dxa"/>
          </w:tcPr>
          <w:p>
            <w:pPr/>
            <w:r>
              <w:t xml:space="preserve">Build 页面结构</w:t>
            </w:r>
          </w:p>
        </w:tc>
        <w:tc>
          <w:tcPr>
            <w:tcW w:w="1872" w:type="dxa"/>
          </w:tcPr>
          <w:p>
            <w:pPr/>
            <w:r>
              <w:t xml:space="preserve">01 §17</w:t>
            </w:r>
          </w:p>
        </w:tc>
        <w:tc>
          <w:tcPr>
            <w:tcW w:w="1872" w:type="dxa"/>
          </w:tcPr>
          <w:p>
            <w:pPr/>
            <w:r>
              <w:t xml:space="preserve">直接采用，数据来自现有 Build、Sample 与配置修订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8</w:t>
            </w:r>
          </w:p>
        </w:tc>
        <w:tc>
          <w:tcPr>
            <w:tcW w:w="1872" w:type="dxa"/>
          </w:tcPr>
          <w:p>
            <w:pPr/>
            <w:r>
              <w:t xml:space="preserve">决定与 Gate 评审页面</w:t>
            </w:r>
          </w:p>
        </w:tc>
        <w:tc>
          <w:tcPr>
            <w:tcW w:w="1872" w:type="dxa"/>
          </w:tcPr>
          <w:p>
            <w:pPr/>
            <w:r>
              <w:t xml:space="preserve">01 §20–21</w:t>
            </w:r>
          </w:p>
        </w:tc>
        <w:tc>
          <w:tcPr>
            <w:tcW w:w="1872" w:type="dxa"/>
          </w:tcPr>
          <w:p>
            <w:pPr/>
            <w:r>
              <w:t xml:space="preserve">底层 Gate/DCP/TR 分开，界面统一；作为 §11 准备度引擎的展示层</w:t>
            </w:r>
          </w:p>
        </w:tc>
        <w:tc>
          <w:tcPr>
            <w:tcW w:w="1872" w:type="dxa"/>
          </w:tcPr>
          <w:p>
            <w:pPr/>
            <w:r>
              <w:t xml:space="preserve">P0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9</w:t>
            </w:r>
          </w:p>
        </w:tc>
        <w:tc>
          <w:tcPr>
            <w:tcW w:w="1872" w:type="dxa"/>
          </w:tcPr>
          <w:p>
            <w:pPr/>
            <w:r>
              <w:t xml:space="preserve">需求覆盖列与验证矩阵视图</w:t>
            </w:r>
          </w:p>
        </w:tc>
        <w:tc>
          <w:tcPr>
            <w:tcW w:w="1872" w:type="dxa"/>
          </w:tcPr>
          <w:p>
            <w:pPr/>
            <w:r>
              <w:t xml:space="preserve">01 §14、§18</w:t>
            </w:r>
          </w:p>
        </w:tc>
        <w:tc>
          <w:tcPr>
            <w:tcW w:w="1872" w:type="dxa"/>
          </w:tcPr>
          <w:p>
            <w:pPr/>
            <w:r>
              <w:t xml:space="preserve">覆盖引擎已可计算，直接采用视图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收件箱与活动流分离</w:t>
            </w:r>
          </w:p>
        </w:tc>
        <w:tc>
          <w:tcPr>
            <w:tcW w:w="1872" w:type="dxa"/>
          </w:tcPr>
          <w:p>
            <w:pPr/>
            <w:r>
              <w:t xml:space="preserve">01 §4、03 §26</w:t>
            </w:r>
          </w:p>
        </w:tc>
        <w:tc>
          <w:tcPr>
            <w:tcW w:w="1872" w:type="dxa"/>
          </w:tcPr>
          <w:p>
            <w:pPr/>
            <w:r>
              <w:t xml:space="preserve">补进提醒政策：AI 常规信息只进活动流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11</w:t>
            </w:r>
          </w:p>
        </w:tc>
        <w:tc>
          <w:tcPr>
            <w:tcW w:w="1872" w:type="dxa"/>
          </w:tcPr>
          <w:p>
            <w:pPr/>
            <w:r>
              <w:t xml:space="preserve">精确编号确定性检索、命令面板、快捷键、保存视图</w:t>
            </w:r>
          </w:p>
        </w:tc>
        <w:tc>
          <w:tcPr>
            <w:tcW w:w="1872" w:type="dxa"/>
          </w:tcPr>
          <w:p>
            <w:pPr/>
            <w:r>
              <w:t xml:space="preserve">01 §3、§28–29</w:t>
            </w:r>
          </w:p>
        </w:tc>
        <w:tc>
          <w:tcPr>
            <w:tcW w:w="1872" w:type="dxa"/>
          </w:tcPr>
          <w:p>
            <w:pPr/>
            <w:r>
              <w:t xml:space="preserve">补进 N3-08 验收标准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12</w:t>
            </w:r>
          </w:p>
        </w:tc>
        <w:tc>
          <w:tcPr>
            <w:tcW w:w="1872" w:type="dxa"/>
          </w:tcPr>
          <w:p>
            <w:pPr/>
            <w:r>
              <w:t xml:space="preserve">项目创建即触发 AI 项目设置</w:t>
            </w:r>
          </w:p>
        </w:tc>
        <w:tc>
          <w:tcPr>
            <w:tcW w:w="1872" w:type="dxa"/>
          </w:tcPr>
          <w:p>
            <w:pPr/>
            <w:r>
              <w:t xml:space="preserve">01 §8、03 §15</w:t>
            </w:r>
          </w:p>
        </w:tc>
        <w:tc>
          <w:tcPr>
            <w:tcW w:w="1872" w:type="dxa"/>
          </w:tcPr>
          <w:p>
            <w:pPr/>
            <w:r>
              <w:t xml:space="preserve">初始计划能力前移到项目创建：T0 简报 + T1 建议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13</w:t>
            </w:r>
          </w:p>
        </w:tc>
        <w:tc>
          <w:tcPr>
            <w:tcW w:w="1872" w:type="dxa"/>
          </w:tcPr>
          <w:p>
            <w:pPr/>
            <w:r>
              <w:t xml:space="preserve">常驻项目 Agent 与四层记忆</w:t>
            </w:r>
          </w:p>
        </w:tc>
        <w:tc>
          <w:tcPr>
            <w:tcW w:w="1872" w:type="dxa"/>
          </w:tcPr>
          <w:p>
            <w:pPr/>
            <w:r>
              <w:t xml:space="preserve">03 §3、§13</w:t>
            </w:r>
          </w:p>
        </w:tc>
        <w:tc>
          <w:tcPr>
            <w:tcW w:w="1872" w:type="dxa"/>
          </w:tcPr>
          <w:p>
            <w:pPr/>
            <w:r>
              <w:t xml:space="preserve">按当前状态、关键事件、决定原因、经验候选组织 §15 Memory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14</w:t>
            </w:r>
          </w:p>
        </w:tc>
        <w:tc>
          <w:tcPr>
            <w:tcW w:w="1872" w:type="dxa"/>
          </w:tcPr>
          <w:p>
            <w:pPr/>
            <w:r>
              <w:t xml:space="preserve">回答区分事实、推断、建议、未决</w:t>
            </w:r>
          </w:p>
        </w:tc>
        <w:tc>
          <w:tcPr>
            <w:tcW w:w="1872" w:type="dxa"/>
          </w:tcPr>
          <w:p>
            <w:pPr/>
            <w:r>
              <w:t xml:space="preserve">00 §3.6、01 §30</w:t>
            </w:r>
          </w:p>
        </w:tc>
        <w:tc>
          <w:tcPr>
            <w:tcW w:w="1872" w:type="dxa"/>
          </w:tcPr>
          <w:p>
            <w:pPr/>
            <w:r>
              <w:t xml:space="preserve">将 §9.1 事实性质延伸到小Pai 回答格式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15</w:t>
            </w:r>
          </w:p>
        </w:tc>
        <w:tc>
          <w:tcPr>
            <w:tcW w:w="1872" w:type="dxa"/>
          </w:tcPr>
          <w:p>
            <w:pPr/>
            <w:r>
              <w:t xml:space="preserve">拒绝原因分类与逐能力指标</w:t>
            </w:r>
          </w:p>
        </w:tc>
        <w:tc>
          <w:tcPr>
            <w:tcW w:w="1872" w:type="dxa"/>
          </w:tcPr>
          <w:p>
            <w:pPr/>
            <w:r>
              <w:t xml:space="preserve">03 §31–32</w:t>
            </w:r>
          </w:p>
        </w:tc>
        <w:tc>
          <w:tcPr>
            <w:tcW w:w="1872" w:type="dxa"/>
          </w:tcPr>
          <w:p>
            <w:pPr/>
            <w:r>
              <w:t xml:space="preserve">补进 §23 专业 AI 验收，作为档位晋升数据源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16</w:t>
            </w:r>
          </w:p>
        </w:tc>
        <w:tc>
          <w:tcPr>
            <w:tcW w:w="1872" w:type="dxa"/>
          </w:tcPr>
          <w:p>
            <w:pPr/>
            <w:r>
              <w:t xml:space="preserve">健康度人工覆盖须标记</w:t>
            </w:r>
          </w:p>
        </w:tc>
        <w:tc>
          <w:tcPr>
            <w:tcW w:w="1872" w:type="dxa"/>
          </w:tcPr>
          <w:p>
            <w:pPr/>
            <w:r>
              <w:t xml:space="preserve">03 §24</w:t>
            </w:r>
          </w:p>
        </w:tc>
        <w:tc>
          <w:tcPr>
            <w:tcW w:w="1872" w:type="dxa"/>
          </w:tcPr>
          <w:p>
            <w:pPr/>
            <w:r>
              <w:t xml:space="preserve">在六维健康规则中补一条</w:t>
            </w:r>
          </w:p>
        </w:tc>
        <w:tc>
          <w:tcPr>
            <w:tcW w:w="1872" w:type="dxa"/>
          </w:tcPr>
          <w:p>
            <w:pPr/>
            <w:r>
              <w:t xml:space="preserve">P2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17</w:t>
            </w:r>
          </w:p>
        </w:tc>
        <w:tc>
          <w:tcPr>
            <w:tcW w:w="1872" w:type="dxa"/>
          </w:tcPr>
          <w:p>
            <w:pPr/>
            <w:r>
              <w:t xml:space="preserve">首次用户七条验收标准</w:t>
            </w:r>
          </w:p>
        </w:tc>
        <w:tc>
          <w:tcPr>
            <w:tcW w:w="1872" w:type="dxa"/>
          </w:tcPr>
          <w:p>
            <w:pPr/>
            <w:r>
              <w:t xml:space="preserve">01 §34</w:t>
            </w:r>
          </w:p>
        </w:tc>
        <w:tc>
          <w:tcPr>
            <w:tcW w:w="1872" w:type="dxa"/>
          </w:tcPr>
          <w:p>
            <w:pPr/>
            <w:r>
              <w:t xml:space="preserve">补进 §22 作为用户视角验收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18</w:t>
            </w:r>
          </w:p>
        </w:tc>
        <w:tc>
          <w:tcPr>
            <w:tcW w:w="1872" w:type="dxa"/>
          </w:tcPr>
          <w:p>
            <w:pPr/>
            <w:r>
              <w:t xml:space="preserve">反模式清单</w:t>
            </w:r>
          </w:p>
        </w:tc>
        <w:tc>
          <w:tcPr>
            <w:tcW w:w="1872" w:type="dxa"/>
          </w:tcPr>
          <w:p>
            <w:pPr/>
            <w:r>
              <w:t xml:space="preserve">01 §32</w:t>
            </w:r>
          </w:p>
        </w:tc>
        <w:tc>
          <w:tcPr>
            <w:tcW w:w="1872" w:type="dxa"/>
          </w:tcPr>
          <w:p>
            <w:pPr/>
            <w:r>
              <w:t xml:space="preserve">作为每次设计评审的检查清单</w:t>
            </w:r>
          </w:p>
        </w:tc>
        <w:tc>
          <w:tcPr>
            <w:tcW w:w="1872" w:type="dxa"/>
          </w:tcPr>
          <w:p>
            <w:pPr/>
            <w:r>
              <w:t xml:space="preserve">P1</w:t>
            </w:r>
          </w:p>
        </w:tc>
      </w:tr>
    </w:tbl>
    <w:p>
      <w:pPr/>
      <w:r>
        <w:t xml:space="preserve">不采用：V2 的 02 数据模型（删掉了齐套、资源、四时间、会议、变更与品质细分）；A0/A1/A2 命名改用已批准的 T0/T1/T2；健康度维度以原合同六维为准。</w:t>
      </w:r>
    </w:p>
    <w:p>
      <w:pPr>
        <w:pStyle w:val="Heading2"/>
      </w:pPr>
      <w:r>
        <w:t xml:space="preserve">3. V2 与原合同逐项对照</w:t>
      </w:r>
    </w:p>
    <w:p>
      <w:pPr/>
      <w:r>
        <w:t xml:space="preserve">13 个领域中，V2 有 6 个删减或丢失了原合同内容，必须补回；其余可按“底层保留、界面简化”处理。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领域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原合同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V2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处理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项目状态</w:t>
            </w:r>
          </w:p>
        </w:tc>
        <w:tc>
          <w:tcPr>
            <w:tcW w:w="2340" w:type="dxa"/>
          </w:tcPr>
          <w:p>
            <w:pPr/>
            <w:r>
              <w:t xml:space="preserve">七态：draft/proposed/approved/active/on_hold/completed/archived</w:t>
            </w:r>
          </w:p>
        </w:tc>
        <w:tc>
          <w:tcPr>
            <w:tcW w:w="2340" w:type="dxa"/>
          </w:tcPr>
          <w:p>
            <w:pPr/>
            <w:r>
              <w:t xml:space="preserve">六态，批准移入 Decision</w:t>
            </w:r>
          </w:p>
        </w:tc>
        <w:tc>
          <w:tcPr>
            <w:tcW w:w="2340" w:type="dxa"/>
          </w:tcPr>
          <w:p>
            <w:pPr/>
            <w:r>
              <w:t xml:space="preserve">底层保留七态；界面不单独呈现 proposed/approved，由 G0/G1 决定驱动；写明映射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阶段</w:t>
            </w:r>
          </w:p>
        </w:tc>
        <w:tc>
          <w:tcPr>
            <w:tcW w:w="2340" w:type="dxa"/>
          </w:tcPr>
          <w:p>
            <w:pPr/>
            <w:r>
              <w:t xml:space="preserve">concept/planning/design/evt/dvt/pvt/mp</w:t>
            </w:r>
          </w:p>
        </w:tc>
        <w:tc>
          <w:tcPr>
            <w:tcW w:w="2340" w:type="dxa"/>
          </w:tcPr>
          <w:p>
            <w:pPr/>
            <w:r>
              <w:t xml:space="preserve">explore/definition/development/evt/dvt/pvt/mp</w:t>
            </w:r>
          </w:p>
        </w:tc>
        <w:tc>
          <w:tcPr>
            <w:tcW w:w="2340" w:type="dxa"/>
          </w:tcPr>
          <w:p>
            <w:pPr/>
            <w:r>
              <w:t xml:space="preserve">保留原阶段；planning 与 design 的区分承载规格冻结和四专业汇合，不能合并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时间真值</w:t>
            </w:r>
          </w:p>
        </w:tc>
        <w:tc>
          <w:tcPr>
            <w:tcW w:w="2340" w:type="dxa"/>
          </w:tcPr>
          <w:p>
            <w:pPr/>
            <w:r>
              <w:t xml:space="preserve">Baseline/Forecast/Commitment/Actual 四个独立版本</w:t>
            </w:r>
          </w:p>
        </w:tc>
        <w:tc>
          <w:tcPr>
            <w:tcW w:w="2340" w:type="dxa"/>
          </w:tcPr>
          <w:p>
            <w:pPr/>
            <w:r>
              <w:t xml:space="preserve">仅基线与里程碑目标/实际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：对客户承诺与内部预测必须分开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样机与配置</w:t>
            </w:r>
          </w:p>
        </w:tc>
        <w:tc>
          <w:tcPr>
            <w:tcW w:w="2340" w:type="dxa"/>
          </w:tcPr>
          <w:p>
            <w:pPr/>
            <w:r>
              <w:t xml:space="preserve">Sample + 不可变配置修订，Run 绑定修订</w:t>
            </w:r>
          </w:p>
        </w:tc>
        <w:tc>
          <w:tcPr>
            <w:tcW w:w="2340" w:type="dxa"/>
          </w:tcPr>
          <w:p>
            <w:pPr/>
            <w:r>
              <w:t xml:space="preserve">Build + 可选 BuildUnit</w:t>
            </w:r>
          </w:p>
        </w:tc>
        <w:tc>
          <w:tcPr>
            <w:tcW w:w="2340" w:type="dxa"/>
          </w:tcPr>
          <w:p>
            <w:pPr/>
            <w:r>
              <w:t xml:space="preserve">合并：Build 为批次，Sample 为单台，配置修订沿用原合同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变更</w:t>
            </w:r>
          </w:p>
        </w:tc>
        <w:tc>
          <w:tcPr>
            <w:tcW w:w="2340" w:type="dxa"/>
          </w:tcPr>
          <w:p>
            <w:pPr/>
            <w:r>
              <w:t xml:space="preserve">CCR/ECR/ECN 分开，ECN 有生效决定与 ERP 交接</w:t>
            </w:r>
          </w:p>
        </w:tc>
        <w:tc>
          <w:tcPr>
            <w:tcW w:w="2340" w:type="dxa"/>
          </w:tcPr>
          <w:p>
            <w:pPr/>
            <w:r>
              <w:t xml:space="preserve">单一 Change</w:t>
            </w:r>
          </w:p>
        </w:tc>
        <w:tc>
          <w:tcPr>
            <w:tcW w:w="2340" w:type="dxa"/>
          </w:tcPr>
          <w:p>
            <w:pPr/>
            <w:r>
              <w:t xml:space="preserve">界面统称“变更”，底层保留三者与生效、交接状态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品质问题</w:t>
            </w:r>
          </w:p>
        </w:tc>
        <w:tc>
          <w:tcPr>
            <w:tcW w:w="2340" w:type="dxa"/>
          </w:tcPr>
          <w:p>
            <w:pPr/>
            <w:r>
              <w:t xml:space="preserve">Issue 协调，NCR/CAPA 专业闭环，高严重独立验证人</w:t>
            </w:r>
          </w:p>
        </w:tc>
        <w:tc>
          <w:tcPr>
            <w:tcW w:w="2340" w:type="dxa"/>
          </w:tcPr>
          <w:p>
            <w:pPr/>
            <w:r>
              <w:t xml:space="preserve">仅 Issue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 NCR/CAPA 与独立验证规则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物料齐套</w:t>
            </w:r>
          </w:p>
        </w:tc>
        <w:tc>
          <w:tcPr>
            <w:tcW w:w="2340" w:type="dxa"/>
          </w:tcPr>
          <w:p>
            <w:pPr/>
            <w:r>
              <w:t xml:space="preserve">Demand/Supply/Kit/Shortage + 齐套引擎</w:t>
            </w:r>
          </w:p>
        </w:tc>
        <w:tc>
          <w:tcPr>
            <w:tcW w:w="2340" w:type="dxa"/>
          </w:tcPr>
          <w:p>
            <w:pPr/>
            <w:r>
              <w:t xml:space="preserve">无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：试产能否按期取决于齐套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资源预约</w:t>
            </w:r>
          </w:p>
        </w:tc>
        <w:tc>
          <w:tcPr>
            <w:tcW w:w="2340" w:type="dxa"/>
          </w:tcPr>
          <w:p>
            <w:pPr/>
            <w:r>
              <w:t xml:space="preserve">Resource/Reservation，含实验室、台架、模具、治具、试制线</w:t>
            </w:r>
          </w:p>
        </w:tc>
        <w:tc>
          <w:tcPr>
            <w:tcW w:w="2340" w:type="dxa"/>
          </w:tcPr>
          <w:p>
            <w:pPr/>
            <w:r>
              <w:t xml:space="preserve">无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：样机与实验室争用是 DVT 延期主因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会议</w:t>
            </w:r>
          </w:p>
        </w:tc>
        <w:tc>
          <w:tcPr>
            <w:tcW w:w="2340" w:type="dxa"/>
          </w:tcPr>
          <w:p>
            <w:pPr/>
            <w:r>
              <w:t xml:space="preserve">议程 → 纪要 → 决定 → 行动 → 执行回执</w:t>
            </w:r>
          </w:p>
        </w:tc>
        <w:tc>
          <w:tcPr>
            <w:tcW w:w="2340" w:type="dxa"/>
          </w:tcPr>
          <w:p>
            <w:pPr/>
            <w:r>
              <w:t xml:space="preserve">无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：项目经理最高频场景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评审</w:t>
            </w:r>
          </w:p>
        </w:tc>
        <w:tc>
          <w:tcPr>
            <w:tcW w:w="2340" w:type="dxa"/>
          </w:tcPr>
          <w:p>
            <w:pPr/>
            <w:r>
              <w:t xml:space="preserve">DCP、TR、Gate 各自状态与政策</w:t>
            </w:r>
          </w:p>
        </w:tc>
        <w:tc>
          <w:tcPr>
            <w:tcW w:w="2340" w:type="dxa"/>
          </w:tcPr>
          <w:p>
            <w:pPr/>
            <w:r>
              <w:t xml:space="preserve">并入 Decision</w:t>
            </w:r>
          </w:p>
        </w:tc>
        <w:tc>
          <w:tcPr>
            <w:tcW w:w="2340" w:type="dxa"/>
          </w:tcPr>
          <w:p>
            <w:pPr/>
            <w:r>
              <w:t xml:space="preserve">界面统一决定页面，底层保留类型与政策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健康度</w:t>
            </w:r>
          </w:p>
        </w:tc>
        <w:tc>
          <w:tcPr>
            <w:tcW w:w="2340" w:type="dxa"/>
          </w:tcPr>
          <w:p>
            <w:pPr/>
            <w:r>
              <w:t xml:space="preserve">六维：进度/工程/质量/成本/供应/认证</w:t>
            </w:r>
          </w:p>
        </w:tc>
        <w:tc>
          <w:tcPr>
            <w:tcW w:w="2340" w:type="dxa"/>
          </w:tcPr>
          <w:p>
            <w:pPr/>
            <w:r>
              <w:t xml:space="preserve">七维：进度/范围/质量/成本/供应/资源/决策</w:t>
            </w:r>
          </w:p>
        </w:tc>
        <w:tc>
          <w:tcPr>
            <w:tcW w:w="2340" w:type="dxa"/>
          </w:tcPr>
          <w:p>
            <w:pPr/>
            <w:r>
              <w:t xml:space="preserve">以原六维为准；资源冲突与待决定作为例外信号呈现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AI 档位</w:t>
            </w:r>
          </w:p>
        </w:tc>
        <w:tc>
          <w:tcPr>
            <w:tcW w:w="2340" w:type="dxa"/>
          </w:tcPr>
          <w:p>
            <w:pPr/>
            <w:r>
              <w:t xml:space="preserve">T0/T1/T2（DC-11 已批准）</w:t>
            </w:r>
          </w:p>
        </w:tc>
        <w:tc>
          <w:tcPr>
            <w:tcW w:w="2340" w:type="dxa"/>
          </w:tcPr>
          <w:p>
            <w:pPr/>
            <w:r>
              <w:t xml:space="preserve">A0/A1/A2</w:t>
            </w:r>
          </w:p>
        </w:tc>
        <w:tc>
          <w:tcPr>
            <w:tcW w:w="2340" w:type="dxa"/>
          </w:tcPr>
          <w:p>
            <w:pPr/>
            <w:r>
              <w:t xml:space="preserve">沿用 T0/T1/T2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知识</w:t>
            </w:r>
          </w:p>
        </w:tc>
        <w:tc>
          <w:tcPr>
            <w:tcW w:w="2340" w:type="dxa"/>
          </w:tcPr>
          <w:p>
            <w:pPr/>
            <w:r>
              <w:t xml:space="preserve">Memory/DesignRule：审核、适用条件、撤回传播</w:t>
            </w:r>
          </w:p>
        </w:tc>
        <w:tc>
          <w:tcPr>
            <w:tcW w:w="2340" w:type="dxa"/>
          </w:tcPr>
          <w:p>
            <w:pPr/>
            <w:r>
              <w:t xml:space="preserve">仅 Learning Memory 候选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补回</w:t>
            </w:r>
            <w:r>
              <w:t xml:space="preserve">原合同知识治理</w:t>
            </w:r>
          </w:p>
        </w:tc>
      </w:tr>
    </w:tbl>
    <w:p>
      <w:pPr>
        <w:pStyle w:val="Heading2"/>
      </w:pPr>
      <w:r>
        <w:t xml:space="preserve">4. 需要补充的对象</w:t>
      </w:r>
    </w:p>
    <w:p>
      <w:pPr/>
      <w:r>
        <w:t xml:space="preserve">原合同覆盖了 IE、治具、SOP、试产的职责和交付，但多数只停在任务、资源或引用层面，§9.2 对象字典中没有对应实体。建议补充六个对象族，均归入现有 namespace，不新建 schema。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对象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解决的问题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最小字段与关系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建议归属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开发工艺路线（ProcessRoute / Operation）</w:t>
            </w:r>
          </w:p>
        </w:tc>
        <w:tc>
          <w:tcPr>
            <w:tcW w:w="2340" w:type="dxa"/>
          </w:tcPr>
          <w:p>
            <w:pPr/>
            <w:r>
              <w:t xml:space="preserve">NPI 期工艺还未进入 ERP；ECN 时无法列出受影响工序、SOP、治具</w:t>
            </w:r>
          </w:p>
        </w:tc>
        <w:tc>
          <w:tcPr>
            <w:tcW w:w="2340" w:type="dxa"/>
          </w:tcPr>
          <w:p>
            <w:pPr/>
            <w:r>
              <w:t xml:space="preserve">工序序号、关联 BOM 行、SOP 版本、治具、测试项、PFMEA 条目、控制计划条目；量产移交时作为 ERP 工艺来源</w:t>
            </w:r>
          </w:p>
        </w:tc>
        <w:tc>
          <w:tcPr>
            <w:tcW w:w="2340" w:type="dxa"/>
          </w:tcPr>
          <w:p>
            <w:pPr/>
            <w:r>
              <w:t xml:space="preserve">project；对应 N5 与 PVT 移交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模具（Tooling）</w:t>
            </w:r>
          </w:p>
        </w:tc>
        <w:tc>
          <w:tcPr>
            <w:tcW w:w="2340" w:type="dxa"/>
          </w:tcPr>
          <w:p>
            <w:pPr/>
            <w:r>
              <w:t xml:space="preserve">试模轮次、修模、签样只能靠任务拼凑，排期引擎无法计入</w:t>
            </w:r>
          </w:p>
        </w:tc>
        <w:tc>
          <w:tcPr>
            <w:tcW w:w="2340" w:type="dxa"/>
          </w:tcPr>
          <w:p>
            <w:pPr/>
            <w:r>
              <w:t xml:space="preserve">零件、供应商、模穴数、状态（开模 → T0 → T1 → … → 签样 → 量产）、每轮试模问题清单、修模记录、承认状态</w:t>
            </w:r>
          </w:p>
        </w:tc>
        <w:tc>
          <w:tcPr>
            <w:tcW w:w="2340" w:type="dxa"/>
          </w:tcPr>
          <w:p>
            <w:pPr/>
            <w:r>
              <w:t xml:space="preserve">supplier；对应 N5-05、G26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治具与设备（Fixture / Equipment）</w:t>
            </w:r>
          </w:p>
        </w:tc>
        <w:tc>
          <w:tcPr>
            <w:tcW w:w="2340" w:type="dxa"/>
          </w:tcPr>
          <w:p>
            <w:pPr/>
            <w:r>
              <w:t xml:space="preserve">设计变更时无法回答“哪些治具受影响”</w:t>
            </w:r>
          </w:p>
        </w:tc>
        <w:tc>
          <w:tcPr>
            <w:tcW w:w="2340" w:type="dxa"/>
          </w:tcPr>
          <w:p>
            <w:pPr/>
            <w:r>
              <w:t xml:space="preserve">用途（组装/测试/检具）、适用工序与产品版本、状态（设计 → 制作 → 验收 → 在线）、数量需求、负责人</w:t>
            </w:r>
          </w:p>
        </w:tc>
        <w:tc>
          <w:tcPr>
            <w:tcW w:w="2340" w:type="dxa"/>
          </w:tcPr>
          <w:p>
            <w:pPr/>
            <w:r>
              <w:t xml:space="preserve">project；对应 N5-05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试产批次与良率（Pilot Run）</w:t>
            </w:r>
          </w:p>
        </w:tc>
        <w:tc>
          <w:tcPr>
            <w:tcW w:w="2340" w:type="dxa"/>
          </w:tcPr>
          <w:p>
            <w:pPr/>
            <w:r>
              <w:t xml:space="preserve">附录 PM2 保留“试制轮次/批次/真实良率”，但无对象</w:t>
            </w:r>
          </w:p>
        </w:tc>
        <w:tc>
          <w:tcPr>
            <w:tcW w:w="2340" w:type="dxa"/>
          </w:tcPr>
          <w:p>
            <w:pPr/>
            <w:r>
              <w:t xml:space="preserve">作为 Build 扩展：工艺路线版本、SOP 版本、治具清单、产线、投入/产出、各工序良率、首件结果；良率由确定性计算</w:t>
            </w:r>
          </w:p>
        </w:tc>
        <w:tc>
          <w:tcPr>
            <w:tcW w:w="2340" w:type="dxa"/>
          </w:tcPr>
          <w:p>
            <w:pPr/>
            <w:r>
              <w:t xml:space="preserve">project；对应 N5-05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承认（Approval of Parts / Samples）</w:t>
            </w:r>
          </w:p>
        </w:tc>
        <w:tc>
          <w:tcPr>
            <w:tcW w:w="2340" w:type="dxa"/>
          </w:tcPr>
          <w:p>
            <w:pPr/>
            <w:r>
              <w:t xml:space="preserve">客户承认、供应商零件承认、签样无统一承载</w:t>
            </w:r>
          </w:p>
        </w:tc>
        <w:tc>
          <w:tcPr>
            <w:tcW w:w="2340" w:type="dxa"/>
          </w:tcPr>
          <w:p>
            <w:pPr/>
            <w:r>
              <w:t xml:space="preserve">承认方（客户/内部/供应商）、对象（样机/零件/模具）、版本、结论、条件、证据；区分客户承认、内部工程发布、制造发布</w:t>
            </w:r>
          </w:p>
        </w:tc>
        <w:tc>
          <w:tcPr>
            <w:tcW w:w="2340" w:type="dxa"/>
          </w:tcPr>
          <w:p>
            <w:pPr/>
            <w:r>
              <w:t xml:space="preserve">quality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ECN 断点与库存处置</w:t>
            </w:r>
          </w:p>
        </w:tc>
        <w:tc>
          <w:tcPr>
            <w:tcW w:w="2340" w:type="dxa"/>
          </w:tcPr>
          <w:p>
            <w:pPr/>
            <w:r>
              <w:t xml:space="preserve">现有 effectivity 仅一行描述，量产后变更易出错</w:t>
            </w:r>
          </w:p>
        </w:tc>
        <w:tc>
          <w:tcPr>
            <w:tcW w:w="2340" w:type="dxa"/>
          </w:tcPr>
          <w:p>
            <w:pPr/>
            <w:r>
              <w:t xml:space="preserve">断点方式（日期/批次/序列号）、在库与在制品处置（用完/返工/报废）、同步更新的 SOP 与治具、ERP 物料与 BOM 切换回执</w:t>
            </w:r>
          </w:p>
        </w:tc>
        <w:tc>
          <w:tcPr>
            <w:tcW w:w="2340" w:type="dxa"/>
          </w:tcPr>
          <w:p>
            <w:pPr/>
            <w:r>
              <w:t xml:space="preserve">project；扩展现有 ECN</w:t>
            </w:r>
          </w:p>
        </w:tc>
      </w:tr>
    </w:tbl>
    <w:p>
      <w:pPr/>
      <w:r>
        <w:t xml:space="preserve">另外，</w:t>
      </w:r>
      <w:r>
        <w:rPr>
          <w:b/>
        </w:rPr>
        <w:t xml:space="preserve">样机分配</w:t>
      </w:r>
      <w:r>
        <w:t xml:space="preserve">不新增对象，而是强化现有 Sample：DVT 起每台样机必须记录去向（可靠性测试、客户送样、认证送测、内部评审）和是否已被破坏性测试消耗，并纳入资源冲突计算。</w:t>
      </w:r>
    </w:p>
    <w:p>
      <w:pPr>
        <w:pStyle w:val="Heading2"/>
      </w:pPr>
      <w:r>
        <w:t xml:space="preserve">5. AI-native 改造方案</w:t>
      </w:r>
    </w:p>
    <w:p>
      <w:pPr/>
      <w:r>
        <w:t xml:space="preserve">默认模式从“人录入、AI 建议、人再确认”反转为“AI 先完成、引擎校验、人处理例外和决定”。头号指标是原合同 §23 的</w:t>
      </w:r>
      <w:r>
        <w:rPr>
          <w:b/>
        </w:rPr>
        <w:t xml:space="preserve">减负 = 原流程主动时间 − 新流程主动时间</w:t>
      </w:r>
      <w:r>
        <w:t xml:space="preserve">，辅以“完成一件业务需要人操作几次”。</w:t>
      </w:r>
    </w:p>
    <w:p>
      <w:pPr>
        <w:pStyle w:val="Heading3"/>
      </w:pPr>
      <w:r>
        <w:t xml:space="preserve">5.1 确认次数：从双动作压到一次确认</w:t>
      </w:r>
    </w:p>
    <w:p>
      <w:pPr>
        <w:pStyle w:val="ListParagraph"/>
        <w:numPr>
          <w:ilvl w:val="0"/>
          <w:numId w:val="3"/>
        </w:numPr>
      </w:pPr>
      <w:r>
        <w:t xml:space="preserve">尽可能多的能力从旧 Finding 双动作迁移到 DC-11 的 T1（预填一次确认）或 T0。</w:t>
      </w:r>
    </w:p>
    <w:p>
      <w:pPr>
        <w:pStyle w:val="ListParagraph"/>
        <w:numPr>
          <w:ilvl w:val="0"/>
          <w:numId w:val="3"/>
        </w:numPr>
      </w:pPr>
      <w:r>
        <w:t xml:space="preserve">同一人、同一版本、无来源漂移时，“接受”与“应用”合并为“确认并应用”；版本变化才要求重新核对。</w:t>
      </w:r>
    </w:p>
    <w:p>
      <w:pPr>
        <w:pStyle w:val="ListParagraph"/>
        <w:numPr>
          <w:ilvl w:val="0"/>
          <w:numId w:val="3"/>
        </w:numPr>
      </w:pPr>
      <w:r>
        <w:t xml:space="preserve">一个业务意图打一个包：例如测试失败时，Issue、关联规格与样机、通知责任人、复测任务合为一张卡片一次确认。</w:t>
      </w:r>
    </w:p>
    <w:p>
      <w:pPr>
        <w:pStyle w:val="ListParagraph"/>
        <w:numPr>
          <w:ilvl w:val="0"/>
          <w:numId w:val="3"/>
        </w:numPr>
      </w:pPr>
      <w:r>
        <w:t xml:space="preserve">T2 硬闸清单不变。</w:t>
      </w:r>
    </w:p>
    <w:p>
      <w:pPr>
        <w:pStyle w:val="Heading3"/>
      </w:pPr>
      <w:r>
        <w:t xml:space="preserve">5.2 审批复用：G1 一次决定生成全部内核记录</w:t>
      </w:r>
    </w:p>
    <w:p>
      <w:pPr/>
      <w:r>
        <w:t xml:space="preserve">决策人在 G1 页面看到完整证据包后点一次“批准”，内核在同一事务内生成 Case 批准、执行批准、计划应用回执和首版基线。依据是原合同 §7 已有的“同一已有批准可按政策引用复用”，本方案将其设为默认。</w:t>
      </w:r>
    </w:p>
    <w:p>
      <w:pPr>
        <w:pStyle w:val="Heading3"/>
      </w:pPr>
      <w:r>
        <w:t xml:space="preserve">5.3 信息入口：AI 作为录入员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通道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做法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档位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钉钉转发</w:t>
            </w:r>
          </w:p>
        </w:tc>
        <w:tc>
          <w:tcPr>
            <w:tcW w:w="3120" w:type="dxa"/>
          </w:tcPr>
          <w:p>
            <w:pPr/>
            <w:r>
              <w:t xml:space="preserve">用户主动把供应商消息、群聊片段转给小Pai，AI 更新状态并重算排期；符合“不抓取全部聊天”边界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现场拍照与语音</w:t>
            </w:r>
          </w:p>
        </w:tc>
        <w:tc>
          <w:tcPr>
            <w:tcW w:w="3120" w:type="dxa"/>
          </w:tcPr>
          <w:p>
            <w:pPr/>
            <w:r>
              <w:t xml:space="preserve">拍不良品照片加一句描述，AI 起草 NCR/Issue 并关联当前批次与工序</w:t>
            </w:r>
          </w:p>
        </w:tc>
        <w:tc>
          <w:tcPr>
            <w:tcW w:w="3120" w:type="dxa"/>
          </w:tcPr>
          <w:p>
            <w:pPr/>
            <w:r>
              <w:t xml:space="preserve">T1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文件投放</w:t>
            </w:r>
          </w:p>
        </w:tc>
        <w:tc>
          <w:tcPr>
            <w:tcW w:w="3120" w:type="dxa"/>
          </w:tcPr>
          <w:p>
            <w:pPr/>
            <w:r>
              <w:t xml:space="preserve">测试报告、试模报告、承认书、客户 RFQ 在任意位置拖入即解析，沿用 §12.2 导入合同</w:t>
            </w:r>
          </w:p>
        </w:tc>
        <w:tc>
          <w:tcPr>
            <w:tcW w:w="3120" w:type="dxa"/>
          </w:tcPr>
          <w:p>
            <w:pPr/>
            <w:r>
              <w:t xml:space="preserve">解析 T1，判定由引擎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会议转写</w:t>
            </w:r>
          </w:p>
        </w:tc>
        <w:tc>
          <w:tcPr>
            <w:tcW w:w="3120" w:type="dxa"/>
          </w:tcPr>
          <w:p>
            <w:pPr/>
            <w:r>
              <w:t xml:space="preserve">生成纪要、决定和行动项；内部分派可撤回</w:t>
            </w:r>
          </w:p>
        </w:tc>
        <w:tc>
          <w:tcPr>
            <w:tcW w:w="3120" w:type="dxa"/>
          </w:tcPr>
          <w:p>
            <w:pPr/>
            <w:r>
              <w:t xml:space="preserve">行动分派 T0，决定 T2</w:t>
            </w:r>
          </w:p>
        </w:tc>
      </w:tr>
    </w:tbl>
    <w:p>
      <w:pPr>
        <w:pStyle w:val="Heading3"/>
      </w:pPr>
      <w:r>
        <w:t xml:space="preserve">5.4 状态自动维护</w:t>
      </w:r>
    </w:p>
    <w:p>
      <w:pPr>
        <w:pStyle w:val="ListParagraph"/>
        <w:numPr>
          <w:ilvl w:val="0"/>
          <w:numId w:val="4"/>
        </w:numPr>
      </w:pPr>
      <w:r>
        <w:t xml:space="preserve">项目 Agent 每天重建项目状态：变化、阻塞、待决定、距下一 Gate 的缺口。</w:t>
      </w:r>
    </w:p>
    <w:p>
      <w:pPr>
        <w:pStyle w:val="ListParagraph"/>
        <w:numPr>
          <w:ilvl w:val="0"/>
          <w:numId w:val="4"/>
        </w:numPr>
      </w:pPr>
      <w:r>
        <w:t xml:space="preserve">周报自动起草（T0），项目经理只改结论句。</w:t>
      </w:r>
    </w:p>
    <w:p>
      <w:pPr>
        <w:pStyle w:val="ListParagraph"/>
        <w:numPr>
          <w:ilvl w:val="0"/>
          <w:numId w:val="4"/>
        </w:numPr>
      </w:pPr>
      <w:r>
        <w:t xml:space="preserve">Gate 准备度持续计算。PVT 前按“人机料法环测”（4M1E）每日检查：治具验收、SOP 版本、齐套率、培训完成度，缺项自动生成跟进任务。</w:t>
      </w:r>
    </w:p>
    <w:p>
      <w:pPr>
        <w:pStyle w:val="Heading3"/>
      </w:pPr>
      <w:r>
        <w:t xml:space="preserve">5.5 AI 负责追踪推进</w:t>
      </w:r>
    </w:p>
    <w:p>
      <w:pPr>
        <w:pStyle w:val="ListParagraph"/>
        <w:numPr>
          <w:ilvl w:val="0"/>
          <w:numId w:val="5"/>
        </w:numPr>
      </w:pPr>
      <w:r>
        <w:t xml:space="preserve">对内：临期或阻塞时自动提醒，并说明影响（如“该治具延期将使试产推迟 5 天”），复用 §11 提醒/SLA 引擎的合并、静默与日额度，T0。</w:t>
      </w:r>
    </w:p>
    <w:p>
      <w:pPr>
        <w:pStyle w:val="ListParagraph"/>
        <w:numPr>
          <w:ilvl w:val="0"/>
          <w:numId w:val="5"/>
        </w:numPr>
      </w:pPr>
      <w:r>
        <w:t xml:space="preserve">对外：供应商和客户跟进由 AI 起草，发送仍为 T2。</w:t>
      </w:r>
    </w:p>
    <w:p>
      <w:pPr>
        <w:pStyle w:val="ListParagraph"/>
        <w:numPr>
          <w:ilvl w:val="0"/>
          <w:numId w:val="5"/>
        </w:numPr>
      </w:pPr>
      <w:r>
        <w:t xml:space="preserve">升级：同一事项提醒两次无进展，转入项目经理“需关注”列表。</w:t>
      </w:r>
    </w:p>
    <w:p>
      <w:pPr>
        <w:pStyle w:val="Heading3"/>
      </w:pPr>
      <w:r>
        <w:t xml:space="preserve">5.6 按角色落地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角色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AI-native 做法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档位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项目经理</w:t>
            </w:r>
          </w:p>
        </w:tc>
        <w:tc>
          <w:tcPr>
            <w:tcW w:w="3120" w:type="dxa"/>
          </w:tcPr>
          <w:p>
            <w:pPr/>
            <w:r>
              <w:t xml:space="preserve">自动追踪提醒、每日状态重建、周报草稿、Gate 证据包持续准备</w:t>
            </w:r>
          </w:p>
        </w:tc>
        <w:tc>
          <w:tcPr>
            <w:tcW w:w="3120" w:type="dxa"/>
          </w:tcPr>
          <w:p>
            <w:pPr/>
            <w:r>
              <w:t xml:space="preserve">提醒/周报 T0，Gate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产品经理</w:t>
            </w:r>
          </w:p>
        </w:tc>
        <w:tc>
          <w:tcPr>
            <w:tcW w:w="3120" w:type="dxa"/>
          </w:tcPr>
          <w:p>
            <w:pPr/>
            <w:r>
              <w:t xml:space="preserve">RFQ 与客户文件抽取需求并保留出处，规格书由结构化数据生成</w:t>
            </w:r>
          </w:p>
        </w:tc>
        <w:tc>
          <w:tcPr>
            <w:tcW w:w="3120" w:type="dxa"/>
          </w:tcPr>
          <w:p>
            <w:pPr/>
            <w:r>
              <w:t xml:space="preserve">需求 T1，定义发布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结构工程师</w:t>
            </w:r>
          </w:p>
        </w:tc>
        <w:tc>
          <w:tcPr>
            <w:tcW w:w="3120" w:type="dxa"/>
          </w:tcPr>
          <w:p>
            <w:pPr/>
            <w:r>
              <w:t xml:space="preserve">试模报告转问题清单，修模进度转发即更新，改图列出受影响模具、治具、SOP</w:t>
            </w:r>
          </w:p>
        </w:tc>
        <w:tc>
          <w:tcPr>
            <w:tcW w:w="3120" w:type="dxa"/>
          </w:tcPr>
          <w:p>
            <w:pPr/>
            <w:r>
              <w:t xml:space="preserve">问题清单 T1，影响只读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硬件工程师</w:t>
            </w:r>
          </w:p>
        </w:tc>
        <w:tc>
          <w:tcPr>
            <w:tcW w:w="3120" w:type="dxa"/>
          </w:tcPr>
          <w:p>
            <w:pPr/>
            <w:r>
              <w:t xml:space="preserve">EDA 导出 BOM 自动比对，扫描 EOL、单一来源、长交期</w:t>
            </w:r>
          </w:p>
        </w:tc>
        <w:tc>
          <w:tcPr>
            <w:tcW w:w="3120" w:type="dxa"/>
          </w:tcPr>
          <w:p>
            <w:pPr/>
            <w:r>
              <w:t xml:space="preserve">比对 T0，替代料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软件工程师</w:t>
            </w:r>
          </w:p>
        </w:tc>
        <w:tc>
          <w:tcPr>
            <w:tcW w:w="3120" w:type="dxa"/>
          </w:tcPr>
          <w:p>
            <w:pPr/>
            <w:r>
              <w:t xml:space="preserve">从 Git/Jira 同步版本发布，检查固件与 PCB 兼容</w:t>
            </w:r>
          </w:p>
        </w:tc>
        <w:tc>
          <w:tcPr>
            <w:tcW w:w="3120" w:type="dxa"/>
          </w:tcPr>
          <w:p>
            <w:pPr/>
            <w:r>
              <w:t xml:space="preserve">T0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DQE</w:t>
            </w:r>
          </w:p>
        </w:tc>
        <w:tc>
          <w:tcPr>
            <w:tcW w:w="3120" w:type="dxa"/>
          </w:tcPr>
          <w:p>
            <w:pPr/>
            <w:r>
              <w:t xml:space="preserve">报告解析比对规格，失败起草 Issue，样机分配冲突预警</w:t>
            </w:r>
          </w:p>
        </w:tc>
        <w:tc>
          <w:tcPr>
            <w:tcW w:w="3120" w:type="dxa"/>
          </w:tcPr>
          <w:p>
            <w:pPr/>
            <w:r>
              <w:t xml:space="preserve">解析 T1，签核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SQE</w:t>
            </w:r>
          </w:p>
        </w:tc>
        <w:tc>
          <w:tcPr>
            <w:tcW w:w="3120" w:type="dxa"/>
          </w:tcPr>
          <w:p>
            <w:pPr/>
            <w:r>
              <w:t xml:space="preserve">供应商回复转发即更新，由 NCR 生成 8D 初稿</w:t>
            </w:r>
          </w:p>
        </w:tc>
        <w:tc>
          <w:tcPr>
            <w:tcW w:w="3120" w:type="dxa"/>
          </w:tcPr>
          <w:p>
            <w:pPr/>
            <w:r>
              <w:t xml:space="preserve">状态 T1，承认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IE / 制造</w:t>
            </w:r>
          </w:p>
        </w:tc>
        <w:tc>
          <w:tcPr>
            <w:tcW w:w="3120" w:type="dxa"/>
          </w:tcPr>
          <w:p>
            <w:pPr/>
            <w:r>
              <w:t xml:space="preserve">由 BOM 与工艺路线起草 SOP，ECN 列出受影响工序/SOP/治具，试产准备度每日检查</w:t>
            </w:r>
          </w:p>
        </w:tc>
        <w:tc>
          <w:tcPr>
            <w:tcW w:w="3120" w:type="dxa"/>
          </w:tcPr>
          <w:p>
            <w:pPr/>
            <w:r>
              <w:t xml:space="preserve">SOP 草稿 T0，发布 T2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管理层</w:t>
            </w:r>
          </w:p>
        </w:tc>
        <w:tc>
          <w:tcPr>
            <w:tcW w:w="3120" w:type="dxa"/>
          </w:tcPr>
          <w:p>
            <w:pPr/>
            <w:r>
              <w:t xml:space="preserve">跨项目例外汇总，只推送待决定与重大风险</w:t>
            </w:r>
          </w:p>
        </w:tc>
        <w:tc>
          <w:tcPr>
            <w:tcW w:w="3120" w:type="dxa"/>
          </w:tcPr>
          <w:p>
            <w:pPr/>
            <w:r>
              <w:t xml:space="preserve">只读</w:t>
            </w:r>
          </w:p>
        </w:tc>
      </w:tr>
    </w:tbl>
    <w:p>
      <w:pPr>
        <w:pStyle w:val="Heading3"/>
      </w:pPr>
      <w:r>
        <w:t xml:space="preserve">5.7 档位晋升机制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影子模式</w:t>
      </w:r>
      <w:r>
        <w:t xml:space="preserve">：新能力后台运行，结果不进员工待办，只与人工结果比对。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T1 阶段</w:t>
      </w:r>
      <w:r>
        <w:t xml:space="preserve">：一次确认模式，统计接受率、修改率、拒绝率（含结构化拒绝原因）和下游错误。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晋升 T0</w:t>
      </w:r>
      <w:r>
        <w:t xml:space="preserve">：达到阈值后由治理人批准为可撤回直接写入；阈值按能力配置，不预填通用数值。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自动降级</w:t>
      </w:r>
      <w:r>
        <w:t xml:space="preserve">：出现下游错误或修改率上升，退回 T1。</w:t>
      </w:r>
    </w:p>
    <w:p>
      <w:pPr/>
      <w:r>
        <w:t xml:space="preserve">晋升只适用于 T0/T1 之间；T2 事项任何情况下不由 AI 执行。</w:t>
      </w:r>
    </w:p>
    <w:p>
      <w:pPr>
        <w:pStyle w:val="Heading2"/>
      </w:pPr>
      <w:r>
        <w:t xml:space="preserve">6. Linear 理念落地清单</w:t>
      </w:r>
    </w:p>
    <w:p>
      <w:pPr/>
      <w:r>
        <w:t xml:space="preserve">借 Linear 的理念与机制，不借它的业务模型。总原则：</w:t>
      </w:r>
      <w:r>
        <w:rPr>
          <w:b/>
        </w:rPr>
        <w:t xml:space="preserve">流程是护栏，不是表单</w:t>
      </w:r>
      <w:r>
        <w:t xml:space="preserve">——治理全部保留在内核，只在真正不可逆的节点出现。目标比例：约 90% 日常操作一步完成或自动完成，T1 集中在“AI 替我做了，我看一眼”，T2 只出现在 Gate、冻结、ECN、对外承诺。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Linear 理念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在 PDOS 中的做法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为干活的人设计</w:t>
            </w:r>
          </w:p>
        </w:tc>
        <w:tc>
          <w:tcPr>
            <w:tcW w:w="4680" w:type="dxa"/>
          </w:tcPr>
          <w:p>
            <w:pPr/>
            <w:r>
              <w:t xml:space="preserve">工程师日常操作要轻；只为报表存在的字段去掉，由系统从工作中推导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有主见的默认值</w:t>
            </w:r>
          </w:p>
        </w:tc>
        <w:tc>
          <w:tcPr>
            <w:tcW w:w="4680" w:type="dxa"/>
          </w:tcPr>
          <w:p>
            <w:pPr/>
            <w:r>
              <w:t xml:space="preserve">新品、OEM、派生三套模板开箱即用，带 20 节点依赖、DQE/SQE/IE 交付与 Gate 标准；自然语言配置作为少数情况的补充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速度即功能</w:t>
            </w:r>
          </w:p>
        </w:tc>
        <w:tc>
          <w:tcPr>
            <w:tcW w:w="4680" w:type="dxa"/>
          </w:tcPr>
          <w:p>
            <w:pPr/>
            <w:r>
              <w:t xml:space="preserve">低风险可撤回编辑乐观更新，后台校验落库；手机现场采集三步以内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状态由工作推动</w:t>
            </w:r>
          </w:p>
        </w:tc>
        <w:tc>
          <w:tcPr>
            <w:tcW w:w="4680" w:type="dxa"/>
          </w:tcPr>
          <w:p>
            <w:pPr/>
            <w:r>
              <w:t xml:space="preserve">报告解析 → 验证状态；PLM 发布 → 设计任务完成；样品签收 → 齐套重算；ERP 回执 → ECN 交接关闭；试模报告 → 模具进入下一轮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Triage 待分拣区</w:t>
            </w:r>
          </w:p>
        </w:tc>
        <w:tc>
          <w:tcPr>
            <w:tcW w:w="4680" w:type="dxa"/>
          </w:tcPr>
          <w:p>
            <w:pPr/>
            <w:r>
              <w:t xml:space="preserve">钉钉转发、客户要求、供应商回复、AI 发现的问题、会议行动项先进待分拣区，负责人每天快速确认、合并、分派或丢弃；承接现有 Finding 与 Review Inbox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自动滚动的节奏</w:t>
            </w:r>
          </w:p>
        </w:tc>
        <w:tc>
          <w:tcPr>
            <w:tcW w:w="4680" w:type="dxa"/>
          </w:tcPr>
          <w:p>
            <w:pPr/>
            <w:r>
              <w:t xml:space="preserve">小节奏为每周：议程由例外自动生成，未完成行动自动带入下周；大节奏为 Build：上一轮遗留问题自动进入下一轮准备清单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定期项目更新</w:t>
            </w:r>
          </w:p>
        </w:tc>
        <w:tc>
          <w:tcPr>
            <w:tcW w:w="4680" w:type="dxa"/>
          </w:tcPr>
          <w:p>
            <w:pPr/>
            <w:r>
              <w:t xml:space="preserve">AI 起草更新与健康判断，项目经理修改结论句后发布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AI 作为可指派的队友</w:t>
            </w:r>
          </w:p>
        </w:tc>
        <w:tc>
          <w:tcPr>
            <w:tcW w:w="4680" w:type="dxa"/>
          </w:tcPr>
          <w:p>
            <w:pPr/>
            <w:r>
              <w:t xml:space="preserve">“起草 SOP”“整理测试数据”“比对 BOM”“起草 8D 回复”可直接指派给小Pai，按档位交回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减少琐事</w:t>
            </w:r>
          </w:p>
        </w:tc>
        <w:tc>
          <w:tcPr>
            <w:tcW w:w="4680" w:type="dxa"/>
          </w:tcPr>
          <w:p>
            <w:pPr/>
            <w:r>
              <w:t xml:space="preserve">重复问题识别、停滞行动自动提醒或升级、结项遗留项转入产品层跟踪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客户需求挂到工作上</w:t>
            </w:r>
          </w:p>
        </w:tc>
        <w:tc>
          <w:tcPr>
            <w:tcW w:w="4680" w:type="dxa"/>
          </w:tcPr>
          <w:p>
            <w:pPr/>
            <w:r>
              <w:t xml:space="preserve">客户要求、反馈、承认挂到需求、样机与变更，随时看到“这个客户还在等什么”</w:t>
            </w:r>
          </w:p>
        </w:tc>
      </w:tr>
    </w:tbl>
    <w:p>
      <w:pPr/>
      <w:r>
        <w:rPr>
          <w:b/>
        </w:rPr>
        <w:t xml:space="preserve">不照搬的部分：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Linear 做法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不适合的原因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PDOS 替代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尽量不设审批</w:t>
            </w:r>
          </w:p>
        </w:tc>
        <w:tc>
          <w:tcPr>
            <w:tcW w:w="3120" w:type="dxa"/>
          </w:tcPr>
          <w:p>
            <w:pPr/>
            <w:r>
              <w:t xml:space="preserve">开模、BOM 冻结、ECN 生效不可逆且代价高</w:t>
            </w:r>
          </w:p>
        </w:tc>
        <w:tc>
          <w:tcPr>
            <w:tcW w:w="3120" w:type="dxa"/>
          </w:tcPr>
          <w:p>
            <w:pPr/>
            <w:r>
              <w:t xml:space="preserve">保留 T2 硬闸，只在不可逆节点出现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只有最新版本</w:t>
            </w:r>
          </w:p>
        </w:tc>
        <w:tc>
          <w:tcPr>
            <w:tcW w:w="3120" w:type="dxa"/>
          </w:tcPr>
          <w:p>
            <w:pPr/>
            <w:r>
              <w:t xml:space="preserve">多版本并存，有库存与在制品</w:t>
            </w:r>
          </w:p>
        </w:tc>
        <w:tc>
          <w:tcPr>
            <w:tcW w:w="3120" w:type="dxa"/>
          </w:tcPr>
          <w:p>
            <w:pPr/>
            <w:r>
              <w:t xml:space="preserve">配置修订与版本并存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以团队速度衡量</w:t>
            </w:r>
          </w:p>
        </w:tc>
        <w:tc>
          <w:tcPr>
            <w:tcW w:w="3120" w:type="dxa"/>
          </w:tcPr>
          <w:p>
            <w:pPr/>
            <w:r>
              <w:t xml:space="preserve">瓶颈是外部等待</w:t>
            </w:r>
          </w:p>
        </w:tc>
        <w:tc>
          <w:tcPr>
            <w:tcW w:w="3120" w:type="dxa"/>
          </w:tcPr>
          <w:p>
            <w:pPr/>
            <w:r>
              <w:t xml:space="preserve">准备度、距量产时间、承诺达成率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一切皆 Issue</w:t>
            </w:r>
          </w:p>
        </w:tc>
        <w:tc>
          <w:tcPr>
            <w:tcW w:w="3120" w:type="dxa"/>
          </w:tcPr>
          <w:p>
            <w:pPr/>
            <w:r>
              <w:t xml:space="preserve">样机、模具、测试、变更各有生命周期</w:t>
            </w:r>
          </w:p>
        </w:tc>
        <w:tc>
          <w:tcPr>
            <w:tcW w:w="3120" w:type="dxa"/>
          </w:tcPr>
          <w:p>
            <w:pPr/>
            <w:r>
              <w:t xml:space="preserve">多种对象，统一交互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两周 Sprint</w:t>
            </w:r>
          </w:p>
        </w:tc>
        <w:tc>
          <w:tcPr>
            <w:tcW w:w="3120" w:type="dxa"/>
          </w:tcPr>
          <w:p>
            <w:pPr/>
            <w:r>
              <w:t xml:space="preserve">节奏由 Build 与外部交期决定</w:t>
            </w:r>
          </w:p>
        </w:tc>
        <w:tc>
          <w:tcPr>
            <w:tcW w:w="3120" w:type="dxa"/>
          </w:tcPr>
          <w:p>
            <w:pPr/>
            <w:r>
              <w:t xml:space="preserve">周节奏 + Build 节奏</w:t>
            </w:r>
          </w:p>
        </w:tc>
      </w:tr>
    </w:tbl>
    <w:p>
      <w:pPr>
        <w:pStyle w:val="Heading2"/>
      </w:pPr>
      <w:r>
        <w:t xml:space="preserve">7. 首条纵向路径与实施顺序</w:t>
      </w:r>
    </w:p>
    <w:p>
      <w:pPr/>
      <w:r>
        <w:t xml:space="preserve">以 D14-04（锂电自行车泵，29 项适用测试待测）为真实产品，先走通“样机 → 测试失败 → 复测”一条路径，目标是取得原合同 AT-12 要求的真实员工证据。原合同 65 项的完整度远超单人在合理周期内的交付能力，因此以纵向路径驱动，而不是按 N 包横向铺开。</w:t>
      </w:r>
    </w:p>
    <w:p>
      <w:pPr>
        <w:pStyle w:val="Heading3"/>
      </w:pPr>
      <w:r>
        <w:t xml:space="preserve">7.1 纵向路径</w:t>
      </w:r>
    </w:p>
    <w:p>
      <w:pPr>
        <w:pStyle w:val="ListParagraph"/>
        <w:numPr>
          <w:ilvl w:val="0"/>
          <w:numId w:val="7"/>
        </w:numPr>
      </w:pPr>
      <w:r>
        <w:t xml:space="preserve">以 V2 方式创建 D14-04 项目，AI 项目设置给出简报与缺项。</w:t>
      </w:r>
    </w:p>
    <w:p>
      <w:pPr>
        <w:pStyle w:val="ListParagraph"/>
        <w:numPr>
          <w:ilvl w:val="0"/>
          <w:numId w:val="7"/>
        </w:numPr>
      </w:pPr>
      <w:r>
        <w:t xml:space="preserve">建立 EVT Build 与样机配置修订。</w:t>
      </w:r>
    </w:p>
    <w:p>
      <w:pPr>
        <w:pStyle w:val="ListParagraph"/>
        <w:numPr>
          <w:ilvl w:val="0"/>
          <w:numId w:val="7"/>
        </w:numPr>
      </w:pPr>
      <w:r>
        <w:t xml:space="preserve">DQE 拖入测试报告（或现场拍照），AI 解析，引擎判定通过或失败。</w:t>
      </w:r>
    </w:p>
    <w:p>
      <w:pPr>
        <w:pStyle w:val="ListParagraph"/>
        <w:numPr>
          <w:ilvl w:val="0"/>
          <w:numId w:val="7"/>
        </w:numPr>
      </w:pPr>
      <w:r>
        <w:t xml:space="preserve">失败时一张卡片一次确认：Issue、关联规格与配置、责任人、复测任务。</w:t>
      </w:r>
    </w:p>
    <w:p>
      <w:pPr>
        <w:pStyle w:val="ListParagraph"/>
        <w:numPr>
          <w:ilvl w:val="0"/>
          <w:numId w:val="7"/>
        </w:numPr>
      </w:pPr>
      <w:r>
        <w:t xml:space="preserve">结构或硬件工程师整改，形成变更与新配置修订。</w:t>
      </w:r>
    </w:p>
    <w:p>
      <w:pPr>
        <w:pStyle w:val="ListParagraph"/>
        <w:numPr>
          <w:ilvl w:val="0"/>
          <w:numId w:val="7"/>
        </w:numPr>
      </w:pPr>
      <w:r>
        <w:t xml:space="preserve">复测建立新 Run，旧 Run 仍指向原配置。</w:t>
      </w:r>
    </w:p>
    <w:p>
      <w:pPr>
        <w:pStyle w:val="ListParagraph"/>
        <w:numPr>
          <w:ilvl w:val="0"/>
          <w:numId w:val="7"/>
        </w:numPr>
      </w:pPr>
      <w:r>
        <w:t xml:space="preserve">项目总览自动显示该问题对 DVT 日期的影响，周报自动起草。</w:t>
      </w:r>
    </w:p>
    <w:p>
      <w:pPr>
        <w:pStyle w:val="Heading3"/>
      </w:pPr>
      <w:r>
        <w:t xml:space="preserve">7.2 首批四项能力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顺序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能力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选择理由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</w:t>
            </w:r>
          </w:p>
        </w:tc>
        <w:tc>
          <w:tcPr>
            <w:tcW w:w="3120" w:type="dxa"/>
          </w:tcPr>
          <w:p>
            <w:pPr/>
            <w:r>
              <w:t xml:space="preserve">测试报告 → 验证结果 → 问题</w:t>
            </w:r>
          </w:p>
        </w:tc>
        <w:tc>
          <w:tcPr>
            <w:tcW w:w="3120" w:type="dxa"/>
          </w:tcPr>
          <w:p>
            <w:pPr/>
            <w:r>
              <w:t xml:space="preserve">DQE 每天使用；已有 D14-02 回放基础（8/30 覆盖）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会议转写 → 纪要与行动项</w:t>
            </w:r>
          </w:p>
        </w:tc>
        <w:tc>
          <w:tcPr>
            <w:tcW w:w="3120" w:type="dxa"/>
          </w:tcPr>
          <w:p>
            <w:pPr/>
            <w:r>
              <w:t xml:space="preserve">项目经理每周使用，见效最快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钉钉转发 → 状态更新</w:t>
            </w:r>
          </w:p>
        </w:tc>
        <w:tc>
          <w:tcPr>
            <w:tcW w:w="3120" w:type="dxa"/>
          </w:tcPr>
          <w:p>
            <w:pPr/>
            <w:r>
              <w:t xml:space="preserve">解决信息入口，覆盖供应、模具、客户沟通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</w:t>
            </w:r>
          </w:p>
        </w:tc>
        <w:tc>
          <w:tcPr>
            <w:tcW w:w="3120" w:type="dxa"/>
          </w:tcPr>
          <w:p>
            <w:pPr/>
            <w:r>
              <w:t xml:space="preserve">项目状态重建与周报</w:t>
            </w:r>
          </w:p>
        </w:tc>
        <w:tc>
          <w:tcPr>
            <w:tcW w:w="3120" w:type="dxa"/>
          </w:tcPr>
          <w:p>
            <w:pPr/>
            <w:r>
              <w:t xml:space="preserve">管理层首次无需问人即可了解项目</w:t>
            </w:r>
          </w:p>
        </w:tc>
      </w:tr>
    </w:tbl>
    <w:p>
      <w:pPr>
        <w:pStyle w:val="Heading3"/>
      </w:pPr>
      <w:r>
        <w:t xml:space="preserve">7.3 验收与扩展</w:t>
      </w:r>
    </w:p>
    <w:p>
      <w:pPr>
        <w:pStyle w:val="ListParagraph"/>
        <w:numPr>
          <w:ilvl w:val="0"/>
          <w:numId w:val="8"/>
        </w:numPr>
      </w:pPr>
      <w:r>
        <w:t xml:space="preserve">用原合同 §23 的主动时间口径，对比真实员工在新旧流程中的操作次数与耗时，含审核、纠错与学习成本。</w:t>
      </w:r>
    </w:p>
    <w:p>
      <w:pPr>
        <w:pStyle w:val="ListParagraph"/>
        <w:numPr>
          <w:ilvl w:val="0"/>
          <w:numId w:val="8"/>
        </w:numPr>
      </w:pPr>
      <w:r>
        <w:t xml:space="preserve">四项能力全部先走影子模式，再按 5.7 晋升。</w:t>
      </w:r>
    </w:p>
    <w:p>
      <w:pPr>
        <w:pStyle w:val="ListParagraph"/>
        <w:numPr>
          <w:ilvl w:val="0"/>
          <w:numId w:val="8"/>
        </w:numPr>
      </w:pPr>
      <w:r>
        <w:t xml:space="preserve">取得证据后，第二批扩展到齐套、资源预约与试产准备度（4M1E），并同步补入第 4 节对象。</w:t>
      </w:r>
    </w:p>
    <w:p>
      <w:pPr>
        <w:pStyle w:val="Heading2"/>
      </w:pPr>
      <w:r>
        <w:t xml:space="preserve">8. 待决问题</w:t>
      </w:r>
    </w:p>
    <w:p>
      <w:pPr/>
      <w:r>
        <w:t xml:space="preserve">以下事项涉及已冻结合同或关键取舍，需系统负责人裁决后按原合同冻结记录格式登记。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G1 一次决定替代多步批准</w:t>
      </w:r>
      <w:r>
        <w:t xml:space="preserve">：是否修订 §7，使 G1 在同一事务内生成 Case 批准、执行批准与计划应用，并保留各自审计记录？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项目七态的界面映射</w:t>
      </w:r>
      <w:r>
        <w:t xml:space="preserve">：proposed/approved 是否完全隐藏，还是在项目详情中以只读状态展示？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项目先建与 N1-01</w:t>
      </w:r>
      <w:r>
        <w:t xml:space="preserve">：G0 之前的项目与现有 MarketSpace/ScopedWorkItem 如何共存，避免出现“虚拟项目”？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派生项目继承模型</w:t>
      </w:r>
      <w:r>
        <w:t xml:space="preserve">：父产品需求/规格是复制、引用还是引用加覆盖；发布后如何回写产品基线？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第 4 节六个对象的优先级</w:t>
      </w:r>
      <w:r>
        <w:t xml:space="preserve">：哪些随 N5-05 一起落地，哪些延后？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Finding 双动作迁移范围</w:t>
      </w:r>
      <w:r>
        <w:t xml:space="preserve">：哪些能力首批迁到 T1，哪些继续保留双动作？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钉钉转发入口</w:t>
      </w:r>
      <w:r>
        <w:t xml:space="preserve">：是否纳入本期，与“不抓取所有聊天”的边界如何写入合同？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b/>
        </w:rPr>
        <w:t xml:space="preserve">实施组织方式</w:t>
      </w:r>
      <w:r>
        <w:t xml:space="preserve">：是否同意以第 7 节纵向路径驱动，而非按 N 包横向推进？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PDOS 设计方向整合</dc:title>
  <dc:description>Claude Docs node/a4782fc2-f37b@9 docx-w6</dc:description>
  <cp:revision>9</cp:revision>
</cp:coreProperties>
</file>