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Research Grant Support</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Arrhythmogenesis following myocardial infarction has long been a significant clinical challenge and an active area of research. Currently, studies have largely focused on understanding border zone heterogeneity, the complex tissue region with abnormal electrophysiological properties that surrounds an infarct's border. However, less attention has been paid to understanding how the geometry of the infarct either reinforces, or in some cases, dampens arrhythmia generation. Therefore, we decided to investigate specific morphological patterns that could interact with propagation waves and be arrhythmogenic. Specifically, we adopted a machine learning-directed optimization method to identify the most arrhythmogenic shape motifs.</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To achieve this, we implemented a monodomain/bidomain 2D cardiac simulation model based on TTP06 and O'Hara-Rudy human ventricular ionic models. The model supports a variety of numerical methods for both operator splitting (implicit and explicit) and mesh formulation (FEM, FVM, &amp; FDM) and is capable of further acceleration via GPU and custom lookup tables. The model supports endocardial, epicardial, and mid-myocardial cell types, and is capable of accepting additional cells to properly model border zone heterogeneity effects. Furthermore, the model has been validated at the single-cell level against published AP and restitution curves, and is capable of recreating chaotic and non-chaotic spiral wave patterns using S1-S2 protocols.</w:t>
      </w:r>
    </w:p>
    <w:p w:rsidR="00000000" w:rsidDel="00000000" w:rsidP="00000000" w:rsidRDefault="00000000" w:rsidRPr="00000000" w14:paraId="00000004">
      <w:pPr>
        <w:spacing w:after="240" w:before="240" w:lineRule="auto"/>
        <w:ind w:firstLine="720"/>
        <w:rPr/>
      </w:pPr>
      <w:r w:rsidDel="00000000" w:rsidR="00000000" w:rsidRPr="00000000">
        <w:rPr>
          <w:rtl w:val="0"/>
        </w:rPr>
        <w:t xml:space="preserve">Moving forward, we are currently building a novel surrogate ML model with the goal of vastly accelerating the simulation process compared to bidomain simulations on large domains with fine meshes and small timesteps. Such a model could also be used for gating parameter estimation and serve as an unorthodox ionic model formulated using transformers instead of Hodgkin-Huxley formulations, which would be great for researchers working with chassis that lack ionic models. </w:t>
      </w:r>
    </w:p>
    <w:p w:rsidR="00000000" w:rsidDel="00000000" w:rsidP="00000000" w:rsidRDefault="00000000" w:rsidRPr="00000000" w14:paraId="00000005">
      <w:pPr>
        <w:spacing w:after="240" w:before="240" w:lineRule="auto"/>
        <w:ind w:firstLine="720"/>
        <w:rPr/>
      </w:pPr>
      <w:r w:rsidDel="00000000" w:rsidR="00000000" w:rsidRPr="00000000">
        <w:rPr>
          <w:rtl w:val="0"/>
        </w:rPr>
        <w:t xml:space="preserve">In total, we believe that our study will not only provide new insight into the role of structure in arrhythmogenesis, but also help develop a better infarct risk scoring protocol for patients.</w:t>
      </w:r>
    </w:p>
    <w:p w:rsidR="00000000" w:rsidDel="00000000" w:rsidP="00000000" w:rsidRDefault="00000000" w:rsidRPr="00000000" w14:paraId="00000006">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