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Research Grant Support</w:t>
      </w:r>
    </w:p>
    <w:p w:rsidR="00000000" w:rsidDel="00000000" w:rsidP="00000000" w:rsidRDefault="00000000" w:rsidRPr="00000000" w14:paraId="00000002">
      <w:pPr>
        <w:spacing w:after="240" w:before="240" w:lineRule="auto"/>
        <w:ind w:firstLine="720"/>
        <w:rPr/>
      </w:pPr>
      <w:r w:rsidDel="00000000" w:rsidR="00000000" w:rsidRPr="00000000">
        <w:rPr>
          <w:rtl w:val="0"/>
        </w:rPr>
        <w:t xml:space="preserve">Arrhythmogenesis following myocardial infarction has long been a significant clinical challenge and an active area of research. Currently, studies have largely focused on understanding border zone heterogeneity, the complex tissue region with abnormal electrophysiological properties that surrounds an infarct's border. However, less attention has been paid to understanding how the geometry of the infarct either reinforces, or in some cases, dampens arrhythmia generation. Therefore, we decided to investigate specific morphological patterns that could interact with propagation waves and be arrhythmogenic. Specifically, we adopted a machine learning-directed optimization method to identify the most arrhythmogenic shape motifs.</w:t>
      </w:r>
    </w:p>
    <w:p w:rsidR="00000000" w:rsidDel="00000000" w:rsidP="00000000" w:rsidRDefault="00000000" w:rsidRPr="00000000" w14:paraId="00000003">
      <w:pPr>
        <w:spacing w:after="240" w:before="240" w:lineRule="auto"/>
        <w:ind w:firstLine="720"/>
        <w:rPr/>
      </w:pPr>
      <w:r w:rsidDel="00000000" w:rsidR="00000000" w:rsidRPr="00000000">
        <w:rPr>
          <w:rtl w:val="0"/>
        </w:rPr>
        <w:t xml:space="preserve">To achieve this, we implemented a monodomain/bidomain 2D cardiac simulation model based on TTP06 and O'Hara-Rudy human ventricular ionic models. The model supports a variety of numerical methods for both operator splitting (implicit and explicit) and mesh formulation (FEM, FVM, &amp; FDM) and is capable of further acceleration via GPU and custom lookup tables. The model supports endocardial, epicardial, and mid-myocardial cell types, and is capable of accepting additional cells to properly model border zone heterogeneity effects. Furthermore, the model has been validated at the single-cell level against published AP and restitution curves, and is capable of recreating accurate chaotic and non-chaotic spiral wave patterns (via s1-s2 protocol) observed in studies.</w:t>
      </w:r>
    </w:p>
    <w:p w:rsidR="00000000" w:rsidDel="00000000" w:rsidP="00000000" w:rsidRDefault="00000000" w:rsidRPr="00000000" w14:paraId="00000004">
      <w:pPr>
        <w:spacing w:after="240" w:before="240" w:lineRule="auto"/>
        <w:ind w:firstLine="720"/>
        <w:rPr/>
      </w:pPr>
      <w:r w:rsidDel="00000000" w:rsidR="00000000" w:rsidRPr="00000000">
        <w:rPr>
          <w:rtl w:val="0"/>
        </w:rPr>
        <w:t xml:space="preserve">Moving forward, we are currently building a novel surrogate ML model with the goal of vastly accelerating the simulation process compared to bidomain simulations on large domains with fine meshes and small timesteps. Such a model could also be used for gating parameter estimation and serve as an unorthodox ionic model formulated using transformers instead of Hodgkin-Huxley formulations, which would be great for researchers working with chassis that lack ionic models. </w:t>
      </w:r>
    </w:p>
    <w:p w:rsidR="00000000" w:rsidDel="00000000" w:rsidP="00000000" w:rsidRDefault="00000000" w:rsidRPr="00000000" w14:paraId="00000005">
      <w:pPr>
        <w:spacing w:after="240" w:before="240" w:lineRule="auto"/>
        <w:ind w:firstLine="720"/>
        <w:rPr/>
      </w:pPr>
      <w:r w:rsidDel="00000000" w:rsidR="00000000" w:rsidRPr="00000000">
        <w:rPr>
          <w:rtl w:val="0"/>
        </w:rPr>
        <w:t xml:space="preserve">In total, we believe that our study will not only provide new insight into the role of structure in arrhythmogenesis, but also help develop a better infarct risk scoring protocol for patients.</w:t>
      </w:r>
    </w:p>
    <w:p w:rsidR="00000000" w:rsidDel="00000000" w:rsidP="00000000" w:rsidRDefault="00000000" w:rsidRPr="00000000" w14:paraId="00000006">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