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Mutual Non-Disclosure Agreement (MNDA)</w:t>
      </w:r>
    </w:p>
    <w:p>
      <w:r>
        <w:rPr>
          <w:b/>
        </w:rPr>
        <w:t>Department: Legal | Classification: Internal</w:t>
        <w:br/>
      </w:r>
    </w:p>
    <w:p>
      <w:pPr>
        <w:pStyle w:val="Heading2"/>
      </w:pPr>
      <w:r>
        <w:t>STANDARD CORPORATE MUTUAL NON-DISCLOSURE AGREEMENT</w:t>
      </w:r>
    </w:p>
    <w:p>
      <w:r>
        <w:t>Legal Document ID: MNDA-STANDARD-v4</w:t>
      </w:r>
    </w:p>
    <w:p>
      <w:pPr>
        <w:pStyle w:val="Heading2"/>
      </w:pPr>
      <w:r>
        <w:t>1. DEFINITION OF CONFIDENTIAL INFORMATION</w:t>
      </w:r>
    </w:p>
    <w:p>
      <w:r>
        <w:t>'Confidential Information' refers to any proprietary, technical, financial, or commercial information disclosed by either Party to the other, whether orally, in writing, electronically, or via source code repositories.</w:t>
      </w:r>
    </w:p>
    <w:p>
      <w:pPr>
        <w:pStyle w:val="Heading2"/>
      </w:pPr>
      <w:r>
        <w:t>2. OBLIGATIONS OF THE RECEIVING PARTY</w:t>
      </w:r>
    </w:p>
    <w:p>
      <w:r>
        <w:t>The Receiving Party agrees:</w:t>
      </w:r>
    </w:p>
    <w:p>
      <w:r>
        <w:t>- To protect Confidential Information with the same degree of care it uses for its own sensitive data, but no less than reasonable care.</w:t>
      </w:r>
    </w:p>
    <w:p>
      <w:r>
        <w:t>- Not to disclose Confidential Information to any third party except employees, legal counsel, and financial advisors who have an operational need-to-know.</w:t>
      </w:r>
    </w:p>
    <w:p>
      <w:r>
        <w:t>- To use Confidential Information solely for the purpose of evaluating potential business transactions.</w:t>
      </w:r>
    </w:p>
    <w:p>
      <w:pPr>
        <w:pStyle w:val="Heading2"/>
      </w:pPr>
      <w:r>
        <w:t>3. EXCLUSIONS FROM CONFIDENTIALITY</w:t>
      </w:r>
    </w:p>
    <w:p>
      <w:r>
        <w:t>Information is not confidential if it:</w:t>
      </w:r>
    </w:p>
    <w:p>
      <w:r>
        <w:t>(a) is or becomes publicly known through no breach by Receiving Party;</w:t>
      </w:r>
    </w:p>
    <w:p>
      <w:r>
        <w:t>(b) was already known to Receiving Party prior to disclosure without restriction;</w:t>
      </w:r>
    </w:p>
    <w:p>
      <w:r>
        <w:t>(c) is independently developed without reference to the Disclosing Party's data.</w:t>
      </w:r>
    </w:p>
    <w:p>
      <w:pPr>
        <w:pStyle w:val="Heading2"/>
      </w:pPr>
      <w:r>
        <w:t>4. TERM AND SURVIVAL</w:t>
      </w:r>
    </w:p>
    <w:p>
      <w:r>
        <w:t>This Agreement shall remain in effect for two (2) years. The confidentiality obligations regarding trade secrets and source code shall survive indefinitely.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